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3F800" w14:textId="77777777" w:rsidR="00C904C5" w:rsidRDefault="00C904C5" w:rsidP="00C904C5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  <w:bookmarkStart w:id="0" w:name="_Hlk165550857"/>
    </w:p>
    <w:p w14:paraId="63D4B9FE" w14:textId="77777777" w:rsidR="00F026E4" w:rsidRDefault="00F026E4" w:rsidP="009B20FB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bookmarkEnd w:id="0"/>
    <w:p w14:paraId="47990AB3" w14:textId="66975A54" w:rsidR="00112575" w:rsidRDefault="002D4E09" w:rsidP="00112575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 xml:space="preserve">                             </w:t>
      </w:r>
      <w:r w:rsidR="00112575">
        <w:rPr>
          <w:rFonts w:eastAsia="Calibri"/>
          <w:b/>
          <w:bCs/>
          <w:sz w:val="24"/>
          <w:szCs w:val="24"/>
          <w:lang w:val="es-SV"/>
        </w:rPr>
        <w:t xml:space="preserve">  </w:t>
      </w:r>
      <w:r w:rsidR="00112575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553C44C0" w14:textId="77777777" w:rsidR="00112575" w:rsidRDefault="00112575" w:rsidP="00112575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04265DC9" w14:textId="53720F83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>
        <w:rPr>
          <w:rFonts w:ascii="Arial" w:eastAsiaTheme="minorHAnsi" w:hAnsi="Arial" w:cs="Arial"/>
          <w:lang w:val="es-SV"/>
        </w:rPr>
        <w:t xml:space="preserve"> </w:t>
      </w:r>
      <w:r>
        <w:rPr>
          <w:rFonts w:ascii="Arial" w:eastAsiaTheme="minorHAnsi" w:hAnsi="Arial" w:cs="Arial"/>
          <w:b/>
          <w:bCs/>
          <w:lang w:val="es-SV"/>
        </w:rPr>
        <w:t xml:space="preserve">ABRIL </w:t>
      </w:r>
      <w:r w:rsidRPr="005D51B9">
        <w:rPr>
          <w:rFonts w:ascii="Arial" w:eastAsiaTheme="minorHAnsi" w:hAnsi="Arial" w:cs="Arial"/>
          <w:b/>
          <w:bCs/>
          <w:lang w:val="es-SV"/>
        </w:rPr>
        <w:t>202</w:t>
      </w:r>
      <w:r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 xml:space="preserve">, a disposición del público en general, </w:t>
      </w:r>
      <w:r>
        <w:rPr>
          <w:rFonts w:ascii="Arial" w:eastAsiaTheme="minorHAnsi" w:hAnsi="Arial" w:cs="Arial"/>
          <w:lang w:val="es-SV"/>
        </w:rPr>
        <w:t>de la Comisión Evaluadora de Discapacidades,</w:t>
      </w:r>
      <w:r w:rsidRPr="005D51B9">
        <w:rPr>
          <w:rFonts w:ascii="Arial" w:eastAsiaTheme="minorHAnsi" w:hAnsi="Arial" w:cs="Arial"/>
          <w:lang w:val="es-SV"/>
        </w:rPr>
        <w:t xml:space="preserve"> que se brindan en </w:t>
      </w:r>
      <w:r>
        <w:rPr>
          <w:rFonts w:ascii="Arial" w:eastAsiaTheme="minorHAnsi" w:hAnsi="Arial" w:cs="Arial"/>
          <w:lang w:val="es-SV"/>
        </w:rPr>
        <w:t>e</w:t>
      </w:r>
      <w:r w:rsidR="00887006">
        <w:rPr>
          <w:rFonts w:ascii="Arial" w:eastAsiaTheme="minorHAnsi" w:hAnsi="Arial" w:cs="Arial"/>
          <w:lang w:val="es-SV"/>
        </w:rPr>
        <w:t>dificio Sede Juan Pablo</w:t>
      </w:r>
      <w:r>
        <w:rPr>
          <w:rFonts w:ascii="Arial" w:eastAsiaTheme="minorHAnsi" w:hAnsi="Arial" w:cs="Arial"/>
          <w:lang w:val="es-SV"/>
        </w:rPr>
        <w:t xml:space="preserve"> y oficinas Administrativas del Instituto Administrador de los Beneficios de los Veteranos, Excombatientes y Personas con Discapacidad, Sede Bernal</w:t>
      </w:r>
      <w:r w:rsidRPr="005D51B9">
        <w:rPr>
          <w:rFonts w:ascii="Arial" w:eastAsiaTheme="minorHAnsi" w:hAnsi="Arial" w:cs="Arial"/>
          <w:lang w:val="es-SV"/>
        </w:rPr>
        <w:t>;</w:t>
      </w:r>
      <w:r>
        <w:rPr>
          <w:rFonts w:ascii="Arial" w:eastAsiaTheme="minorHAnsi" w:hAnsi="Arial" w:cs="Arial"/>
          <w:lang w:val="es-SV"/>
        </w:rPr>
        <w:t xml:space="preserve"> ambos Ubicados en San Salvador. </w:t>
      </w:r>
    </w:p>
    <w:p w14:paraId="4EE887F0" w14:textId="77777777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9B3EA90" w14:textId="77777777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Pr="005D51B9">
        <w:rPr>
          <w:rFonts w:ascii="Arial" w:eastAsiaTheme="minorHAnsi" w:hAnsi="Arial" w:cs="Arial"/>
          <w:lang w:val="es-SV"/>
        </w:rPr>
        <w:t>Se realizaron</w:t>
      </w:r>
      <w:r>
        <w:rPr>
          <w:rFonts w:ascii="Arial" w:eastAsiaTheme="minorHAnsi" w:hAnsi="Arial" w:cs="Arial"/>
          <w:lang w:val="es-SV"/>
        </w:rPr>
        <w:t xml:space="preserve"> un total de 114</w:t>
      </w:r>
      <w:r w:rsidRPr="005D51B9">
        <w:rPr>
          <w:rFonts w:ascii="Arial" w:eastAsiaTheme="minorHAnsi" w:hAnsi="Arial" w:cs="Arial"/>
          <w:lang w:val="es-SV"/>
        </w:rPr>
        <w:t xml:space="preserve"> procesos de atención</w:t>
      </w:r>
      <w:r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915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346"/>
        <w:gridCol w:w="1396"/>
      </w:tblGrid>
      <w:tr w:rsidR="00112575" w:rsidRPr="00BB76A8" w14:paraId="5FB47F68" w14:textId="77777777" w:rsidTr="00112575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63A7121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Atenciones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ABRIL 2024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12B828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782FC712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F4F6FF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 general</w:t>
            </w:r>
          </w:p>
        </w:tc>
      </w:tr>
      <w:tr w:rsidR="00112575" w:rsidRPr="00BB76A8" w14:paraId="73BAE4CD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B2C4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Recurso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ED7F4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EF81CF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3B7B2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</w:tr>
      <w:tr w:rsidR="00112575" w:rsidRPr="00BB76A8" w14:paraId="4F990C35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951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B8C1C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AED56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FA3BA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19</w:t>
            </w:r>
          </w:p>
        </w:tc>
      </w:tr>
      <w:tr w:rsidR="00112575" w:rsidRPr="00BB76A8" w14:paraId="5B13785F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62DD6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Solicitud de Recurso de Apelación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949C0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F30E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               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2F164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</w:tr>
      <w:tr w:rsidR="00112575" w:rsidRPr="00BB76A8" w14:paraId="46684E56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B5B2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037B1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56CD3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CA73B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</w:tr>
      <w:tr w:rsidR="00112575" w:rsidRPr="00BB76A8" w14:paraId="13042D37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21328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 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5BE2C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D7341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8B5338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50</w:t>
            </w:r>
          </w:p>
        </w:tc>
      </w:tr>
      <w:tr w:rsidR="00112575" w:rsidRPr="00BB76A8" w14:paraId="2548EA68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4E5B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Constancia de Lesiones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5B574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EE60E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color w:val="000000"/>
                <w:lang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C626E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</w:tr>
      <w:tr w:rsidR="00112575" w:rsidRPr="00BB76A8" w14:paraId="0DD61A6C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56674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Inadmisibilidad de Recurso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4865B4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728414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1DD5E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</w:tr>
      <w:tr w:rsidR="00112575" w:rsidRPr="00BB76A8" w14:paraId="1483E167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04858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Inadmisibilidad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45122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C92DD1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F61B2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112575" w:rsidRPr="00BB76A8" w14:paraId="18FDD6FA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AE9F0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Primera Evaluación (Traslado de CTE)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D5488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0D607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F7E53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15</w:t>
            </w:r>
          </w:p>
        </w:tc>
      </w:tr>
      <w:tr w:rsidR="00112575" w:rsidRPr="00BB76A8" w14:paraId="75069130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CE2DC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Resoluciones Varias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7FFA8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E79737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0E1E2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112575" w:rsidRPr="00BB76A8" w14:paraId="40EA0C0D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CC278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Suspensión del Proceso Administrativo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D3BF3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1C89F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A5275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</w:tr>
      <w:tr w:rsidR="00112575" w:rsidRPr="00BB76A8" w14:paraId="62E9D194" w14:textId="77777777" w:rsidTr="00112575">
        <w:trPr>
          <w:trHeight w:val="5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D156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A0F17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1D214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5123F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114</w:t>
            </w:r>
          </w:p>
        </w:tc>
      </w:tr>
    </w:tbl>
    <w:p w14:paraId="3F19FAA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2B28581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A7FC73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A53CAF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B033A63" w14:textId="00637CDF" w:rsidR="00112575" w:rsidRDefault="00112575" w:rsidP="00112575">
      <w:pPr>
        <w:widowControl/>
        <w:autoSpaceDE/>
        <w:autoSpaceDN/>
        <w:spacing w:after="160"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30FD3A" wp14:editId="3813D03E">
            <wp:simplePos x="0" y="0"/>
            <wp:positionH relativeFrom="column">
              <wp:posOffset>3166745</wp:posOffset>
            </wp:positionH>
            <wp:positionV relativeFrom="paragraph">
              <wp:posOffset>194945</wp:posOffset>
            </wp:positionV>
            <wp:extent cx="3524250" cy="3133725"/>
            <wp:effectExtent l="0" t="0" r="0" b="9525"/>
            <wp:wrapNone/>
            <wp:docPr id="138720214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D7FDAA" wp14:editId="726116D9">
            <wp:simplePos x="0" y="0"/>
            <wp:positionH relativeFrom="margin">
              <wp:posOffset>-357504</wp:posOffset>
            </wp:positionH>
            <wp:positionV relativeFrom="paragraph">
              <wp:posOffset>196850</wp:posOffset>
            </wp:positionV>
            <wp:extent cx="3505200" cy="3162300"/>
            <wp:effectExtent l="0" t="0" r="0" b="0"/>
            <wp:wrapNone/>
            <wp:docPr id="27564617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A2DC8" w14:textId="5BAC69CB" w:rsidR="00112575" w:rsidRDefault="00112575" w:rsidP="00112575">
      <w:pPr>
        <w:widowControl/>
        <w:autoSpaceDE/>
        <w:autoSpaceDN/>
        <w:spacing w:after="160" w:line="360" w:lineRule="auto"/>
      </w:pPr>
    </w:p>
    <w:p w14:paraId="75B88AB7" w14:textId="6D6C8097" w:rsidR="00112575" w:rsidRDefault="00112575" w:rsidP="00112575">
      <w:pPr>
        <w:widowControl/>
        <w:autoSpaceDE/>
        <w:autoSpaceDN/>
        <w:spacing w:after="160" w:line="360" w:lineRule="auto"/>
      </w:pPr>
    </w:p>
    <w:p w14:paraId="43AE7B0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7B38335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5CBD47CB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47811C8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D4F1A18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EA8EEE7" w14:textId="77777777" w:rsidR="00112575" w:rsidRDefault="00112575" w:rsidP="00112575">
      <w:pPr>
        <w:widowControl/>
        <w:autoSpaceDE/>
        <w:autoSpaceDN/>
        <w:spacing w:after="160" w:line="360" w:lineRule="auto"/>
        <w:jc w:val="center"/>
      </w:pPr>
    </w:p>
    <w:p w14:paraId="01E1C1DA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4CD688EF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CA4B4A9" w14:textId="77777777" w:rsidR="00112575" w:rsidRDefault="00112575" w:rsidP="00112575">
      <w:pPr>
        <w:tabs>
          <w:tab w:val="left" w:pos="5681"/>
        </w:tabs>
      </w:pPr>
    </w:p>
    <w:p w14:paraId="6FC436EC" w14:textId="77777777" w:rsidR="00112575" w:rsidRDefault="00112575" w:rsidP="00112575">
      <w:pPr>
        <w:tabs>
          <w:tab w:val="left" w:pos="5681"/>
        </w:tabs>
      </w:pPr>
    </w:p>
    <w:p w14:paraId="0DDC5633" w14:textId="77777777" w:rsidR="00112575" w:rsidRDefault="00112575" w:rsidP="00112575">
      <w:pPr>
        <w:tabs>
          <w:tab w:val="left" w:pos="5681"/>
        </w:tabs>
      </w:pPr>
    </w:p>
    <w:p w14:paraId="2FC1C1BB" w14:textId="77777777" w:rsidR="00112575" w:rsidRDefault="00112575" w:rsidP="00112575">
      <w:pPr>
        <w:tabs>
          <w:tab w:val="left" w:pos="5681"/>
        </w:tabs>
      </w:pPr>
    </w:p>
    <w:p w14:paraId="30F5F226" w14:textId="58E3A1C4" w:rsidR="00112575" w:rsidRDefault="0011257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>
        <w:rPr>
          <w:rFonts w:ascii="Arial" w:eastAsiaTheme="minorHAnsi" w:hAnsi="Arial" w:cs="Arial"/>
          <w:lang w:val="es-SV"/>
        </w:rPr>
        <w:t xml:space="preserve">. </w:t>
      </w:r>
    </w:p>
    <w:p w14:paraId="66575EDD" w14:textId="77777777" w:rsidR="00112575" w:rsidRPr="00D04C44" w:rsidRDefault="00112575" w:rsidP="00112575">
      <w:pPr>
        <w:tabs>
          <w:tab w:val="left" w:pos="5681"/>
        </w:tabs>
      </w:pPr>
    </w:p>
    <w:p w14:paraId="40DF33EE" w14:textId="77777777" w:rsidR="00112575" w:rsidRDefault="00112575" w:rsidP="00112575">
      <w:pPr>
        <w:widowControl/>
        <w:autoSpaceDE/>
        <w:autoSpaceDN/>
        <w:spacing w:after="160" w:line="360" w:lineRule="auto"/>
      </w:pPr>
      <w:r>
        <w:rPr>
          <w:rFonts w:ascii="Arial" w:eastAsiaTheme="minorHAnsi" w:hAnsi="Arial" w:cs="Arial"/>
          <w:lang w:val="es-SV"/>
        </w:rPr>
        <w:t xml:space="preserve">          </w:t>
      </w:r>
      <w:r w:rsidRPr="005D51B9">
        <w:rPr>
          <w:rFonts w:ascii="Arial" w:eastAsiaTheme="minorHAnsi" w:hAnsi="Arial" w:cs="Arial"/>
          <w:lang w:val="es-SV"/>
        </w:rPr>
        <w:t>Atentamente, quedo atento a sus consultas</w:t>
      </w:r>
      <w:r>
        <w:rPr>
          <w:rFonts w:ascii="Arial" w:eastAsiaTheme="minorHAnsi" w:hAnsi="Arial" w:cs="Arial"/>
          <w:lang w:val="es-SV"/>
        </w:rPr>
        <w:t>.</w:t>
      </w:r>
    </w:p>
    <w:p w14:paraId="3F350B55" w14:textId="77777777" w:rsidR="00F026E4" w:rsidRPr="00724A9F" w:rsidRDefault="00F026E4" w:rsidP="009B20FB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sectPr w:rsidR="00F026E4" w:rsidRPr="00724A9F" w:rsidSect="0011257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4" w:right="1418" w:bottom="198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1E19B" w14:textId="77777777" w:rsidR="00D67106" w:rsidRDefault="00D67106" w:rsidP="00A57328">
      <w:r>
        <w:separator/>
      </w:r>
    </w:p>
  </w:endnote>
  <w:endnote w:type="continuationSeparator" w:id="0">
    <w:p w14:paraId="136842BB" w14:textId="77777777" w:rsidR="00D67106" w:rsidRDefault="00D6710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FFC26" w14:textId="77777777" w:rsidR="00D67106" w:rsidRDefault="00D67106" w:rsidP="00A57328">
      <w:r>
        <w:separator/>
      </w:r>
    </w:p>
  </w:footnote>
  <w:footnote w:type="continuationSeparator" w:id="0">
    <w:p w14:paraId="69838A4E" w14:textId="77777777" w:rsidR="00D67106" w:rsidRDefault="00D6710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3B371D4"/>
    <w:multiLevelType w:val="hybridMultilevel"/>
    <w:tmpl w:val="38CAE5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602B7"/>
    <w:multiLevelType w:val="hybridMultilevel"/>
    <w:tmpl w:val="CD34DE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9"/>
  </w:num>
  <w:num w:numId="2" w16cid:durableId="1478453556">
    <w:abstractNumId w:val="8"/>
  </w:num>
  <w:num w:numId="3" w16cid:durableId="1833330014">
    <w:abstractNumId w:val="9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7"/>
  </w:num>
  <w:num w:numId="8" w16cid:durableId="433134679">
    <w:abstractNumId w:val="2"/>
  </w:num>
  <w:num w:numId="9" w16cid:durableId="1201475465">
    <w:abstractNumId w:val="12"/>
  </w:num>
  <w:num w:numId="10" w16cid:durableId="1557087122">
    <w:abstractNumId w:val="3"/>
  </w:num>
  <w:num w:numId="11" w16cid:durableId="496699369">
    <w:abstractNumId w:val="11"/>
  </w:num>
  <w:num w:numId="12" w16cid:durableId="1297760150">
    <w:abstractNumId w:val="16"/>
  </w:num>
  <w:num w:numId="13" w16cid:durableId="809252598">
    <w:abstractNumId w:val="24"/>
  </w:num>
  <w:num w:numId="14" w16cid:durableId="831064685">
    <w:abstractNumId w:val="25"/>
  </w:num>
  <w:num w:numId="15" w16cid:durableId="801311526">
    <w:abstractNumId w:val="10"/>
  </w:num>
  <w:num w:numId="16" w16cid:durableId="1184855657">
    <w:abstractNumId w:val="4"/>
  </w:num>
  <w:num w:numId="17" w16cid:durableId="981155828">
    <w:abstractNumId w:val="7"/>
  </w:num>
  <w:num w:numId="18" w16cid:durableId="2140799254">
    <w:abstractNumId w:val="22"/>
  </w:num>
  <w:num w:numId="19" w16cid:durableId="426073564">
    <w:abstractNumId w:val="29"/>
  </w:num>
  <w:num w:numId="20" w16cid:durableId="145317526">
    <w:abstractNumId w:val="17"/>
  </w:num>
  <w:num w:numId="21" w16cid:durableId="335963470">
    <w:abstractNumId w:val="21"/>
  </w:num>
  <w:num w:numId="22" w16cid:durableId="1401294609">
    <w:abstractNumId w:val="31"/>
  </w:num>
  <w:num w:numId="23" w16cid:durableId="1871066568">
    <w:abstractNumId w:val="20"/>
  </w:num>
  <w:num w:numId="24" w16cid:durableId="485516795">
    <w:abstractNumId w:val="28"/>
  </w:num>
  <w:num w:numId="25" w16cid:durableId="437919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3"/>
  </w:num>
  <w:num w:numId="27" w16cid:durableId="657030612">
    <w:abstractNumId w:val="1"/>
  </w:num>
  <w:num w:numId="28" w16cid:durableId="13585050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6"/>
  </w:num>
  <w:num w:numId="30" w16cid:durableId="1259368396">
    <w:abstractNumId w:val="30"/>
  </w:num>
  <w:num w:numId="31" w16cid:durableId="1022390710">
    <w:abstractNumId w:val="13"/>
  </w:num>
  <w:num w:numId="32" w16cid:durableId="1125201391">
    <w:abstractNumId w:val="18"/>
  </w:num>
  <w:num w:numId="33" w16cid:durableId="482964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167E"/>
    <w:rsid w:val="00006D31"/>
    <w:rsid w:val="0000787E"/>
    <w:rsid w:val="00007A6E"/>
    <w:rsid w:val="000139D3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7899"/>
    <w:rsid w:val="0009160B"/>
    <w:rsid w:val="00093EA3"/>
    <w:rsid w:val="000A0AAD"/>
    <w:rsid w:val="000A0F29"/>
    <w:rsid w:val="000B2445"/>
    <w:rsid w:val="000B480E"/>
    <w:rsid w:val="000B6A4B"/>
    <w:rsid w:val="000D0659"/>
    <w:rsid w:val="000E1A4A"/>
    <w:rsid w:val="000E1E34"/>
    <w:rsid w:val="00101687"/>
    <w:rsid w:val="001040E4"/>
    <w:rsid w:val="001041F8"/>
    <w:rsid w:val="00112575"/>
    <w:rsid w:val="001164DE"/>
    <w:rsid w:val="00121163"/>
    <w:rsid w:val="00121CB6"/>
    <w:rsid w:val="00124421"/>
    <w:rsid w:val="0012453F"/>
    <w:rsid w:val="00133279"/>
    <w:rsid w:val="0013361B"/>
    <w:rsid w:val="0013483A"/>
    <w:rsid w:val="00135F3D"/>
    <w:rsid w:val="0013617B"/>
    <w:rsid w:val="001673E9"/>
    <w:rsid w:val="0017477E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5ECD"/>
    <w:rsid w:val="001C75B1"/>
    <w:rsid w:val="001E1279"/>
    <w:rsid w:val="001E464C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6C11"/>
    <w:rsid w:val="00272B14"/>
    <w:rsid w:val="002B133F"/>
    <w:rsid w:val="002B1682"/>
    <w:rsid w:val="002D177D"/>
    <w:rsid w:val="002D4E09"/>
    <w:rsid w:val="002E168C"/>
    <w:rsid w:val="002E6A49"/>
    <w:rsid w:val="002F30E3"/>
    <w:rsid w:val="002F4ED5"/>
    <w:rsid w:val="00310263"/>
    <w:rsid w:val="003103D9"/>
    <w:rsid w:val="00315782"/>
    <w:rsid w:val="003278FC"/>
    <w:rsid w:val="00330FC8"/>
    <w:rsid w:val="00335061"/>
    <w:rsid w:val="003371A0"/>
    <w:rsid w:val="00337745"/>
    <w:rsid w:val="00346F31"/>
    <w:rsid w:val="00354A14"/>
    <w:rsid w:val="00354AF6"/>
    <w:rsid w:val="00360F82"/>
    <w:rsid w:val="0036165B"/>
    <w:rsid w:val="00362A18"/>
    <w:rsid w:val="003702D9"/>
    <w:rsid w:val="0037187D"/>
    <w:rsid w:val="00374BFC"/>
    <w:rsid w:val="00381C98"/>
    <w:rsid w:val="0038761C"/>
    <w:rsid w:val="00390AEA"/>
    <w:rsid w:val="0039193D"/>
    <w:rsid w:val="003A1D32"/>
    <w:rsid w:val="003B153D"/>
    <w:rsid w:val="003B1B9D"/>
    <w:rsid w:val="003B312F"/>
    <w:rsid w:val="003B544A"/>
    <w:rsid w:val="003C0A79"/>
    <w:rsid w:val="003C5322"/>
    <w:rsid w:val="003D1084"/>
    <w:rsid w:val="003D424C"/>
    <w:rsid w:val="003D709A"/>
    <w:rsid w:val="003E00F1"/>
    <w:rsid w:val="003E35A5"/>
    <w:rsid w:val="003E4264"/>
    <w:rsid w:val="003E5291"/>
    <w:rsid w:val="003F5EC6"/>
    <w:rsid w:val="00402ABA"/>
    <w:rsid w:val="0041143F"/>
    <w:rsid w:val="00424ECE"/>
    <w:rsid w:val="004257A7"/>
    <w:rsid w:val="0042754F"/>
    <w:rsid w:val="00442430"/>
    <w:rsid w:val="00446B2B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3913"/>
    <w:rsid w:val="005031A7"/>
    <w:rsid w:val="00531EFB"/>
    <w:rsid w:val="00536B02"/>
    <w:rsid w:val="005376BE"/>
    <w:rsid w:val="00540521"/>
    <w:rsid w:val="00546D82"/>
    <w:rsid w:val="0055397B"/>
    <w:rsid w:val="00571863"/>
    <w:rsid w:val="005726E2"/>
    <w:rsid w:val="005733D6"/>
    <w:rsid w:val="005779E7"/>
    <w:rsid w:val="005813E9"/>
    <w:rsid w:val="005933DF"/>
    <w:rsid w:val="005A1FE9"/>
    <w:rsid w:val="005A22E3"/>
    <w:rsid w:val="005B1945"/>
    <w:rsid w:val="005B3CE2"/>
    <w:rsid w:val="005B6453"/>
    <w:rsid w:val="005D1014"/>
    <w:rsid w:val="005D29B3"/>
    <w:rsid w:val="005E606E"/>
    <w:rsid w:val="005F0E51"/>
    <w:rsid w:val="005F1FC7"/>
    <w:rsid w:val="005F3D7D"/>
    <w:rsid w:val="005F5FAC"/>
    <w:rsid w:val="005F7099"/>
    <w:rsid w:val="00602367"/>
    <w:rsid w:val="00602E6C"/>
    <w:rsid w:val="00605063"/>
    <w:rsid w:val="00606D90"/>
    <w:rsid w:val="00606EC9"/>
    <w:rsid w:val="006230C6"/>
    <w:rsid w:val="00623D53"/>
    <w:rsid w:val="00624243"/>
    <w:rsid w:val="00636BBE"/>
    <w:rsid w:val="00636C31"/>
    <w:rsid w:val="0065022F"/>
    <w:rsid w:val="00652E83"/>
    <w:rsid w:val="006542F1"/>
    <w:rsid w:val="0066493A"/>
    <w:rsid w:val="00665D67"/>
    <w:rsid w:val="00672812"/>
    <w:rsid w:val="006745C6"/>
    <w:rsid w:val="00683B7D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24C9"/>
    <w:rsid w:val="00715C38"/>
    <w:rsid w:val="00716022"/>
    <w:rsid w:val="00724A9F"/>
    <w:rsid w:val="007257EC"/>
    <w:rsid w:val="007271C6"/>
    <w:rsid w:val="007278B1"/>
    <w:rsid w:val="0074023C"/>
    <w:rsid w:val="0074181E"/>
    <w:rsid w:val="00742357"/>
    <w:rsid w:val="00746FF7"/>
    <w:rsid w:val="00751A0E"/>
    <w:rsid w:val="00764023"/>
    <w:rsid w:val="00765DD0"/>
    <w:rsid w:val="0077463C"/>
    <w:rsid w:val="00776722"/>
    <w:rsid w:val="00780192"/>
    <w:rsid w:val="00783121"/>
    <w:rsid w:val="00792E14"/>
    <w:rsid w:val="007947C6"/>
    <w:rsid w:val="00794DAA"/>
    <w:rsid w:val="007A035F"/>
    <w:rsid w:val="007A44DD"/>
    <w:rsid w:val="007A790A"/>
    <w:rsid w:val="007B026D"/>
    <w:rsid w:val="007B6536"/>
    <w:rsid w:val="007C177C"/>
    <w:rsid w:val="007E08A5"/>
    <w:rsid w:val="007E1F0C"/>
    <w:rsid w:val="007E7940"/>
    <w:rsid w:val="007F7014"/>
    <w:rsid w:val="00823CFE"/>
    <w:rsid w:val="00823EAF"/>
    <w:rsid w:val="0082423C"/>
    <w:rsid w:val="00824DE1"/>
    <w:rsid w:val="00836E56"/>
    <w:rsid w:val="00841338"/>
    <w:rsid w:val="008415B7"/>
    <w:rsid w:val="00843B5A"/>
    <w:rsid w:val="00845BC9"/>
    <w:rsid w:val="00846741"/>
    <w:rsid w:val="00850C72"/>
    <w:rsid w:val="00852B97"/>
    <w:rsid w:val="00855E1B"/>
    <w:rsid w:val="00870387"/>
    <w:rsid w:val="00872B4A"/>
    <w:rsid w:val="008815B2"/>
    <w:rsid w:val="00887006"/>
    <w:rsid w:val="00896B77"/>
    <w:rsid w:val="008A1D7E"/>
    <w:rsid w:val="008B273D"/>
    <w:rsid w:val="008C122C"/>
    <w:rsid w:val="008D0FEC"/>
    <w:rsid w:val="008E3710"/>
    <w:rsid w:val="008F5AE5"/>
    <w:rsid w:val="0090571A"/>
    <w:rsid w:val="009101FF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5678"/>
    <w:rsid w:val="00966DBD"/>
    <w:rsid w:val="00970241"/>
    <w:rsid w:val="0097156B"/>
    <w:rsid w:val="0097187F"/>
    <w:rsid w:val="00982288"/>
    <w:rsid w:val="00983BC6"/>
    <w:rsid w:val="009912F4"/>
    <w:rsid w:val="00996992"/>
    <w:rsid w:val="009B1A6E"/>
    <w:rsid w:val="009B20FB"/>
    <w:rsid w:val="009B22A7"/>
    <w:rsid w:val="009B5DF8"/>
    <w:rsid w:val="009B6082"/>
    <w:rsid w:val="009C0177"/>
    <w:rsid w:val="009C1535"/>
    <w:rsid w:val="009C3810"/>
    <w:rsid w:val="009C49EC"/>
    <w:rsid w:val="009C70F8"/>
    <w:rsid w:val="009E01C2"/>
    <w:rsid w:val="009E0C04"/>
    <w:rsid w:val="009E1D4C"/>
    <w:rsid w:val="009E3356"/>
    <w:rsid w:val="009E7146"/>
    <w:rsid w:val="009F329E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08FF"/>
    <w:rsid w:val="00A61BEE"/>
    <w:rsid w:val="00A66BDA"/>
    <w:rsid w:val="00A67420"/>
    <w:rsid w:val="00A828E2"/>
    <w:rsid w:val="00A82CCA"/>
    <w:rsid w:val="00A85739"/>
    <w:rsid w:val="00A87A6E"/>
    <w:rsid w:val="00AA268B"/>
    <w:rsid w:val="00AB1ACD"/>
    <w:rsid w:val="00AB1B65"/>
    <w:rsid w:val="00AB3A57"/>
    <w:rsid w:val="00AC47B2"/>
    <w:rsid w:val="00AD1A00"/>
    <w:rsid w:val="00AD60E9"/>
    <w:rsid w:val="00AE635C"/>
    <w:rsid w:val="00AE7785"/>
    <w:rsid w:val="00AF022F"/>
    <w:rsid w:val="00AF0666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62B"/>
    <w:rsid w:val="00BF6323"/>
    <w:rsid w:val="00C0643B"/>
    <w:rsid w:val="00C23B30"/>
    <w:rsid w:val="00C32CB7"/>
    <w:rsid w:val="00C44BC5"/>
    <w:rsid w:val="00C512FB"/>
    <w:rsid w:val="00C5429F"/>
    <w:rsid w:val="00C54EF9"/>
    <w:rsid w:val="00C75499"/>
    <w:rsid w:val="00C77CFD"/>
    <w:rsid w:val="00C904C5"/>
    <w:rsid w:val="00C93C3C"/>
    <w:rsid w:val="00C96C46"/>
    <w:rsid w:val="00C96E28"/>
    <w:rsid w:val="00CB119E"/>
    <w:rsid w:val="00CB16AD"/>
    <w:rsid w:val="00CB255A"/>
    <w:rsid w:val="00CB4290"/>
    <w:rsid w:val="00CC6390"/>
    <w:rsid w:val="00CC7312"/>
    <w:rsid w:val="00CD6E81"/>
    <w:rsid w:val="00CE6591"/>
    <w:rsid w:val="00CF1DC7"/>
    <w:rsid w:val="00D04C83"/>
    <w:rsid w:val="00D14F5C"/>
    <w:rsid w:val="00D30C37"/>
    <w:rsid w:val="00D32E41"/>
    <w:rsid w:val="00D337D8"/>
    <w:rsid w:val="00D423B6"/>
    <w:rsid w:val="00D52E7F"/>
    <w:rsid w:val="00D54A56"/>
    <w:rsid w:val="00D57FBF"/>
    <w:rsid w:val="00D64D56"/>
    <w:rsid w:val="00D67106"/>
    <w:rsid w:val="00D72AE1"/>
    <w:rsid w:val="00D740F6"/>
    <w:rsid w:val="00D7415B"/>
    <w:rsid w:val="00D769F5"/>
    <w:rsid w:val="00D844C4"/>
    <w:rsid w:val="00D951CB"/>
    <w:rsid w:val="00DA11C4"/>
    <w:rsid w:val="00DB05F5"/>
    <w:rsid w:val="00DC4528"/>
    <w:rsid w:val="00DD56EA"/>
    <w:rsid w:val="00DD6BA6"/>
    <w:rsid w:val="00DF27FF"/>
    <w:rsid w:val="00DF4FA4"/>
    <w:rsid w:val="00DF5BF4"/>
    <w:rsid w:val="00E02E6F"/>
    <w:rsid w:val="00E0594C"/>
    <w:rsid w:val="00E07FD3"/>
    <w:rsid w:val="00E10B7C"/>
    <w:rsid w:val="00E134C1"/>
    <w:rsid w:val="00E2321E"/>
    <w:rsid w:val="00E2691A"/>
    <w:rsid w:val="00E27444"/>
    <w:rsid w:val="00E36029"/>
    <w:rsid w:val="00E36A81"/>
    <w:rsid w:val="00E42D00"/>
    <w:rsid w:val="00E46EA7"/>
    <w:rsid w:val="00E4759A"/>
    <w:rsid w:val="00E47C4E"/>
    <w:rsid w:val="00E51035"/>
    <w:rsid w:val="00E52CA3"/>
    <w:rsid w:val="00E54562"/>
    <w:rsid w:val="00E73477"/>
    <w:rsid w:val="00E87249"/>
    <w:rsid w:val="00E9032C"/>
    <w:rsid w:val="00E91EFE"/>
    <w:rsid w:val="00EB7C45"/>
    <w:rsid w:val="00EB7C80"/>
    <w:rsid w:val="00EC1D87"/>
    <w:rsid w:val="00EC2797"/>
    <w:rsid w:val="00ED2DE7"/>
    <w:rsid w:val="00ED6A80"/>
    <w:rsid w:val="00F026E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3B22"/>
    <w:rsid w:val="00F864A1"/>
    <w:rsid w:val="00F90E45"/>
    <w:rsid w:val="00F9576D"/>
    <w:rsid w:val="00FA086A"/>
    <w:rsid w:val="00FB002B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DE ATENCIONES EN SEXO: </a:t>
            </a:r>
          </a:p>
          <a:p>
            <a:pPr>
              <a:defRPr/>
            </a:pPr>
            <a:r>
              <a:rPr lang="en-US" baseline="0"/>
              <a:t>MUJER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4610866372980913E-2"/>
          <c:y val="0.25370114942528738"/>
          <c:w val="0.93538913362701914"/>
          <c:h val="0.21411168431532265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5A-4274-8B65-4C1A6E1792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5A-4274-8B65-4C1A6E1792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5A-4274-8B65-4C1A6E1792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5A-4274-8B65-4C1A6E1792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5A-4274-8B65-4C1A6E1792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5A-4274-8B65-4C1A6E17921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95A-4274-8B65-4C1A6E17921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95A-4274-8B65-4C1A6E17921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95A-4274-8B65-4C1A6E17921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95A-4274-8B65-4C1A6E17921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95A-4274-8B65-4C1A6E17921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95A-4274-8B65-4C1A6E17921A}"/>
              </c:ext>
            </c:extLst>
          </c:dPt>
          <c:cat>
            <c:strRef>
              <c:f>Hoja1!$A$2:$A$13</c:f>
              <c:strCache>
                <c:ptCount val="12"/>
                <c:pt idx="0">
                  <c:v>Atenciones ABRIL 2024</c:v>
                </c:pt>
                <c:pt idx="1">
                  <c:v>Admisión de Recurso de Reconsideración</c:v>
                </c:pt>
                <c:pt idx="2">
                  <c:v>Admisión de Seguimiento al Estado de Salud</c:v>
                </c:pt>
                <c:pt idx="3">
                  <c:v>Admisión de Solicitud de Recurso de Apelación</c:v>
                </c:pt>
                <c:pt idx="4">
                  <c:v>Análisis de Caso</c:v>
                </c:pt>
                <c:pt idx="5">
                  <c:v>Atención Telefónica</c:v>
                </c:pt>
                <c:pt idx="6">
                  <c:v>Constancia de Lesiones</c:v>
                </c:pt>
                <c:pt idx="7">
                  <c:v>Inadmisibilidad de Recurso de Reconsideración</c:v>
                </c:pt>
                <c:pt idx="8">
                  <c:v>Inadmisibilidad de Seguimiento al Estado de Salud</c:v>
                </c:pt>
                <c:pt idx="9">
                  <c:v>Primera Evaluación (Traslado de CTE)</c:v>
                </c:pt>
                <c:pt idx="10">
                  <c:v>Resoluciones Varias</c:v>
                </c:pt>
                <c:pt idx="11">
                  <c:v>Suspensión del Proceso Administrativo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7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5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95A-4274-8B65-4C1A6E179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1618240287531623"/>
          <c:y val="0.49691968503937006"/>
          <c:w val="0.57964696980445007"/>
          <c:h val="0.47264772754469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DE ATENCIONES</a:t>
            </a:r>
            <a:r>
              <a:rPr lang="en-US" baseline="0"/>
              <a:t> EN SEXO: HOMBRE</a:t>
            </a:r>
            <a:endParaRPr lang="en-US"/>
          </a:p>
        </c:rich>
      </c:tx>
      <c:layout>
        <c:manualLayout>
          <c:xMode val="edge"/>
          <c:yMode val="edge"/>
          <c:x val="0.114329153300281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FE-44A7-9DEC-04CE25E9FE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FE-44A7-9DEC-04CE25E9FE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FE-44A7-9DEC-04CE25E9FE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FE-44A7-9DEC-04CE25E9FED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FE-44A7-9DEC-04CE25E9FED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FE-44A7-9DEC-04CE25E9FED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FE-44A7-9DEC-04CE25E9FED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FE-44A7-9DEC-04CE25E9FED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FE-44A7-9DEC-04CE25E9FED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FE-44A7-9DEC-04CE25E9FED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2FE-44A7-9DEC-04CE25E9FED5}"/>
              </c:ext>
            </c:extLst>
          </c:dPt>
          <c:cat>
            <c:strRef>
              <c:f>Hoja1!$A$2:$A$12</c:f>
              <c:strCache>
                <c:ptCount val="11"/>
                <c:pt idx="0">
                  <c:v>Admisión de Recurso de Reconsideración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Lesiones</c:v>
                </c:pt>
                <c:pt idx="6">
                  <c:v>Inadmisibilidad de Recurso de Reconsideración</c:v>
                </c:pt>
                <c:pt idx="7">
                  <c:v>Inadmisibilidad de Seguimiento al Estado de Salud</c:v>
                </c:pt>
                <c:pt idx="8">
                  <c:v>Primera Evaluación (Traslado de CTE)</c:v>
                </c:pt>
                <c:pt idx="9">
                  <c:v>Resoluciones Varias</c:v>
                </c:pt>
                <c:pt idx="10">
                  <c:v>Suspensión del Proceso Administrativo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0</c:v>
                </c:pt>
                <c:pt idx="1">
                  <c:v>19</c:v>
                </c:pt>
                <c:pt idx="2">
                  <c:v>0</c:v>
                </c:pt>
                <c:pt idx="3">
                  <c:v>4</c:v>
                </c:pt>
                <c:pt idx="4">
                  <c:v>43</c:v>
                </c:pt>
                <c:pt idx="5">
                  <c:v>10</c:v>
                </c:pt>
                <c:pt idx="6">
                  <c:v>0</c:v>
                </c:pt>
                <c:pt idx="7">
                  <c:v>1</c:v>
                </c:pt>
                <c:pt idx="8">
                  <c:v>10</c:v>
                </c:pt>
                <c:pt idx="9">
                  <c:v>1</c:v>
                </c:pt>
                <c:pt idx="1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2FE-44A7-9DEC-04CE25E9F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4</cp:revision>
  <cp:lastPrinted>2024-05-02T19:28:00Z</cp:lastPrinted>
  <dcterms:created xsi:type="dcterms:W3CDTF">2024-05-02T20:09:00Z</dcterms:created>
  <dcterms:modified xsi:type="dcterms:W3CDTF">2024-05-16T19:38:00Z</dcterms:modified>
</cp:coreProperties>
</file>