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16D44AF"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3B13D6">
        <w:rPr>
          <w:lang w:val="es-SV"/>
        </w:rPr>
        <w:t xml:space="preserve">2 de mayo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CA77A7A"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w:t>
      </w:r>
      <w:r w:rsidR="00505887">
        <w:rPr>
          <w:lang w:val="es-SV"/>
        </w:rPr>
        <w:t>Comité</w:t>
      </w:r>
      <w:r w:rsidR="004A2190" w:rsidRPr="00DF27FF">
        <w:rPr>
          <w:lang w:val="es-SV"/>
        </w:rPr>
        <w:t xml:space="preserve"> de </w:t>
      </w:r>
      <w:r w:rsidR="007042FB">
        <w:rPr>
          <w:lang w:val="es-SV"/>
        </w:rPr>
        <w:t xml:space="preserve"> </w:t>
      </w:r>
      <w:r w:rsidR="009E5C41">
        <w:rPr>
          <w:lang w:val="es-SV"/>
        </w:rPr>
        <w:t>Créditos</w:t>
      </w:r>
      <w:r w:rsidR="004E0E65">
        <w:rPr>
          <w:lang w:val="es-SV"/>
        </w:rPr>
        <w:t xml:space="preserve"> Proyectos y vivienda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3B13D6">
        <w:rPr>
          <w:b/>
          <w:bCs/>
          <w:lang w:val="es-SV"/>
        </w:rPr>
        <w:t xml:space="preserve">ABRIL </w:t>
      </w:r>
      <w:r w:rsidR="006A3859" w:rsidRPr="00505887">
        <w:rPr>
          <w:b/>
          <w:bCs/>
          <w:lang w:val="es-SV"/>
        </w:rPr>
        <w:t>202</w:t>
      </w:r>
      <w:r w:rsidR="009B1060" w:rsidRPr="00505887">
        <w:rPr>
          <w:b/>
          <w:bCs/>
          <w:lang w:val="es-SV"/>
        </w:rPr>
        <w:t>3</w:t>
      </w:r>
      <w:r w:rsidRPr="00505887">
        <w:rPr>
          <w:b/>
          <w:bCs/>
          <w:lang w:val="es-SV"/>
        </w:rPr>
        <w:t>.</w:t>
      </w:r>
      <w:r w:rsidRPr="00DF27FF">
        <w:rPr>
          <w:lang w:val="es-SV"/>
        </w:rPr>
        <w:t xml:space="preserve"> Y para hacerlo de conocimiento general, se elabora la presente acta</w:t>
      </w:r>
      <w:r w:rsidR="00475A9B">
        <w:rPr>
          <w:lang w:val="es-SV"/>
        </w:rPr>
        <w:t>.</w:t>
      </w:r>
    </w:p>
    <w:p w14:paraId="51ED901C" w14:textId="21BE598A" w:rsidR="00DF27FF" w:rsidRDefault="00DF27FF" w:rsidP="003769A8">
      <w:pPr>
        <w:spacing w:line="360" w:lineRule="auto"/>
        <w:jc w:val="center"/>
        <w:rPr>
          <w:lang w:val="es-SV"/>
        </w:rPr>
      </w:pPr>
    </w:p>
    <w:p w14:paraId="45FC085A" w14:textId="77777777" w:rsidR="003769A8" w:rsidRDefault="003769A8" w:rsidP="003769A8">
      <w:pPr>
        <w:spacing w:line="360" w:lineRule="auto"/>
        <w:jc w:val="center"/>
        <w:rPr>
          <w:lang w:val="es-SV"/>
        </w:rPr>
      </w:pPr>
    </w:p>
    <w:p w14:paraId="5AB3AEC2" w14:textId="77777777" w:rsidR="003769A8" w:rsidRDefault="003769A8" w:rsidP="003769A8">
      <w:pPr>
        <w:spacing w:line="360" w:lineRule="auto"/>
        <w:jc w:val="center"/>
        <w:rPr>
          <w:lang w:val="es-SV"/>
        </w:rPr>
      </w:pPr>
    </w:p>
    <w:p w14:paraId="1E7DD508" w14:textId="568EB030" w:rsidR="00DF27FF" w:rsidRDefault="00DF27FF" w:rsidP="006745C6">
      <w:pPr>
        <w:spacing w:line="360" w:lineRule="auto"/>
        <w:jc w:val="both"/>
        <w:rPr>
          <w:lang w:val="es-SV"/>
        </w:rPr>
      </w:pPr>
    </w:p>
    <w:p w14:paraId="3B0A1042" w14:textId="5752C3D5" w:rsidR="003A275C" w:rsidRDefault="003769A8" w:rsidP="003769A8">
      <w:pPr>
        <w:tabs>
          <w:tab w:val="left" w:pos="2520"/>
        </w:tabs>
        <w:spacing w:line="360" w:lineRule="auto"/>
        <w:jc w:val="both"/>
        <w:rPr>
          <w:lang w:val="es-SV"/>
        </w:rPr>
      </w:pPr>
      <w:r>
        <w:rPr>
          <w:lang w:val="es-SV"/>
        </w:rPr>
        <w:tab/>
      </w:r>
      <w:r w:rsidRPr="003769A8">
        <w:rPr>
          <w:rFonts w:ascii="Calibri" w:eastAsia="Calibri" w:hAnsi="Calibri"/>
          <w:kern w:val="2"/>
          <w:lang w:val="es-419"/>
          <w14:ligatures w14:val="standardContextual"/>
        </w:rPr>
        <w:object w:dxaOrig="6744" w:dyaOrig="3960" w14:anchorId="31A19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07.25pt" o:ole="">
            <v:imagedata r:id="rId8" o:title=""/>
          </v:shape>
          <o:OLEObject Type="Embed" ProgID="Paint.Picture.1" ShapeID="_x0000_i1025" DrawAspect="Content" ObjectID="_1746445142" r:id="rId9"/>
        </w:object>
      </w:r>
    </w:p>
    <w:p w14:paraId="092B1402" w14:textId="5499B47C" w:rsidR="003A275C" w:rsidRDefault="00D03261" w:rsidP="001E6B7D">
      <w:pPr>
        <w:tabs>
          <w:tab w:val="left" w:pos="2880"/>
          <w:tab w:val="left" w:pos="5910"/>
        </w:tabs>
        <w:spacing w:line="360" w:lineRule="auto"/>
        <w:jc w:val="both"/>
        <w:rPr>
          <w:lang w:val="es-SV"/>
        </w:rPr>
      </w:pPr>
      <w:r>
        <w:rPr>
          <w:lang w:val="es-SV"/>
        </w:rPr>
        <w:tab/>
      </w:r>
      <w:r w:rsidR="001E6B7D">
        <w:rPr>
          <w:lang w:val="es-SV"/>
        </w:rPr>
        <w:tab/>
      </w:r>
    </w:p>
    <w:p w14:paraId="6994D759" w14:textId="2D0F4EE1" w:rsidR="00135F3D" w:rsidRPr="001E6B7D" w:rsidRDefault="00B36FB5" w:rsidP="003769A8">
      <w:pPr>
        <w:tabs>
          <w:tab w:val="left" w:pos="2940"/>
          <w:tab w:val="left" w:pos="3210"/>
        </w:tabs>
        <w:spacing w:line="360" w:lineRule="auto"/>
        <w:jc w:val="both"/>
        <w:rPr>
          <w:rFonts w:ascii="Arial" w:hAnsi="Arial" w:cs="Arial"/>
          <w:b/>
          <w:bCs/>
          <w:sz w:val="24"/>
          <w:szCs w:val="24"/>
          <w:lang w:val="es-SV"/>
        </w:rPr>
      </w:pPr>
      <w:bookmarkStart w:id="0" w:name="_Hlk84595620"/>
      <w:r w:rsidRPr="001E6B7D">
        <w:rPr>
          <w:rFonts w:ascii="Arial" w:hAnsi="Arial" w:cs="Arial"/>
          <w:b/>
          <w:bCs/>
          <w:sz w:val="24"/>
          <w:szCs w:val="24"/>
          <w:lang w:val="es-SV"/>
        </w:rPr>
        <w:t xml:space="preserve">                                         </w:t>
      </w:r>
      <w:r w:rsidR="004A2190" w:rsidRPr="001E6B7D">
        <w:rPr>
          <w:b/>
          <w:bCs/>
          <w:sz w:val="24"/>
          <w:szCs w:val="24"/>
          <w:lang w:val="es-MX"/>
        </w:rPr>
        <w:t xml:space="preserve"> Lic</w:t>
      </w:r>
      <w:r w:rsidR="003B13D6" w:rsidRPr="001E6B7D">
        <w:rPr>
          <w:b/>
          <w:bCs/>
          <w:sz w:val="24"/>
          <w:szCs w:val="24"/>
          <w:lang w:val="es-MX"/>
        </w:rPr>
        <w:t>enciado. Noé Isaí Rivas Hernández</w:t>
      </w:r>
      <w:r w:rsidR="00135F3D" w:rsidRPr="001E6B7D">
        <w:rPr>
          <w:b/>
          <w:bCs/>
          <w:sz w:val="24"/>
          <w:szCs w:val="24"/>
          <w:lang w:val="es-MX"/>
        </w:rPr>
        <w:t xml:space="preserve"> </w:t>
      </w:r>
    </w:p>
    <w:p w14:paraId="442E96B5" w14:textId="116B188E"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1E6B7D">
        <w:rPr>
          <w:b/>
          <w:bCs/>
          <w:sz w:val="24"/>
          <w:szCs w:val="24"/>
          <w:lang w:val="es-MX"/>
        </w:rPr>
        <w:t xml:space="preserve">Informacion de </w:t>
      </w:r>
      <w:r w:rsidR="006A3859">
        <w:rPr>
          <w:b/>
          <w:bCs/>
          <w:sz w:val="24"/>
          <w:szCs w:val="24"/>
          <w:lang w:val="es-MX"/>
        </w:rPr>
        <w:t>la Unidad de Acceso a la</w:t>
      </w:r>
      <w:r w:rsidRPr="0041143F">
        <w:rPr>
          <w:b/>
          <w:bCs/>
          <w:sz w:val="24"/>
          <w:szCs w:val="24"/>
          <w:lang w:val="es-MX"/>
        </w:rPr>
        <w:t xml:space="preserve"> Información</w:t>
      </w:r>
      <w:bookmarkEnd w:id="0"/>
      <w:r w:rsidR="006A3859">
        <w:rPr>
          <w:b/>
          <w:bCs/>
          <w:sz w:val="24"/>
          <w:szCs w:val="24"/>
          <w:lang w:val="es-MX"/>
        </w:rPr>
        <w:t xml:space="preserve"> Pública</w:t>
      </w:r>
    </w:p>
    <w:p w14:paraId="39C7EBE6" w14:textId="33F0C4A4" w:rsidR="003769A8" w:rsidRPr="0041143F" w:rsidRDefault="003769A8"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3769A8"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E290" w14:textId="77777777" w:rsidR="009A5861" w:rsidRDefault="009A5861" w:rsidP="00A57328">
      <w:r>
        <w:separator/>
      </w:r>
    </w:p>
  </w:endnote>
  <w:endnote w:type="continuationSeparator" w:id="0">
    <w:p w14:paraId="12C75306" w14:textId="77777777" w:rsidR="009A5861" w:rsidRDefault="009A586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1BC1" w14:textId="77777777" w:rsidR="009A5861" w:rsidRDefault="009A5861" w:rsidP="00A57328">
      <w:r>
        <w:separator/>
      </w:r>
    </w:p>
  </w:footnote>
  <w:footnote w:type="continuationSeparator" w:id="0">
    <w:p w14:paraId="0D56E600" w14:textId="77777777" w:rsidR="009A5861" w:rsidRDefault="009A586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E6B7D"/>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769A8"/>
    <w:rsid w:val="00381C98"/>
    <w:rsid w:val="00390AEA"/>
    <w:rsid w:val="003A1D32"/>
    <w:rsid w:val="003A275C"/>
    <w:rsid w:val="003A6D22"/>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0E65"/>
    <w:rsid w:val="004E1DAF"/>
    <w:rsid w:val="004E7A94"/>
    <w:rsid w:val="004E7AD9"/>
    <w:rsid w:val="00505887"/>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3435F"/>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A586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6FB5"/>
    <w:rsid w:val="00B37B15"/>
    <w:rsid w:val="00B43D88"/>
    <w:rsid w:val="00B472A1"/>
    <w:rsid w:val="00B55818"/>
    <w:rsid w:val="00B63C28"/>
    <w:rsid w:val="00B66BDF"/>
    <w:rsid w:val="00B8350E"/>
    <w:rsid w:val="00B91020"/>
    <w:rsid w:val="00B93BC1"/>
    <w:rsid w:val="00BA0365"/>
    <w:rsid w:val="00BA165C"/>
    <w:rsid w:val="00BA2A6A"/>
    <w:rsid w:val="00BA2D4B"/>
    <w:rsid w:val="00BA2DC1"/>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326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12BD"/>
    <w:rsid w:val="00F80C4C"/>
    <w:rsid w:val="00F83B22"/>
    <w:rsid w:val="00F864A1"/>
    <w:rsid w:val="00F9576D"/>
    <w:rsid w:val="00FA4A70"/>
    <w:rsid w:val="00FB4647"/>
    <w:rsid w:val="00FC1E95"/>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140</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2023-01-18T14:17:00Z</dcterms:created>
  <dcterms:modified xsi:type="dcterms:W3CDTF">2023-05-24T20:53:00Z</dcterms:modified>
</cp:coreProperties>
</file>