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7AAC" w14:textId="606F0AAC" w:rsidR="003C2174" w:rsidRDefault="003C2174" w:rsidP="0091603B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F961CC" w14:textId="77777777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29D653" w14:textId="77777777" w:rsidR="003C2174" w:rsidRPr="003C2174" w:rsidRDefault="003C2174" w:rsidP="003C2174">
      <w:pPr>
        <w:jc w:val="center"/>
        <w:rPr>
          <w:rFonts w:ascii="Arial Narrow" w:eastAsia="Calibri" w:hAnsi="Arial Narrow" w:cs="Times New Roman"/>
          <w:b/>
          <w:bCs/>
          <w:lang w:val="es-MX"/>
        </w:rPr>
      </w:pPr>
      <w:r w:rsidRPr="003C2174">
        <w:rPr>
          <w:rFonts w:ascii="Arial Narrow" w:eastAsia="Calibri" w:hAnsi="Arial Narrow" w:cs="Times New Roman"/>
          <w:b/>
          <w:bCs/>
          <w:lang w:val="es-MX"/>
        </w:rPr>
        <w:t xml:space="preserve">DEPARTAMENTO DE SEGUIMIENTO Y MONITOREO </w:t>
      </w:r>
    </w:p>
    <w:p w14:paraId="611016E7" w14:textId="77777777" w:rsidR="003C2174" w:rsidRPr="003C2174" w:rsidRDefault="003C2174" w:rsidP="003C2174">
      <w:pPr>
        <w:spacing w:line="360" w:lineRule="auto"/>
        <w:ind w:right="616"/>
        <w:jc w:val="both"/>
        <w:rPr>
          <w:rFonts w:ascii="Arial Narrow" w:eastAsia="Calibri" w:hAnsi="Arial Narrow" w:cs="Times New Roman"/>
        </w:rPr>
      </w:pPr>
      <w:r w:rsidRPr="003C2174">
        <w:rPr>
          <w:rFonts w:ascii="Arial Narrow" w:eastAsia="Calibri" w:hAnsi="Arial Narrow" w:cs="Times New Roman"/>
          <w:lang w:val="es-ES"/>
        </w:rPr>
        <w:t>Como parte del cumplimiento del Plan Operativo Anual (POA) 2022 del Departamento de Seguimiento y Monitoreo, cuya misión es</w:t>
      </w:r>
      <w:r w:rsidRPr="003C2174">
        <w:rPr>
          <w:rFonts w:ascii="Arial Narrow" w:eastAsia="Calibri" w:hAnsi="Arial Narrow" w:cs="Times New Roman"/>
        </w:rPr>
        <w:t xml:space="preserve"> garantizar el cumplimiento de cada actividad realizada por cada departamento en salud y realizar evaluaciones medicas integrar para que reciban sus beneficios de insumos médicos. </w:t>
      </w:r>
    </w:p>
    <w:p w14:paraId="414B735C" w14:textId="77777777" w:rsidR="003C2174" w:rsidRPr="003C2174" w:rsidRDefault="003C2174" w:rsidP="003C2174">
      <w:pPr>
        <w:spacing w:line="360" w:lineRule="auto"/>
        <w:ind w:right="616"/>
        <w:jc w:val="both"/>
        <w:rPr>
          <w:rFonts w:ascii="Arial Narrow" w:eastAsia="Calibri" w:hAnsi="Arial Narrow" w:cs="Times New Roman"/>
        </w:rPr>
      </w:pPr>
      <w:r w:rsidRPr="003C2174">
        <w:rPr>
          <w:rFonts w:ascii="Arial Narrow" w:eastAsia="Calibri" w:hAnsi="Arial Narrow" w:cs="Times New Roman"/>
        </w:rPr>
        <w:t xml:space="preserve">Para poder dar cumplimiento a la misión trazada, la Dirección de Salud por medio del Departamento de Seguimiento y Monitoreo debe de crear proyectos y/o programas que tengan la finalidad de incidir positivamente en el mejoramiento de la calidad de vida del veterano y excombatiente. </w:t>
      </w:r>
    </w:p>
    <w:p w14:paraId="0695694A" w14:textId="77777777" w:rsidR="003C2174" w:rsidRPr="003C2174" w:rsidRDefault="003C2174" w:rsidP="003C2174">
      <w:pPr>
        <w:spacing w:line="360" w:lineRule="auto"/>
        <w:ind w:right="616"/>
        <w:jc w:val="both"/>
        <w:rPr>
          <w:rFonts w:ascii="Arial Narrow" w:eastAsia="Calibri" w:hAnsi="Arial Narrow" w:cs="Times New Roman"/>
          <w:b/>
          <w:bCs/>
          <w:u w:val="single"/>
        </w:rPr>
      </w:pPr>
      <w:r w:rsidRPr="003C2174">
        <w:rPr>
          <w:rFonts w:ascii="Arial Narrow" w:eastAsia="Calibri" w:hAnsi="Arial Narrow" w:cs="Times New Roman"/>
          <w:b/>
          <w:bCs/>
          <w:u w:val="single"/>
        </w:rPr>
        <w:t>En este sentido, el Departamento de Seguimiento y Monitoreo a ejecutado en el mes de MAYO 2022:</w:t>
      </w:r>
    </w:p>
    <w:p w14:paraId="2CF4FFB2" w14:textId="77777777" w:rsidR="003C2174" w:rsidRPr="003C2174" w:rsidRDefault="003C2174" w:rsidP="003C2174">
      <w:pPr>
        <w:numPr>
          <w:ilvl w:val="0"/>
          <w:numId w:val="23"/>
        </w:numPr>
        <w:spacing w:line="360" w:lineRule="auto"/>
        <w:ind w:right="616"/>
        <w:contextualSpacing/>
        <w:jc w:val="both"/>
        <w:rPr>
          <w:rFonts w:ascii="Arial Narrow" w:eastAsia="Calibri" w:hAnsi="Arial Narrow" w:cs="Times New Roman"/>
        </w:rPr>
      </w:pPr>
      <w:r w:rsidRPr="003C2174">
        <w:rPr>
          <w:rFonts w:ascii="Arial Narrow" w:eastAsia="Calibri" w:hAnsi="Arial Narrow" w:cs="Times New Roman"/>
        </w:rPr>
        <w:t>Atención médica para evaluación y brindar el beneficio de insumos médicos fueron realizados 40 consultas.</w:t>
      </w:r>
    </w:p>
    <w:p w14:paraId="4E0211E6" w14:textId="77777777" w:rsidR="003C2174" w:rsidRPr="003C2174" w:rsidRDefault="003C2174" w:rsidP="003C2174">
      <w:pPr>
        <w:numPr>
          <w:ilvl w:val="0"/>
          <w:numId w:val="23"/>
        </w:numPr>
        <w:spacing w:line="360" w:lineRule="auto"/>
        <w:ind w:right="616"/>
        <w:contextualSpacing/>
        <w:jc w:val="both"/>
        <w:rPr>
          <w:rFonts w:ascii="Arial Narrow" w:eastAsia="Calibri" w:hAnsi="Arial Narrow" w:cs="Times New Roman"/>
        </w:rPr>
      </w:pPr>
      <w:r w:rsidRPr="003C2174">
        <w:rPr>
          <w:rFonts w:ascii="Arial Narrow" w:eastAsia="Calibri" w:hAnsi="Arial Narrow" w:cs="Times New Roman"/>
        </w:rPr>
        <w:t>Atención medica en visita domiciliar realizada para levantamiento de sobrevivencia en acompañamiento de Departamento de Registro fuero realizadas 18 consultas</w:t>
      </w:r>
    </w:p>
    <w:p w14:paraId="40759446" w14:textId="77777777" w:rsidR="003C2174" w:rsidRPr="003C2174" w:rsidRDefault="003C2174" w:rsidP="003C2174">
      <w:pPr>
        <w:numPr>
          <w:ilvl w:val="0"/>
          <w:numId w:val="23"/>
        </w:numPr>
        <w:spacing w:line="360" w:lineRule="auto"/>
        <w:ind w:right="616"/>
        <w:contextualSpacing/>
        <w:jc w:val="both"/>
        <w:rPr>
          <w:rFonts w:ascii="Arial Narrow" w:eastAsia="Calibri" w:hAnsi="Arial Narrow" w:cs="Times New Roman"/>
        </w:rPr>
      </w:pPr>
      <w:r w:rsidRPr="003C2174">
        <w:rPr>
          <w:rFonts w:ascii="Arial Narrow" w:eastAsia="Calibri" w:hAnsi="Arial Narrow" w:cs="Times New Roman"/>
        </w:rPr>
        <w:t>Actualmente tenemos 627 atenciones en el área oftalmológica con diagnostico cataratas y pterigión en cual estamos realizando gestiones pertinentes para brindar solución y que los pacientes reciban el beneficio de los lentes</w:t>
      </w:r>
    </w:p>
    <w:p w14:paraId="79C61499" w14:textId="77777777" w:rsidR="003C2174" w:rsidRPr="003C2174" w:rsidRDefault="003C2174" w:rsidP="003C2174">
      <w:pPr>
        <w:numPr>
          <w:ilvl w:val="0"/>
          <w:numId w:val="23"/>
        </w:numPr>
        <w:spacing w:line="360" w:lineRule="auto"/>
        <w:ind w:right="616"/>
        <w:contextualSpacing/>
        <w:jc w:val="both"/>
        <w:rPr>
          <w:rFonts w:ascii="Arial Narrow" w:eastAsia="Calibri" w:hAnsi="Arial Narrow" w:cs="Times New Roman"/>
        </w:rPr>
      </w:pPr>
      <w:r w:rsidRPr="003C2174">
        <w:rPr>
          <w:rFonts w:ascii="Arial Narrow" w:eastAsia="Calibri" w:hAnsi="Arial Narrow" w:cs="Times New Roman"/>
        </w:rPr>
        <w:t xml:space="preserve">Se le brinda seguimiento a la entrega de aparatos auditivos el 12 de mayo se realizaron 16 aparatos auditivos </w:t>
      </w:r>
    </w:p>
    <w:p w14:paraId="3F112340" w14:textId="77777777" w:rsidR="003C2174" w:rsidRPr="003C2174" w:rsidRDefault="003C2174" w:rsidP="003C2174">
      <w:pPr>
        <w:spacing w:line="360" w:lineRule="auto"/>
        <w:ind w:right="616"/>
        <w:jc w:val="both"/>
        <w:rPr>
          <w:rFonts w:ascii="Arial Narrow" w:eastAsia="Calibri" w:hAnsi="Arial Narrow" w:cs="Tahoma"/>
        </w:rPr>
      </w:pPr>
      <w:r w:rsidRPr="003C2174">
        <w:rPr>
          <w:rFonts w:ascii="Arial Narrow" w:eastAsia="Calibri" w:hAnsi="Arial Narrow" w:cs="Tahoma"/>
        </w:rPr>
        <w:t>Para dichas atenciones, pueden acceder Veteranos y excombatientes que se encuentran registrados en el Sistema de Veteranos (SIVET). Así mismo, el veterano o veterana puede reservar cita para su cónyuge (legalmente casados) y para sus hijos.</w:t>
      </w:r>
    </w:p>
    <w:p w14:paraId="0F8216DC" w14:textId="77777777" w:rsidR="003C2174" w:rsidRPr="003C2174" w:rsidRDefault="003C2174" w:rsidP="003C2174">
      <w:pPr>
        <w:spacing w:line="360" w:lineRule="auto"/>
        <w:ind w:right="616"/>
        <w:jc w:val="both"/>
        <w:rPr>
          <w:rFonts w:ascii="Arial Narrow" w:eastAsia="Calibri" w:hAnsi="Arial Narrow" w:cs="Tahoma"/>
          <w:b/>
          <w:bCs/>
          <w:u w:val="single"/>
        </w:rPr>
      </w:pPr>
      <w:r w:rsidRPr="003C2174">
        <w:rPr>
          <w:rFonts w:ascii="Arial Narrow" w:eastAsia="Calibri" w:hAnsi="Arial Narrow" w:cs="Tahoma"/>
        </w:rPr>
        <w:t xml:space="preserve">Sin embargo, en la atención médica es </w:t>
      </w:r>
      <w:r w:rsidRPr="003C2174">
        <w:rPr>
          <w:rFonts w:ascii="Arial Narrow" w:eastAsia="Calibri" w:hAnsi="Arial Narrow" w:cs="Tahoma"/>
          <w:b/>
          <w:bCs/>
          <w:u w:val="single"/>
        </w:rPr>
        <w:t>únicamente aplica para veteranos y excombatientes.</w:t>
      </w:r>
    </w:p>
    <w:p w14:paraId="0CB3A9C7" w14:textId="77777777" w:rsidR="003C2174" w:rsidRPr="003C2174" w:rsidRDefault="003C2174" w:rsidP="003C2174">
      <w:pPr>
        <w:spacing w:line="360" w:lineRule="auto"/>
        <w:ind w:right="616"/>
        <w:jc w:val="both"/>
        <w:rPr>
          <w:rFonts w:ascii="Arial Narrow" w:eastAsia="Calibri" w:hAnsi="Arial Narrow" w:cs="Tahoma"/>
          <w:b/>
          <w:bCs/>
        </w:rPr>
      </w:pPr>
      <w:r w:rsidRPr="003C2174">
        <w:rPr>
          <w:rFonts w:ascii="Arial Narrow" w:eastAsia="Calibri" w:hAnsi="Arial Narrow" w:cs="Tahoma"/>
          <w:b/>
          <w:bCs/>
        </w:rPr>
        <w:t xml:space="preserve">Atentamente: </w:t>
      </w:r>
    </w:p>
    <w:p w14:paraId="6384DF14" w14:textId="77777777" w:rsidR="003C2174" w:rsidRPr="003C2174" w:rsidRDefault="003C2174" w:rsidP="003C2174">
      <w:pPr>
        <w:spacing w:after="0" w:line="240" w:lineRule="auto"/>
        <w:ind w:right="616"/>
        <w:jc w:val="both"/>
        <w:rPr>
          <w:rFonts w:ascii="Arial Narrow" w:eastAsia="Calibri" w:hAnsi="Arial Narrow" w:cs="Tahoma"/>
          <w:b/>
          <w:bCs/>
        </w:rPr>
      </w:pPr>
      <w:r w:rsidRPr="003C2174">
        <w:rPr>
          <w:rFonts w:ascii="Arial Narrow" w:eastAsia="Calibri" w:hAnsi="Arial Narrow" w:cs="Tahoma"/>
          <w:b/>
          <w:bCs/>
        </w:rPr>
        <w:t xml:space="preserve">Dra. Shirley Marlene Chiquillo Tobar </w:t>
      </w:r>
    </w:p>
    <w:p w14:paraId="7B6EED69" w14:textId="77777777" w:rsidR="003C2174" w:rsidRPr="003C2174" w:rsidRDefault="003C2174" w:rsidP="003C2174">
      <w:pPr>
        <w:spacing w:after="0" w:line="240" w:lineRule="auto"/>
        <w:ind w:right="616"/>
        <w:jc w:val="both"/>
        <w:rPr>
          <w:rFonts w:ascii="Arial Narrow" w:eastAsia="Calibri" w:hAnsi="Arial Narrow" w:cs="Tahoma"/>
          <w:b/>
          <w:bCs/>
        </w:rPr>
      </w:pPr>
      <w:r w:rsidRPr="003C2174">
        <w:rPr>
          <w:rFonts w:ascii="Arial Narrow" w:eastAsia="Calibri" w:hAnsi="Arial Narrow" w:cs="Tahoma"/>
          <w:b/>
          <w:bCs/>
        </w:rPr>
        <w:t>Jefe Departamento de Seguimiento y Monitoreo</w:t>
      </w:r>
    </w:p>
    <w:p w14:paraId="6996CB9B" w14:textId="77777777" w:rsidR="003C2174" w:rsidRPr="003C2174" w:rsidRDefault="002D2119" w:rsidP="003C2174">
      <w:pPr>
        <w:spacing w:after="0" w:line="240" w:lineRule="auto"/>
        <w:ind w:right="618"/>
        <w:jc w:val="both"/>
        <w:rPr>
          <w:rFonts w:ascii="Arial Narrow" w:eastAsia="Calibri" w:hAnsi="Arial Narrow" w:cs="Tahoma"/>
        </w:rPr>
      </w:pPr>
      <w:hyperlink r:id="rId8" w:history="1">
        <w:r w:rsidR="003C2174" w:rsidRPr="003C2174">
          <w:rPr>
            <w:rFonts w:ascii="Arial Narrow" w:eastAsia="Calibri" w:hAnsi="Arial Narrow" w:cs="Tahoma"/>
            <w:color w:val="0563C1"/>
            <w:u w:val="single"/>
          </w:rPr>
          <w:t>shirley.chiquillo@INABVE.gob.sv</w:t>
        </w:r>
      </w:hyperlink>
    </w:p>
    <w:p w14:paraId="590DD9E4" w14:textId="77777777" w:rsidR="003C2174" w:rsidRPr="003C2174" w:rsidRDefault="003C2174" w:rsidP="003C2174">
      <w:pPr>
        <w:spacing w:after="0" w:line="240" w:lineRule="auto"/>
        <w:ind w:right="618"/>
        <w:jc w:val="both"/>
        <w:rPr>
          <w:rFonts w:ascii="Arial Narrow" w:eastAsia="Calibri" w:hAnsi="Arial Narrow" w:cs="Tahoma"/>
        </w:rPr>
      </w:pPr>
    </w:p>
    <w:p w14:paraId="6D9B8D8E" w14:textId="77777777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36473E" w14:textId="77777777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9B0C77" w14:textId="764F3C83" w:rsidR="00805385" w:rsidRDefault="00805385" w:rsidP="00EF512C">
      <w:pPr>
        <w:rPr>
          <w:b/>
          <w:bCs/>
          <w:lang w:val="es-MX"/>
        </w:rPr>
      </w:pPr>
    </w:p>
    <w:p w14:paraId="58D16F24" w14:textId="77777777" w:rsidR="0091603B" w:rsidRDefault="0091603B" w:rsidP="00EF512C">
      <w:pPr>
        <w:rPr>
          <w:b/>
          <w:bCs/>
          <w:lang w:val="es-MX"/>
        </w:rPr>
      </w:pPr>
    </w:p>
    <w:p w14:paraId="3C681B4C" w14:textId="26E2CB39" w:rsidR="00EF512C" w:rsidRPr="00EF512C" w:rsidRDefault="00EF512C" w:rsidP="00EF512C">
      <w:pPr>
        <w:rPr>
          <w:b/>
          <w:bCs/>
          <w:lang w:val="es-MX"/>
        </w:rPr>
      </w:pPr>
      <w:r w:rsidRPr="00EF512C">
        <w:rPr>
          <w:b/>
          <w:bCs/>
          <w:lang w:val="es-MX"/>
        </w:rPr>
        <w:t>DEPARTAMENTO DE</w:t>
      </w:r>
      <w:r>
        <w:rPr>
          <w:b/>
          <w:bCs/>
          <w:lang w:val="es-MX"/>
        </w:rPr>
        <w:t xml:space="preserve"> SEGUIMIENTO Y MONITOREO </w:t>
      </w:r>
    </w:p>
    <w:p w14:paraId="00EBF90C" w14:textId="77777777" w:rsidR="00EF512C" w:rsidRPr="00620E4E" w:rsidRDefault="00EF512C" w:rsidP="00EF512C">
      <w:pPr>
        <w:rPr>
          <w:lang w:val="es-MX"/>
        </w:rPr>
      </w:pPr>
      <w:r w:rsidRPr="00620E4E">
        <w:rPr>
          <w:lang w:val="es-MX"/>
        </w:rPr>
        <w:t xml:space="preserve">A efecto de informar a la ciudadanía sobre los procesos de atención del Departamento de </w:t>
      </w:r>
    </w:p>
    <w:p w14:paraId="77BDEAF1" w14:textId="0E590118" w:rsidR="00EF512C" w:rsidRPr="00620E4E" w:rsidRDefault="00620E4E" w:rsidP="00EF512C">
      <w:pPr>
        <w:rPr>
          <w:lang w:val="es-MX"/>
        </w:rPr>
      </w:pPr>
      <w:r>
        <w:rPr>
          <w:lang w:val="es-MX"/>
        </w:rPr>
        <w:t xml:space="preserve">Seguimiento y Monitoreo </w:t>
      </w:r>
      <w:r w:rsidRPr="00620E4E">
        <w:rPr>
          <w:lang w:val="es-MX"/>
        </w:rPr>
        <w:t>del</w:t>
      </w:r>
      <w:r w:rsidR="00EF512C" w:rsidRPr="00620E4E">
        <w:rPr>
          <w:lang w:val="es-MX"/>
        </w:rPr>
        <w:t xml:space="preserve"> Instituto Administrador de los Beneficios de Veteranos y </w:t>
      </w:r>
    </w:p>
    <w:p w14:paraId="4BEB187C" w14:textId="078BACCB" w:rsidR="00EF512C" w:rsidRDefault="00EF512C" w:rsidP="00EF512C">
      <w:pPr>
        <w:rPr>
          <w:lang w:val="es-MX"/>
        </w:rPr>
      </w:pPr>
      <w:r w:rsidRPr="00620E4E">
        <w:rPr>
          <w:lang w:val="es-MX"/>
        </w:rPr>
        <w:t xml:space="preserve">Excombatientes, detallo los procesos atendidos en el período de </w:t>
      </w:r>
      <w:r w:rsidR="00620E4E">
        <w:rPr>
          <w:lang w:val="es-MX"/>
        </w:rPr>
        <w:t xml:space="preserve">mayo </w:t>
      </w:r>
      <w:r w:rsidR="00620E4E" w:rsidRPr="00620E4E">
        <w:rPr>
          <w:lang w:val="es-MX"/>
        </w:rPr>
        <w:t>2022</w:t>
      </w:r>
      <w:r w:rsidRPr="00620E4E">
        <w:rPr>
          <w:lang w:val="es-MX"/>
        </w:rPr>
        <w:t xml:space="preserve">. </w:t>
      </w:r>
    </w:p>
    <w:p w14:paraId="1470AEA2" w14:textId="77777777" w:rsidR="00620E4E" w:rsidRPr="00620E4E" w:rsidRDefault="00620E4E" w:rsidP="00EF512C">
      <w:pPr>
        <w:rPr>
          <w:lang w:val="es-MX"/>
        </w:rPr>
      </w:pPr>
    </w:p>
    <w:p w14:paraId="151738DF" w14:textId="77777777" w:rsidR="00EF512C" w:rsidRPr="00EF512C" w:rsidRDefault="00EF512C" w:rsidP="00EF512C">
      <w:pPr>
        <w:rPr>
          <w:b/>
          <w:bCs/>
          <w:lang w:val="es-MX"/>
        </w:rPr>
      </w:pPr>
      <w:r w:rsidRPr="00EF512C">
        <w:rPr>
          <w:b/>
          <w:bCs/>
          <w:lang w:val="es-MX"/>
        </w:rPr>
        <w:t>TOTAL, GENERAL DE PROCESOS ATENDIDOS</w:t>
      </w:r>
    </w:p>
    <w:p w14:paraId="36ED8519" w14:textId="66324CEB" w:rsidR="00EF512C" w:rsidRPr="00620E4E" w:rsidRDefault="00EF512C" w:rsidP="00EF512C">
      <w:pPr>
        <w:rPr>
          <w:lang w:val="es-MX"/>
        </w:rPr>
      </w:pPr>
      <w:r w:rsidRPr="00620E4E">
        <w:rPr>
          <w:lang w:val="es-MX"/>
        </w:rPr>
        <w:t xml:space="preserve">Se realizaron </w:t>
      </w:r>
      <w:r w:rsidR="00FD3527">
        <w:rPr>
          <w:lang w:val="es-MX"/>
        </w:rPr>
        <w:t xml:space="preserve">58 </w:t>
      </w:r>
      <w:r w:rsidR="00FD3527" w:rsidRPr="00620E4E">
        <w:rPr>
          <w:lang w:val="es-MX"/>
        </w:rPr>
        <w:t>procesos</w:t>
      </w:r>
      <w:r w:rsidRPr="00620E4E">
        <w:rPr>
          <w:lang w:val="es-MX"/>
        </w:rPr>
        <w:t xml:space="preserve"> de atención en el Departamento de</w:t>
      </w:r>
      <w:r w:rsidR="00FD3527">
        <w:rPr>
          <w:lang w:val="es-MX"/>
        </w:rPr>
        <w:t xml:space="preserve"> Seguimiento y Monitoreo</w:t>
      </w:r>
      <w:r w:rsidRPr="00620E4E">
        <w:rPr>
          <w:lang w:val="es-MX"/>
        </w:rPr>
        <w:t xml:space="preserve">, según el </w:t>
      </w:r>
    </w:p>
    <w:p w14:paraId="091757AF" w14:textId="27D4F03B" w:rsidR="000666D3" w:rsidRDefault="00EF512C" w:rsidP="00C467C1">
      <w:pPr>
        <w:rPr>
          <w:lang w:val="es-MX"/>
        </w:rPr>
      </w:pPr>
      <w:r w:rsidRPr="00620E4E">
        <w:rPr>
          <w:lang w:val="es-MX"/>
        </w:rPr>
        <w:t>siguiente detalle: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6"/>
        <w:gridCol w:w="1238"/>
        <w:gridCol w:w="1238"/>
        <w:gridCol w:w="1238"/>
        <w:gridCol w:w="1238"/>
        <w:gridCol w:w="1239"/>
      </w:tblGrid>
      <w:tr w:rsidR="00C467C1" w14:paraId="6337FF6E" w14:textId="77777777" w:rsidTr="001004E5">
        <w:tc>
          <w:tcPr>
            <w:tcW w:w="1398" w:type="dxa"/>
            <w:shd w:val="clear" w:color="auto" w:fill="5B9BD5" w:themeFill="accent1"/>
          </w:tcPr>
          <w:p w14:paraId="25A3C26B" w14:textId="35C17BE4" w:rsidR="00C467C1" w:rsidRDefault="00C467C1" w:rsidP="001004E5">
            <w:pPr>
              <w:rPr>
                <w:b/>
                <w:bCs/>
                <w:lang w:val="es-MX"/>
              </w:rPr>
            </w:pPr>
            <w:bookmarkStart w:id="0" w:name="_Hlk104965439"/>
            <w:r>
              <w:rPr>
                <w:b/>
                <w:bCs/>
                <w:lang w:val="es-MX"/>
              </w:rPr>
              <w:t>PROCESO</w:t>
            </w:r>
          </w:p>
        </w:tc>
        <w:tc>
          <w:tcPr>
            <w:tcW w:w="2476" w:type="dxa"/>
            <w:gridSpan w:val="2"/>
            <w:shd w:val="clear" w:color="auto" w:fill="5B9BD5" w:themeFill="accent1"/>
          </w:tcPr>
          <w:p w14:paraId="61233379" w14:textId="754F48AD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SEXO</w:t>
            </w:r>
          </w:p>
        </w:tc>
        <w:tc>
          <w:tcPr>
            <w:tcW w:w="2476" w:type="dxa"/>
            <w:gridSpan w:val="2"/>
            <w:shd w:val="clear" w:color="auto" w:fill="5B9BD5" w:themeFill="accent1"/>
          </w:tcPr>
          <w:p w14:paraId="5AB6AC91" w14:textId="466088E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SECTOR</w:t>
            </w:r>
          </w:p>
        </w:tc>
        <w:tc>
          <w:tcPr>
            <w:tcW w:w="1239" w:type="dxa"/>
            <w:shd w:val="clear" w:color="auto" w:fill="5B9BD5" w:themeFill="accent1"/>
          </w:tcPr>
          <w:p w14:paraId="2D072472" w14:textId="720C0A99" w:rsidR="00C467C1" w:rsidRDefault="00C467C1" w:rsidP="001004E5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CANTIDAD</w:t>
            </w:r>
          </w:p>
        </w:tc>
      </w:tr>
      <w:tr w:rsidR="00C467C1" w14:paraId="2211F2D4" w14:textId="77777777" w:rsidTr="001004E5">
        <w:tc>
          <w:tcPr>
            <w:tcW w:w="1398" w:type="dxa"/>
            <w:shd w:val="clear" w:color="auto" w:fill="5B9BD5" w:themeFill="accent1"/>
          </w:tcPr>
          <w:p w14:paraId="764F041C" w14:textId="77777777" w:rsidR="00C467C1" w:rsidRDefault="00C467C1" w:rsidP="001004E5">
            <w:pPr>
              <w:rPr>
                <w:b/>
                <w:bCs/>
                <w:lang w:val="es-MX"/>
              </w:rPr>
            </w:pPr>
          </w:p>
        </w:tc>
        <w:tc>
          <w:tcPr>
            <w:tcW w:w="1238" w:type="dxa"/>
            <w:shd w:val="clear" w:color="auto" w:fill="5B9BD5" w:themeFill="accent1"/>
          </w:tcPr>
          <w:p w14:paraId="505DAE9E" w14:textId="23043B40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</w:t>
            </w:r>
          </w:p>
        </w:tc>
        <w:tc>
          <w:tcPr>
            <w:tcW w:w="1238" w:type="dxa"/>
            <w:shd w:val="clear" w:color="auto" w:fill="5B9BD5" w:themeFill="accent1"/>
          </w:tcPr>
          <w:p w14:paraId="5FC45D94" w14:textId="7461D140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M</w:t>
            </w:r>
          </w:p>
        </w:tc>
        <w:tc>
          <w:tcPr>
            <w:tcW w:w="1238" w:type="dxa"/>
            <w:shd w:val="clear" w:color="auto" w:fill="5B9BD5" w:themeFill="accent1"/>
          </w:tcPr>
          <w:p w14:paraId="3500B466" w14:textId="24138ED3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FAES</w:t>
            </w:r>
          </w:p>
        </w:tc>
        <w:tc>
          <w:tcPr>
            <w:tcW w:w="1238" w:type="dxa"/>
            <w:shd w:val="clear" w:color="auto" w:fill="5B9BD5" w:themeFill="accent1"/>
          </w:tcPr>
          <w:p w14:paraId="77156E17" w14:textId="7A622A78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FMLN</w:t>
            </w:r>
          </w:p>
        </w:tc>
        <w:tc>
          <w:tcPr>
            <w:tcW w:w="1239" w:type="dxa"/>
            <w:shd w:val="clear" w:color="auto" w:fill="5B9BD5" w:themeFill="accent1"/>
          </w:tcPr>
          <w:p w14:paraId="0C2D5BAC" w14:textId="7EEF93D1" w:rsidR="00C467C1" w:rsidRDefault="00E04814" w:rsidP="001004E5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TOTAL </w:t>
            </w:r>
          </w:p>
        </w:tc>
      </w:tr>
      <w:tr w:rsidR="00C467C1" w14:paraId="5773CE87" w14:textId="77777777" w:rsidTr="001004E5">
        <w:tc>
          <w:tcPr>
            <w:tcW w:w="1398" w:type="dxa"/>
          </w:tcPr>
          <w:p w14:paraId="259D8569" w14:textId="091632AD" w:rsidR="00C467C1" w:rsidRDefault="00C467C1" w:rsidP="001004E5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EVALUACION MEDICA PARA RECIBIR EL BENEFICIO DE INSUMOS MEDICO</w:t>
            </w:r>
          </w:p>
        </w:tc>
        <w:tc>
          <w:tcPr>
            <w:tcW w:w="1238" w:type="dxa"/>
          </w:tcPr>
          <w:p w14:paraId="1EC17E11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38897069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2713D12E" w14:textId="000E1D5F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9</w:t>
            </w:r>
          </w:p>
        </w:tc>
        <w:tc>
          <w:tcPr>
            <w:tcW w:w="1238" w:type="dxa"/>
          </w:tcPr>
          <w:p w14:paraId="1B5C05B7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14A0098C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381F2C13" w14:textId="3453F9B9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31</w:t>
            </w:r>
          </w:p>
        </w:tc>
        <w:tc>
          <w:tcPr>
            <w:tcW w:w="1238" w:type="dxa"/>
          </w:tcPr>
          <w:p w14:paraId="07E0001D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064887E1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3E4CA8DA" w14:textId="377107E4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23</w:t>
            </w:r>
          </w:p>
        </w:tc>
        <w:tc>
          <w:tcPr>
            <w:tcW w:w="1238" w:type="dxa"/>
          </w:tcPr>
          <w:p w14:paraId="14E7E7EE" w14:textId="1FB95C0C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250CEFE2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1DF6968D" w14:textId="3CC60CDA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17</w:t>
            </w:r>
          </w:p>
        </w:tc>
        <w:tc>
          <w:tcPr>
            <w:tcW w:w="1239" w:type="dxa"/>
          </w:tcPr>
          <w:p w14:paraId="5C9B0BFE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6E744034" w14:textId="77777777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</w:p>
          <w:p w14:paraId="17FA7385" w14:textId="4327F1CE" w:rsidR="00C467C1" w:rsidRDefault="00C467C1" w:rsidP="001004E5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40</w:t>
            </w:r>
          </w:p>
        </w:tc>
      </w:tr>
    </w:tbl>
    <w:bookmarkEnd w:id="0"/>
    <w:p w14:paraId="2F10DBCE" w14:textId="1B0DE96B" w:rsidR="00620E4E" w:rsidRDefault="001004E5" w:rsidP="00620E4E">
      <w:pPr>
        <w:rPr>
          <w:b/>
          <w:bCs/>
        </w:rPr>
      </w:pPr>
      <w:r>
        <w:rPr>
          <w:b/>
          <w:bCs/>
        </w:rPr>
        <w:br w:type="textWrapping" w:clear="all"/>
      </w:r>
    </w:p>
    <w:p w14:paraId="7FC065B0" w14:textId="0992F8DC" w:rsidR="001004E5" w:rsidRDefault="00EF54A7" w:rsidP="00620E4E">
      <w:pPr>
        <w:rPr>
          <w:noProof/>
        </w:rPr>
      </w:pPr>
      <w:r>
        <w:rPr>
          <w:noProof/>
        </w:rPr>
        <w:drawing>
          <wp:inline distT="0" distB="0" distL="0" distR="0" wp14:anchorId="0D962F41" wp14:editId="3D1B3C60">
            <wp:extent cx="4762500" cy="2755900"/>
            <wp:effectExtent l="0" t="0" r="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F0EA1" w14:textId="3310E5FD" w:rsidR="00DE3A94" w:rsidRDefault="00DE3A94" w:rsidP="00620E4E">
      <w:pPr>
        <w:rPr>
          <w:noProof/>
        </w:rPr>
      </w:pPr>
    </w:p>
    <w:p w14:paraId="282A2118" w14:textId="7DCE174E" w:rsidR="00DE3A94" w:rsidRDefault="00DE3A94" w:rsidP="00620E4E">
      <w:pPr>
        <w:rPr>
          <w:noProof/>
        </w:rPr>
      </w:pPr>
    </w:p>
    <w:p w14:paraId="22D4B9FF" w14:textId="55F02375" w:rsidR="00DE3A94" w:rsidRDefault="00DE3A94" w:rsidP="00620E4E">
      <w:pPr>
        <w:rPr>
          <w:noProof/>
        </w:rPr>
      </w:pPr>
    </w:p>
    <w:p w14:paraId="788D25B4" w14:textId="59EC614D" w:rsidR="00DE3A94" w:rsidRDefault="00DE3A94" w:rsidP="00620E4E">
      <w:pPr>
        <w:rPr>
          <w:noProof/>
        </w:rPr>
      </w:pPr>
    </w:p>
    <w:p w14:paraId="1E2A4D77" w14:textId="57EA9197" w:rsidR="00C467C1" w:rsidRDefault="00C467C1" w:rsidP="00620E4E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7"/>
        <w:gridCol w:w="1238"/>
        <w:gridCol w:w="1238"/>
        <w:gridCol w:w="1238"/>
        <w:gridCol w:w="1238"/>
        <w:gridCol w:w="1189"/>
      </w:tblGrid>
      <w:tr w:rsidR="00C467C1" w14:paraId="45D25C65" w14:textId="77777777" w:rsidTr="00DE3A94">
        <w:tc>
          <w:tcPr>
            <w:tcW w:w="2097" w:type="dxa"/>
            <w:shd w:val="clear" w:color="auto" w:fill="5B9BD5" w:themeFill="accent1"/>
          </w:tcPr>
          <w:p w14:paraId="474A60B2" w14:textId="77777777" w:rsidR="00C467C1" w:rsidRDefault="00C467C1" w:rsidP="005A4E50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PROCESO</w:t>
            </w:r>
          </w:p>
        </w:tc>
        <w:tc>
          <w:tcPr>
            <w:tcW w:w="2476" w:type="dxa"/>
            <w:gridSpan w:val="2"/>
            <w:shd w:val="clear" w:color="auto" w:fill="5B9BD5" w:themeFill="accent1"/>
          </w:tcPr>
          <w:p w14:paraId="0B6C5DBD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SEXO</w:t>
            </w:r>
          </w:p>
        </w:tc>
        <w:tc>
          <w:tcPr>
            <w:tcW w:w="2476" w:type="dxa"/>
            <w:gridSpan w:val="2"/>
            <w:shd w:val="clear" w:color="auto" w:fill="5B9BD5" w:themeFill="accent1"/>
          </w:tcPr>
          <w:p w14:paraId="5754E3AA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SECTOR</w:t>
            </w:r>
          </w:p>
        </w:tc>
        <w:tc>
          <w:tcPr>
            <w:tcW w:w="459" w:type="dxa"/>
            <w:shd w:val="clear" w:color="auto" w:fill="5B9BD5" w:themeFill="accent1"/>
          </w:tcPr>
          <w:p w14:paraId="6EAEDFF3" w14:textId="77777777" w:rsidR="00C467C1" w:rsidRDefault="00C467C1" w:rsidP="005A4E50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CANTIDAD</w:t>
            </w:r>
          </w:p>
        </w:tc>
      </w:tr>
      <w:tr w:rsidR="00C467C1" w14:paraId="159ADB2F" w14:textId="77777777" w:rsidTr="00DE3A94">
        <w:tc>
          <w:tcPr>
            <w:tcW w:w="2097" w:type="dxa"/>
            <w:shd w:val="clear" w:color="auto" w:fill="5B9BD5" w:themeFill="accent1"/>
          </w:tcPr>
          <w:p w14:paraId="322F76EB" w14:textId="77777777" w:rsidR="00C467C1" w:rsidRDefault="00C467C1" w:rsidP="005A4E50">
            <w:pPr>
              <w:rPr>
                <w:b/>
                <w:bCs/>
                <w:lang w:val="es-MX"/>
              </w:rPr>
            </w:pPr>
          </w:p>
        </w:tc>
        <w:tc>
          <w:tcPr>
            <w:tcW w:w="1238" w:type="dxa"/>
            <w:shd w:val="clear" w:color="auto" w:fill="5B9BD5" w:themeFill="accent1"/>
          </w:tcPr>
          <w:p w14:paraId="61F1E23F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</w:t>
            </w:r>
          </w:p>
        </w:tc>
        <w:tc>
          <w:tcPr>
            <w:tcW w:w="1238" w:type="dxa"/>
            <w:shd w:val="clear" w:color="auto" w:fill="5B9BD5" w:themeFill="accent1"/>
          </w:tcPr>
          <w:p w14:paraId="178172AA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M</w:t>
            </w:r>
          </w:p>
        </w:tc>
        <w:tc>
          <w:tcPr>
            <w:tcW w:w="1238" w:type="dxa"/>
            <w:shd w:val="clear" w:color="auto" w:fill="5B9BD5" w:themeFill="accent1"/>
          </w:tcPr>
          <w:p w14:paraId="5C18AD30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FAES</w:t>
            </w:r>
          </w:p>
        </w:tc>
        <w:tc>
          <w:tcPr>
            <w:tcW w:w="1238" w:type="dxa"/>
            <w:shd w:val="clear" w:color="auto" w:fill="5B9BD5" w:themeFill="accent1"/>
          </w:tcPr>
          <w:p w14:paraId="39B8E494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FMLN</w:t>
            </w:r>
          </w:p>
        </w:tc>
        <w:tc>
          <w:tcPr>
            <w:tcW w:w="459" w:type="dxa"/>
            <w:shd w:val="clear" w:color="auto" w:fill="5B9BD5" w:themeFill="accent1"/>
          </w:tcPr>
          <w:p w14:paraId="0525C8F4" w14:textId="0A191B54" w:rsidR="00C467C1" w:rsidRDefault="00E04814" w:rsidP="005A4E50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TOTAL </w:t>
            </w:r>
          </w:p>
        </w:tc>
      </w:tr>
      <w:tr w:rsidR="00C467C1" w14:paraId="620467EF" w14:textId="77777777" w:rsidTr="00AC344D">
        <w:tc>
          <w:tcPr>
            <w:tcW w:w="2097" w:type="dxa"/>
          </w:tcPr>
          <w:p w14:paraId="70D769CC" w14:textId="53C9FF55" w:rsidR="00C467C1" w:rsidRDefault="00C467C1" w:rsidP="005A4E50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ATENCION MEDICA EN VIISTA DOMICILIAR REALIZANDO ACOMPAÑAMIENTO A DEPARTAMENTO DE REGISTRO</w:t>
            </w:r>
          </w:p>
        </w:tc>
        <w:tc>
          <w:tcPr>
            <w:tcW w:w="1238" w:type="dxa"/>
          </w:tcPr>
          <w:p w14:paraId="13029B24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66067A6F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2193E3AB" w14:textId="6D51A578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6</w:t>
            </w:r>
          </w:p>
        </w:tc>
        <w:tc>
          <w:tcPr>
            <w:tcW w:w="1238" w:type="dxa"/>
          </w:tcPr>
          <w:p w14:paraId="4191EDD0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165D2479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0E4CFC9E" w14:textId="3D83DC30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11</w:t>
            </w:r>
          </w:p>
        </w:tc>
        <w:tc>
          <w:tcPr>
            <w:tcW w:w="1238" w:type="dxa"/>
          </w:tcPr>
          <w:p w14:paraId="3A83F7E4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73C9AC08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1AD9B6AE" w14:textId="3279ED0C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8</w:t>
            </w:r>
          </w:p>
        </w:tc>
        <w:tc>
          <w:tcPr>
            <w:tcW w:w="1238" w:type="dxa"/>
          </w:tcPr>
          <w:p w14:paraId="2D41E9C9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54B27CD0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5E6B2BA0" w14:textId="1863D41E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10</w:t>
            </w:r>
          </w:p>
        </w:tc>
        <w:tc>
          <w:tcPr>
            <w:tcW w:w="459" w:type="dxa"/>
          </w:tcPr>
          <w:p w14:paraId="507580D3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46DC077A" w14:textId="77777777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</w:p>
          <w:p w14:paraId="0217B196" w14:textId="23A8CEC2" w:rsidR="00C467C1" w:rsidRDefault="00C467C1" w:rsidP="005A4E50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18</w:t>
            </w:r>
          </w:p>
        </w:tc>
      </w:tr>
    </w:tbl>
    <w:p w14:paraId="5CE03302" w14:textId="5778A877" w:rsidR="00C467C1" w:rsidRDefault="00C467C1" w:rsidP="00620E4E">
      <w:pPr>
        <w:rPr>
          <w:b/>
          <w:bCs/>
        </w:rPr>
      </w:pPr>
    </w:p>
    <w:p w14:paraId="05199463" w14:textId="3463440C" w:rsidR="00DE3A94" w:rsidRDefault="00DE3A94" w:rsidP="00620E4E">
      <w:pPr>
        <w:rPr>
          <w:b/>
          <w:bCs/>
        </w:rPr>
      </w:pPr>
    </w:p>
    <w:p w14:paraId="59A57B88" w14:textId="5174F75F" w:rsidR="00DE3A94" w:rsidRDefault="00EF54A7" w:rsidP="00620E4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9C8BFB" wp14:editId="2E3DF4E3">
            <wp:extent cx="5200650" cy="312615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55" cy="3131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DD2FF" w14:textId="2A8469EA" w:rsidR="00C479DB" w:rsidRDefault="00C479DB" w:rsidP="00620E4E">
      <w:pPr>
        <w:rPr>
          <w:b/>
          <w:bCs/>
        </w:rPr>
      </w:pPr>
    </w:p>
    <w:p w14:paraId="34DFF15A" w14:textId="0E3ADE25" w:rsidR="00C479DB" w:rsidRDefault="00C479DB" w:rsidP="00620E4E">
      <w:pPr>
        <w:rPr>
          <w:b/>
          <w:bCs/>
        </w:rPr>
      </w:pPr>
    </w:p>
    <w:p w14:paraId="0368D9C2" w14:textId="6876904F" w:rsidR="00C479DB" w:rsidRDefault="00C479DB" w:rsidP="00620E4E">
      <w:pPr>
        <w:rPr>
          <w:b/>
          <w:bCs/>
        </w:rPr>
      </w:pPr>
    </w:p>
    <w:p w14:paraId="278B26AE" w14:textId="20579DFB" w:rsidR="00C479DB" w:rsidRDefault="00C479DB" w:rsidP="00620E4E">
      <w:pPr>
        <w:rPr>
          <w:b/>
          <w:bCs/>
        </w:rPr>
      </w:pPr>
    </w:p>
    <w:p w14:paraId="5C546592" w14:textId="2CC98581" w:rsidR="00C479DB" w:rsidRDefault="00C479DB" w:rsidP="00620E4E">
      <w:pPr>
        <w:rPr>
          <w:b/>
          <w:bCs/>
        </w:rPr>
      </w:pPr>
    </w:p>
    <w:p w14:paraId="4A137C2E" w14:textId="688FD423" w:rsidR="00C479DB" w:rsidRDefault="00C479DB" w:rsidP="00620E4E">
      <w:pPr>
        <w:rPr>
          <w:b/>
          <w:bCs/>
        </w:rPr>
      </w:pPr>
    </w:p>
    <w:p w14:paraId="70CA4457" w14:textId="1AACA097" w:rsidR="00C479DB" w:rsidRDefault="00C479DB" w:rsidP="00620E4E">
      <w:pPr>
        <w:rPr>
          <w:b/>
          <w:bCs/>
        </w:rPr>
      </w:pPr>
    </w:p>
    <w:p w14:paraId="6B997261" w14:textId="78C5F5E9" w:rsidR="00C479DB" w:rsidRDefault="00C479DB" w:rsidP="00620E4E">
      <w:pPr>
        <w:rPr>
          <w:b/>
          <w:bCs/>
        </w:rPr>
      </w:pPr>
    </w:p>
    <w:p w14:paraId="4370DAB0" w14:textId="77777777" w:rsidR="00705C80" w:rsidRDefault="00705C80" w:rsidP="00620E4E">
      <w:pPr>
        <w:rPr>
          <w:b/>
          <w:bCs/>
        </w:rPr>
      </w:pPr>
    </w:p>
    <w:p w14:paraId="5D77E374" w14:textId="3246066A" w:rsidR="00C479DB" w:rsidRDefault="00666040" w:rsidP="00620E4E">
      <w:pPr>
        <w:rPr>
          <w:b/>
          <w:bCs/>
        </w:rPr>
      </w:pPr>
      <w:r>
        <w:rPr>
          <w:b/>
          <w:bCs/>
        </w:rPr>
        <w:t>CONSULTAS EN</w:t>
      </w:r>
      <w:r w:rsidR="003B4CDA">
        <w:rPr>
          <w:b/>
          <w:bCs/>
        </w:rPr>
        <w:t xml:space="preserve"> CENTRO REGIONAL DE SALUD </w:t>
      </w:r>
      <w:r>
        <w:rPr>
          <w:b/>
          <w:bCs/>
        </w:rPr>
        <w:t>VALENCIA QUE</w:t>
      </w:r>
      <w:r w:rsidR="003B4CDA">
        <w:rPr>
          <w:b/>
          <w:bCs/>
        </w:rPr>
        <w:t xml:space="preserve"> SE</w:t>
      </w:r>
      <w:r w:rsidR="00EA6598">
        <w:rPr>
          <w:b/>
          <w:bCs/>
        </w:rPr>
        <w:t xml:space="preserve"> LES BRINDA SEGUIMIENTO </w:t>
      </w:r>
      <w:r w:rsidR="003B4CDA">
        <w:rPr>
          <w:b/>
          <w:bCs/>
        </w:rPr>
        <w:t xml:space="preserve"> </w:t>
      </w:r>
      <w:r w:rsidR="005E59F8">
        <w:rPr>
          <w:b/>
          <w:bCs/>
        </w:rPr>
        <w:t xml:space="preserve"> </w:t>
      </w:r>
      <w:proofErr w:type="spellStart"/>
      <w:r w:rsidR="00E04814">
        <w:rPr>
          <w:b/>
          <w:bCs/>
        </w:rPr>
        <w:t>SEGUIMIENTO</w:t>
      </w:r>
      <w:proofErr w:type="spellEnd"/>
      <w:r w:rsidR="00E04814">
        <w:rPr>
          <w:b/>
          <w:bCs/>
        </w:rPr>
        <w:t xml:space="preserve"> Y MONITOREO</w:t>
      </w:r>
      <w:r>
        <w:rPr>
          <w:b/>
          <w:bCs/>
        </w:rPr>
        <w:t xml:space="preserve">. </w:t>
      </w:r>
      <w:r w:rsidR="00E04814">
        <w:rPr>
          <w:b/>
          <w:bCs/>
        </w:rPr>
        <w:t xml:space="preserve"> </w:t>
      </w:r>
    </w:p>
    <w:p w14:paraId="0341F791" w14:textId="77777777" w:rsidR="00231B7D" w:rsidRDefault="00231B7D" w:rsidP="00620E4E">
      <w:pPr>
        <w:rPr>
          <w:b/>
          <w:bCs/>
        </w:rPr>
      </w:pPr>
    </w:p>
    <w:tbl>
      <w:tblPr>
        <w:tblStyle w:val="Tablaconcuadrcula"/>
        <w:tblW w:w="0" w:type="auto"/>
        <w:tblInd w:w="769" w:type="dxa"/>
        <w:tblLook w:val="04A0" w:firstRow="1" w:lastRow="0" w:firstColumn="1" w:lastColumn="0" w:noHBand="0" w:noVBand="1"/>
      </w:tblPr>
      <w:tblGrid>
        <w:gridCol w:w="4494"/>
        <w:gridCol w:w="2793"/>
      </w:tblGrid>
      <w:tr w:rsidR="005E59F8" w14:paraId="2A1D1B25" w14:textId="77777777" w:rsidTr="003B4CDA">
        <w:trPr>
          <w:trHeight w:val="284"/>
        </w:trPr>
        <w:tc>
          <w:tcPr>
            <w:tcW w:w="4494" w:type="dxa"/>
            <w:shd w:val="clear" w:color="auto" w:fill="5B9BD5" w:themeFill="accent1"/>
          </w:tcPr>
          <w:p w14:paraId="2BC9D944" w14:textId="35B95BD7" w:rsidR="005E59F8" w:rsidRDefault="005E59F8" w:rsidP="00620E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PROGRAMAS EN SALUD </w:t>
            </w:r>
          </w:p>
        </w:tc>
        <w:tc>
          <w:tcPr>
            <w:tcW w:w="2793" w:type="dxa"/>
            <w:shd w:val="clear" w:color="auto" w:fill="5B9BD5" w:themeFill="accent1"/>
          </w:tcPr>
          <w:p w14:paraId="79A0D520" w14:textId="7C82A405" w:rsidR="005E59F8" w:rsidRDefault="005E59F8" w:rsidP="00231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CANTIDAD</w:t>
            </w:r>
          </w:p>
        </w:tc>
      </w:tr>
      <w:tr w:rsidR="005E59F8" w14:paraId="3A6D35C7" w14:textId="77777777" w:rsidTr="003B4CDA">
        <w:trPr>
          <w:trHeight w:val="268"/>
        </w:trPr>
        <w:tc>
          <w:tcPr>
            <w:tcW w:w="4494" w:type="dxa"/>
          </w:tcPr>
          <w:p w14:paraId="39A73149" w14:textId="29765497" w:rsidR="005E59F8" w:rsidRDefault="005E59F8" w:rsidP="00620E4E">
            <w:pPr>
              <w:rPr>
                <w:b/>
                <w:bCs/>
              </w:rPr>
            </w:pPr>
            <w:r>
              <w:rPr>
                <w:b/>
                <w:bCs/>
              </w:rPr>
              <w:t>OPTOMETRIA CATARATAS</w:t>
            </w:r>
            <w:r w:rsidR="00013EF4">
              <w:rPr>
                <w:b/>
                <w:bCs/>
              </w:rPr>
              <w:t xml:space="preserve">, PTERIGION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93" w:type="dxa"/>
          </w:tcPr>
          <w:p w14:paraId="5E1A8500" w14:textId="40ADD4AF" w:rsidR="005E59F8" w:rsidRDefault="00013EF4" w:rsidP="00231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627</w:t>
            </w:r>
          </w:p>
        </w:tc>
      </w:tr>
      <w:tr w:rsidR="005E59F8" w14:paraId="0881C768" w14:textId="77777777" w:rsidTr="003B4CDA">
        <w:trPr>
          <w:trHeight w:val="268"/>
        </w:trPr>
        <w:tc>
          <w:tcPr>
            <w:tcW w:w="4494" w:type="dxa"/>
          </w:tcPr>
          <w:p w14:paraId="0AB4F8E6" w14:textId="5B4499A2" w:rsidR="005E59F8" w:rsidRDefault="00A450CE" w:rsidP="00620E4E">
            <w:pPr>
              <w:rPr>
                <w:b/>
                <w:bCs/>
              </w:rPr>
            </w:pPr>
            <w:r>
              <w:rPr>
                <w:b/>
                <w:bCs/>
              </w:rPr>
              <w:t>OTORRINOLARINGOLOGIA BENEFICIOS DE APARATO AUDITIVO</w:t>
            </w:r>
          </w:p>
        </w:tc>
        <w:tc>
          <w:tcPr>
            <w:tcW w:w="2793" w:type="dxa"/>
          </w:tcPr>
          <w:p w14:paraId="5BBD4EB8" w14:textId="161D3034" w:rsidR="005E59F8" w:rsidRDefault="00231B7D" w:rsidP="00231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</w:tbl>
    <w:p w14:paraId="37377B5F" w14:textId="6684B204" w:rsidR="00C479DB" w:rsidRDefault="00C479DB" w:rsidP="00620E4E">
      <w:pPr>
        <w:rPr>
          <w:b/>
          <w:bCs/>
        </w:rPr>
      </w:pPr>
    </w:p>
    <w:p w14:paraId="0BAE40BD" w14:textId="203111C8" w:rsidR="00C479DB" w:rsidRDefault="003B4CDA" w:rsidP="003B4CD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583DDEE" wp14:editId="083A2B5E">
            <wp:extent cx="4572000" cy="27432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9B00CF2F-7B34-4E4E-95A3-765BFF04E3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38920C" w14:textId="53B492ED" w:rsidR="00C479DB" w:rsidRDefault="00C479DB" w:rsidP="00231B7D">
      <w:pPr>
        <w:jc w:val="center"/>
        <w:rPr>
          <w:b/>
          <w:bCs/>
        </w:rPr>
      </w:pPr>
    </w:p>
    <w:p w14:paraId="3317C545" w14:textId="47987A7B" w:rsidR="00D64CC0" w:rsidRDefault="00EA6598" w:rsidP="00D64CC0">
      <w:pPr>
        <w:jc w:val="both"/>
        <w:rPr>
          <w:b/>
          <w:bCs/>
        </w:rPr>
      </w:pPr>
      <w:r w:rsidRPr="00D64CC0">
        <w:t xml:space="preserve">Actualmente tenemos 627 pacientes que ya fueron atendidos en Centro Regional de Salud Valencia en área de </w:t>
      </w:r>
      <w:r w:rsidR="00D64CC0" w:rsidRPr="00D64CC0">
        <w:t>optometría,</w:t>
      </w:r>
      <w:r w:rsidRPr="00D64CC0">
        <w:t xml:space="preserve"> pero al presentar diagnostico </w:t>
      </w:r>
      <w:r w:rsidR="00D64CC0" w:rsidRPr="00D64CC0">
        <w:t xml:space="preserve">oftalmológico de </w:t>
      </w:r>
      <w:r w:rsidRPr="00D64CC0">
        <w:t xml:space="preserve">catarata y </w:t>
      </w:r>
      <w:proofErr w:type="spellStart"/>
      <w:r w:rsidRPr="00D64CC0">
        <w:t>pterion</w:t>
      </w:r>
      <w:proofErr w:type="spellEnd"/>
      <w:r w:rsidRPr="00D64CC0">
        <w:t xml:space="preserve"> no han recibido </w:t>
      </w:r>
      <w:r w:rsidR="00D64CC0" w:rsidRPr="00D64CC0">
        <w:t>sus beneficios</w:t>
      </w:r>
      <w:r w:rsidRPr="00D64CC0">
        <w:t xml:space="preserve"> de </w:t>
      </w:r>
      <w:r w:rsidR="00D64CC0" w:rsidRPr="00D64CC0">
        <w:t>lentes por lo cual se está gestionando de manera oportuna brindar una solución para que posteriormente mejoren su salud visual</w:t>
      </w:r>
      <w:r w:rsidR="00D64CC0">
        <w:rPr>
          <w:b/>
          <w:bCs/>
        </w:rPr>
        <w:t>.</w:t>
      </w:r>
    </w:p>
    <w:p w14:paraId="3F9FADA1" w14:textId="52BDF22A" w:rsidR="00D64CC0" w:rsidRPr="00666040" w:rsidRDefault="00D64CC0" w:rsidP="00D64CC0">
      <w:pPr>
        <w:jc w:val="both"/>
      </w:pPr>
      <w:r w:rsidRPr="00666040">
        <w:t xml:space="preserve">En la especialidad de otorrinolaringología se evalúan los pacientes para brindar el beneficio de aparato auditivo por lo cual </w:t>
      </w:r>
      <w:r w:rsidR="00C273B7" w:rsidRPr="00666040">
        <w:t xml:space="preserve">ya en primer listado salieron beneficiados 86 pacientes de los cuales se les realizo entrega a un total de 69 y restando un total pendiente de 28  aparatos auditivos pero el día 12 de mayo se </w:t>
      </w:r>
      <w:r w:rsidR="0091603B" w:rsidRPr="00666040">
        <w:t>realizó</w:t>
      </w:r>
      <w:r w:rsidR="00C273B7" w:rsidRPr="00666040">
        <w:t xml:space="preserve"> una entrega de un total de </w:t>
      </w:r>
      <w:r w:rsidR="00666040" w:rsidRPr="00666040">
        <w:t>16 aparatos auditivo restando 12  por entregar pero la tardanza de la entrega es por el motivo que los paciente no cuentan con el mismo de numero de telefónico</w:t>
      </w:r>
      <w:r w:rsidR="00175887">
        <w:t xml:space="preserve"> no contamos con los medios para contactarlos. </w:t>
      </w:r>
    </w:p>
    <w:p w14:paraId="01566CD5" w14:textId="6B99D1DC" w:rsidR="00D64CC0" w:rsidRDefault="00D64CC0" w:rsidP="00EA6598">
      <w:pPr>
        <w:rPr>
          <w:b/>
          <w:bCs/>
        </w:rPr>
      </w:pPr>
    </w:p>
    <w:p w14:paraId="0714E4C1" w14:textId="77777777" w:rsidR="00D64CC0" w:rsidRDefault="00D64CC0" w:rsidP="00EA6598">
      <w:pPr>
        <w:rPr>
          <w:b/>
          <w:bCs/>
        </w:rPr>
      </w:pPr>
    </w:p>
    <w:p w14:paraId="58127DDE" w14:textId="77777777" w:rsidR="00D64CC0" w:rsidRDefault="00D64CC0" w:rsidP="00EA6598">
      <w:pPr>
        <w:rPr>
          <w:b/>
          <w:bCs/>
        </w:rPr>
      </w:pPr>
    </w:p>
    <w:sectPr w:rsidR="00D64CC0" w:rsidSect="00F15204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1366" w14:textId="77777777" w:rsidR="002D2119" w:rsidRDefault="002D2119">
      <w:pPr>
        <w:spacing w:after="0" w:line="240" w:lineRule="auto"/>
      </w:pPr>
      <w:r>
        <w:separator/>
      </w:r>
    </w:p>
  </w:endnote>
  <w:endnote w:type="continuationSeparator" w:id="0">
    <w:p w14:paraId="039BD28B" w14:textId="77777777" w:rsidR="002D2119" w:rsidRDefault="002D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32A2" w14:textId="77777777" w:rsidR="002D2119" w:rsidRDefault="002D2119">
      <w:pPr>
        <w:spacing w:after="0" w:line="240" w:lineRule="auto"/>
      </w:pPr>
      <w:r>
        <w:separator/>
      </w:r>
    </w:p>
  </w:footnote>
  <w:footnote w:type="continuationSeparator" w:id="0">
    <w:p w14:paraId="5D3B6982" w14:textId="77777777" w:rsidR="002D2119" w:rsidRDefault="002D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2D2119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119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2D2119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6821945">
    <w:abstractNumId w:val="16"/>
  </w:num>
  <w:num w:numId="2" w16cid:durableId="2082411111">
    <w:abstractNumId w:val="7"/>
  </w:num>
  <w:num w:numId="3" w16cid:durableId="81613051">
    <w:abstractNumId w:val="8"/>
  </w:num>
  <w:num w:numId="4" w16cid:durableId="197816392">
    <w:abstractNumId w:val="1"/>
  </w:num>
  <w:num w:numId="5" w16cid:durableId="2086950732">
    <w:abstractNumId w:val="14"/>
  </w:num>
  <w:num w:numId="6" w16cid:durableId="1208878136">
    <w:abstractNumId w:val="13"/>
  </w:num>
  <w:num w:numId="7" w16cid:durableId="237518750">
    <w:abstractNumId w:val="21"/>
  </w:num>
  <w:num w:numId="8" w16cid:durableId="1700163284">
    <w:abstractNumId w:val="4"/>
  </w:num>
  <w:num w:numId="9" w16cid:durableId="1475638580">
    <w:abstractNumId w:val="11"/>
  </w:num>
  <w:num w:numId="10" w16cid:durableId="1937328917">
    <w:abstractNumId w:val="5"/>
  </w:num>
  <w:num w:numId="11" w16cid:durableId="883716471">
    <w:abstractNumId w:val="10"/>
  </w:num>
  <w:num w:numId="12" w16cid:durableId="160858019">
    <w:abstractNumId w:val="15"/>
  </w:num>
  <w:num w:numId="13" w16cid:durableId="545067097">
    <w:abstractNumId w:val="19"/>
  </w:num>
  <w:num w:numId="14" w16cid:durableId="1745254827">
    <w:abstractNumId w:val="20"/>
  </w:num>
  <w:num w:numId="15" w16cid:durableId="587229656">
    <w:abstractNumId w:val="9"/>
  </w:num>
  <w:num w:numId="16" w16cid:durableId="1654287558">
    <w:abstractNumId w:val="12"/>
  </w:num>
  <w:num w:numId="17" w16cid:durableId="280648492">
    <w:abstractNumId w:val="6"/>
  </w:num>
  <w:num w:numId="18" w16cid:durableId="1936547176">
    <w:abstractNumId w:val="17"/>
  </w:num>
  <w:num w:numId="19" w16cid:durableId="211382425">
    <w:abstractNumId w:val="0"/>
  </w:num>
  <w:num w:numId="20" w16cid:durableId="1218008761">
    <w:abstractNumId w:val="22"/>
  </w:num>
  <w:num w:numId="21" w16cid:durableId="707492241">
    <w:abstractNumId w:val="2"/>
  </w:num>
  <w:num w:numId="22" w16cid:durableId="765003752">
    <w:abstractNumId w:val="18"/>
  </w:num>
  <w:num w:numId="23" w16cid:durableId="1231039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312"/>
    <w:rsid w:val="00006D31"/>
    <w:rsid w:val="00007A6E"/>
    <w:rsid w:val="00013EF4"/>
    <w:rsid w:val="00027487"/>
    <w:rsid w:val="000276F2"/>
    <w:rsid w:val="00027845"/>
    <w:rsid w:val="00036328"/>
    <w:rsid w:val="00044774"/>
    <w:rsid w:val="00045B8F"/>
    <w:rsid w:val="00060C8B"/>
    <w:rsid w:val="000625E7"/>
    <w:rsid w:val="000666D3"/>
    <w:rsid w:val="0009160B"/>
    <w:rsid w:val="000A0F29"/>
    <w:rsid w:val="000B2445"/>
    <w:rsid w:val="000B480E"/>
    <w:rsid w:val="000E1A4A"/>
    <w:rsid w:val="000E1E34"/>
    <w:rsid w:val="001004E5"/>
    <w:rsid w:val="00101687"/>
    <w:rsid w:val="001040E4"/>
    <w:rsid w:val="00121CB6"/>
    <w:rsid w:val="0012453F"/>
    <w:rsid w:val="00133279"/>
    <w:rsid w:val="0013483A"/>
    <w:rsid w:val="00175887"/>
    <w:rsid w:val="0018164C"/>
    <w:rsid w:val="00183D54"/>
    <w:rsid w:val="00185950"/>
    <w:rsid w:val="001B03EE"/>
    <w:rsid w:val="001B3039"/>
    <w:rsid w:val="001B7F66"/>
    <w:rsid w:val="001C0FDC"/>
    <w:rsid w:val="001C260C"/>
    <w:rsid w:val="001D7C89"/>
    <w:rsid w:val="001E1279"/>
    <w:rsid w:val="00223F97"/>
    <w:rsid w:val="002273C3"/>
    <w:rsid w:val="00231B7D"/>
    <w:rsid w:val="002506E5"/>
    <w:rsid w:val="002563A5"/>
    <w:rsid w:val="002616EC"/>
    <w:rsid w:val="002640D6"/>
    <w:rsid w:val="00281A86"/>
    <w:rsid w:val="002B133F"/>
    <w:rsid w:val="002D177D"/>
    <w:rsid w:val="002D2119"/>
    <w:rsid w:val="002E68A4"/>
    <w:rsid w:val="002E6A49"/>
    <w:rsid w:val="002F379A"/>
    <w:rsid w:val="00310263"/>
    <w:rsid w:val="003103D9"/>
    <w:rsid w:val="003278FC"/>
    <w:rsid w:val="00330FC8"/>
    <w:rsid w:val="003371A0"/>
    <w:rsid w:val="00337745"/>
    <w:rsid w:val="00352EF1"/>
    <w:rsid w:val="00354AF6"/>
    <w:rsid w:val="00360F82"/>
    <w:rsid w:val="0036337F"/>
    <w:rsid w:val="003702D9"/>
    <w:rsid w:val="00381C98"/>
    <w:rsid w:val="00390AEA"/>
    <w:rsid w:val="003B1B9D"/>
    <w:rsid w:val="003B312F"/>
    <w:rsid w:val="003B4CDA"/>
    <w:rsid w:val="003B544A"/>
    <w:rsid w:val="003C2174"/>
    <w:rsid w:val="003C5322"/>
    <w:rsid w:val="003C7E19"/>
    <w:rsid w:val="003D709A"/>
    <w:rsid w:val="003E00F1"/>
    <w:rsid w:val="003E35A5"/>
    <w:rsid w:val="003E5291"/>
    <w:rsid w:val="00424ECE"/>
    <w:rsid w:val="0042754F"/>
    <w:rsid w:val="00442430"/>
    <w:rsid w:val="00457438"/>
    <w:rsid w:val="00464605"/>
    <w:rsid w:val="00472CA4"/>
    <w:rsid w:val="004849E0"/>
    <w:rsid w:val="00490FA3"/>
    <w:rsid w:val="004B3EC5"/>
    <w:rsid w:val="004C0C41"/>
    <w:rsid w:val="004C4C54"/>
    <w:rsid w:val="004D01FF"/>
    <w:rsid w:val="004D1A7D"/>
    <w:rsid w:val="004D5BAC"/>
    <w:rsid w:val="004E7A94"/>
    <w:rsid w:val="00536B02"/>
    <w:rsid w:val="00540521"/>
    <w:rsid w:val="005726E2"/>
    <w:rsid w:val="005779E7"/>
    <w:rsid w:val="005813E9"/>
    <w:rsid w:val="005A1FE9"/>
    <w:rsid w:val="005D1014"/>
    <w:rsid w:val="005D29B3"/>
    <w:rsid w:val="005E006B"/>
    <w:rsid w:val="005E59F8"/>
    <w:rsid w:val="005F5FAC"/>
    <w:rsid w:val="00602E6C"/>
    <w:rsid w:val="00605063"/>
    <w:rsid w:val="00620E4E"/>
    <w:rsid w:val="006230C6"/>
    <w:rsid w:val="00623D53"/>
    <w:rsid w:val="00636C31"/>
    <w:rsid w:val="0065022F"/>
    <w:rsid w:val="006542F1"/>
    <w:rsid w:val="00665D67"/>
    <w:rsid w:val="00666040"/>
    <w:rsid w:val="00672F8F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E5248"/>
    <w:rsid w:val="006E77CF"/>
    <w:rsid w:val="006F2863"/>
    <w:rsid w:val="00705C80"/>
    <w:rsid w:val="00716022"/>
    <w:rsid w:val="007278B1"/>
    <w:rsid w:val="00727CA4"/>
    <w:rsid w:val="00741880"/>
    <w:rsid w:val="00746FF7"/>
    <w:rsid w:val="00751A0E"/>
    <w:rsid w:val="00767D04"/>
    <w:rsid w:val="0077463C"/>
    <w:rsid w:val="00792E14"/>
    <w:rsid w:val="007947C6"/>
    <w:rsid w:val="007B026D"/>
    <w:rsid w:val="007B2F03"/>
    <w:rsid w:val="007B6536"/>
    <w:rsid w:val="007E1F0C"/>
    <w:rsid w:val="007E7940"/>
    <w:rsid w:val="007F7014"/>
    <w:rsid w:val="00805385"/>
    <w:rsid w:val="0082423C"/>
    <w:rsid w:val="00836E56"/>
    <w:rsid w:val="00841338"/>
    <w:rsid w:val="00843B5A"/>
    <w:rsid w:val="00845BC9"/>
    <w:rsid w:val="00850C72"/>
    <w:rsid w:val="008649F2"/>
    <w:rsid w:val="00896B77"/>
    <w:rsid w:val="008C122C"/>
    <w:rsid w:val="008F5AE5"/>
    <w:rsid w:val="0090571A"/>
    <w:rsid w:val="0091603B"/>
    <w:rsid w:val="009163E1"/>
    <w:rsid w:val="00921FB3"/>
    <w:rsid w:val="00926126"/>
    <w:rsid w:val="00926A3E"/>
    <w:rsid w:val="009468E8"/>
    <w:rsid w:val="009514D4"/>
    <w:rsid w:val="0095457D"/>
    <w:rsid w:val="00966DBD"/>
    <w:rsid w:val="0097156B"/>
    <w:rsid w:val="00977250"/>
    <w:rsid w:val="009B22A7"/>
    <w:rsid w:val="009B5DF8"/>
    <w:rsid w:val="009C70F8"/>
    <w:rsid w:val="009D5FD7"/>
    <w:rsid w:val="009E1D4C"/>
    <w:rsid w:val="009F3735"/>
    <w:rsid w:val="00A02357"/>
    <w:rsid w:val="00A061BC"/>
    <w:rsid w:val="00A1131A"/>
    <w:rsid w:val="00A21DBA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344D"/>
    <w:rsid w:val="00AC47B2"/>
    <w:rsid w:val="00AF022F"/>
    <w:rsid w:val="00B05879"/>
    <w:rsid w:val="00B0664A"/>
    <w:rsid w:val="00B30468"/>
    <w:rsid w:val="00B3452A"/>
    <w:rsid w:val="00B37B15"/>
    <w:rsid w:val="00B43D88"/>
    <w:rsid w:val="00B472A1"/>
    <w:rsid w:val="00B63C28"/>
    <w:rsid w:val="00B66BDF"/>
    <w:rsid w:val="00B91020"/>
    <w:rsid w:val="00BA0365"/>
    <w:rsid w:val="00BA165C"/>
    <w:rsid w:val="00BA2A6A"/>
    <w:rsid w:val="00BA2D4B"/>
    <w:rsid w:val="00BB1087"/>
    <w:rsid w:val="00C0643B"/>
    <w:rsid w:val="00C273B7"/>
    <w:rsid w:val="00C315FE"/>
    <w:rsid w:val="00C32CB7"/>
    <w:rsid w:val="00C467C1"/>
    <w:rsid w:val="00C479DB"/>
    <w:rsid w:val="00C5429F"/>
    <w:rsid w:val="00C75499"/>
    <w:rsid w:val="00C77CFD"/>
    <w:rsid w:val="00C93C3C"/>
    <w:rsid w:val="00CB119E"/>
    <w:rsid w:val="00CD554E"/>
    <w:rsid w:val="00CD6E81"/>
    <w:rsid w:val="00CE6591"/>
    <w:rsid w:val="00D04C83"/>
    <w:rsid w:val="00D14F5C"/>
    <w:rsid w:val="00D30C37"/>
    <w:rsid w:val="00D32E41"/>
    <w:rsid w:val="00D423B6"/>
    <w:rsid w:val="00D64CC0"/>
    <w:rsid w:val="00D72AE1"/>
    <w:rsid w:val="00D7415B"/>
    <w:rsid w:val="00D769F5"/>
    <w:rsid w:val="00DC4528"/>
    <w:rsid w:val="00DD56EA"/>
    <w:rsid w:val="00DD6BA6"/>
    <w:rsid w:val="00DE3A94"/>
    <w:rsid w:val="00DE7135"/>
    <w:rsid w:val="00DF4FA4"/>
    <w:rsid w:val="00E02E6F"/>
    <w:rsid w:val="00E04814"/>
    <w:rsid w:val="00E0594C"/>
    <w:rsid w:val="00E134C1"/>
    <w:rsid w:val="00E2691A"/>
    <w:rsid w:val="00E27444"/>
    <w:rsid w:val="00E36029"/>
    <w:rsid w:val="00E4759A"/>
    <w:rsid w:val="00E51035"/>
    <w:rsid w:val="00E73477"/>
    <w:rsid w:val="00E87249"/>
    <w:rsid w:val="00E91EFE"/>
    <w:rsid w:val="00EA6598"/>
    <w:rsid w:val="00EB10C4"/>
    <w:rsid w:val="00EC2797"/>
    <w:rsid w:val="00ED2DE7"/>
    <w:rsid w:val="00ED4A7C"/>
    <w:rsid w:val="00ED6A80"/>
    <w:rsid w:val="00EE07A3"/>
    <w:rsid w:val="00EF512C"/>
    <w:rsid w:val="00EF54A7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80C4C"/>
    <w:rsid w:val="00F85030"/>
    <w:rsid w:val="00F864A1"/>
    <w:rsid w:val="00F9576D"/>
    <w:rsid w:val="00FB4647"/>
    <w:rsid w:val="00FD15B2"/>
    <w:rsid w:val="00FD3527"/>
    <w:rsid w:val="00FE2179"/>
    <w:rsid w:val="00FF701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ley.chiquillo@INABVE.gob.s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irley.chiquillo\AppData\Roaming\Microsoft\Excel\Libro1%20(version%201)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/>
              <a:t>CONSULTAS</a:t>
            </a:r>
            <a:r>
              <a:rPr lang="es-SV" sz="1400" baseline="0"/>
              <a:t>  EN CRSV QUE SE LES BRINDA SEGUIMIENTO </a:t>
            </a:r>
            <a:endParaRPr lang="es-SV" sz="1400"/>
          </a:p>
        </c:rich>
      </c:tx>
      <c:layout>
        <c:manualLayout>
          <c:xMode val="edge"/>
          <c:yMode val="edge"/>
          <c:x val="0.16980555555555554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21541666666666667"/>
          <c:w val="0.60159164479440075"/>
          <c:h val="0.76606481481481481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435-4DA4-83C3-42CAC4BE20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435-4DA4-83C3-42CAC4BE204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Hoja1!$A$4:$A$5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Hoja1!$B$4:$B$5</c:f>
              <c:numCache>
                <c:formatCode>General</c:formatCode>
                <c:ptCount val="2"/>
                <c:pt idx="0">
                  <c:v>17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35-4DA4-83C3-42CAC4BE2041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8</cp:revision>
  <cp:lastPrinted>2022-06-01T21:27:00Z</cp:lastPrinted>
  <dcterms:created xsi:type="dcterms:W3CDTF">2022-06-02T15:05:00Z</dcterms:created>
  <dcterms:modified xsi:type="dcterms:W3CDTF">2022-06-10T19:18:00Z</dcterms:modified>
</cp:coreProperties>
</file>