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57ABFD03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5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 abril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de dos mil </w:t>
      </w:r>
      <w:r w:rsidR="00877411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dós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54A60BA1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3F7F10">
        <w:rPr>
          <w:rFonts w:ascii="Arial" w:eastAsiaTheme="minorHAnsi" w:hAnsi="Arial" w:cs="Arial"/>
          <w:sz w:val="24"/>
          <w:szCs w:val="24"/>
          <w:lang w:val="es-SV"/>
        </w:rPr>
        <w:t xml:space="preserve"> Gerencia General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3F7F10">
        <w:rPr>
          <w:rFonts w:ascii="Arial" w:eastAsiaTheme="minorHAnsi" w:hAnsi="Arial" w:cs="Arial"/>
          <w:sz w:val="24"/>
          <w:szCs w:val="24"/>
          <w:lang w:val="es-SV"/>
        </w:rPr>
        <w:t>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3F7F10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Informacion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197CF3">
        <w:rPr>
          <w:rFonts w:ascii="Arial" w:eastAsiaTheme="minorHAnsi" w:hAnsi="Arial" w:cs="Arial"/>
          <w:sz w:val="24"/>
          <w:szCs w:val="24"/>
          <w:lang w:val="es-SV"/>
        </w:rPr>
        <w:t>marzo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86CA" w14:textId="77777777" w:rsidR="00775434" w:rsidRDefault="00775434" w:rsidP="00A57328">
      <w:r>
        <w:separator/>
      </w:r>
    </w:p>
  </w:endnote>
  <w:endnote w:type="continuationSeparator" w:id="0">
    <w:p w14:paraId="4CA4F370" w14:textId="77777777" w:rsidR="00775434" w:rsidRDefault="0077543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4F1F" w14:textId="77777777" w:rsidR="00775434" w:rsidRDefault="00775434" w:rsidP="00A57328">
      <w:r>
        <w:separator/>
      </w:r>
    </w:p>
  </w:footnote>
  <w:footnote w:type="continuationSeparator" w:id="0">
    <w:p w14:paraId="6085C81E" w14:textId="77777777" w:rsidR="00775434" w:rsidRDefault="0077543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4923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7F10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5434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77411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1F1C"/>
    <w:rsid w:val="00AB1ACD"/>
    <w:rsid w:val="00AB1B65"/>
    <w:rsid w:val="00AC47B2"/>
    <w:rsid w:val="00AD01B5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Unidad de Acceso a la Informacion Publica</cp:lastModifiedBy>
  <cp:revision>4</cp:revision>
  <cp:lastPrinted>2021-06-28T14:15:00Z</cp:lastPrinted>
  <dcterms:created xsi:type="dcterms:W3CDTF">2022-04-05T17:53:00Z</dcterms:created>
  <dcterms:modified xsi:type="dcterms:W3CDTF">2022-11-22T14:21:00Z</dcterms:modified>
</cp:coreProperties>
</file>