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786F" w14:textId="62F9B45F" w:rsidR="001E683B" w:rsidRDefault="00F403A2" w:rsidP="006745C6">
      <w:pPr>
        <w:spacing w:line="360" w:lineRule="auto"/>
        <w:jc w:val="both"/>
        <w:rPr>
          <w:sz w:val="24"/>
          <w:szCs w:val="24"/>
        </w:rPr>
      </w:pPr>
      <w:r>
        <w:rPr>
          <w:sz w:val="24"/>
          <w:szCs w:val="24"/>
        </w:rPr>
        <w:t xml:space="preserve"> </w:t>
      </w:r>
    </w:p>
    <w:p w14:paraId="55B5AD3C" w14:textId="58913A5A" w:rsidR="00781899" w:rsidRDefault="00781899" w:rsidP="00781899">
      <w:pPr>
        <w:pStyle w:val="Sinespaciado"/>
        <w:spacing w:line="360" w:lineRule="auto"/>
        <w:jc w:val="both"/>
        <w:rPr>
          <w:rFonts w:ascii="Times New Roman" w:hAnsi="Times New Roman"/>
          <w:sz w:val="24"/>
          <w:szCs w:val="24"/>
        </w:rPr>
      </w:pPr>
      <w:r>
        <w:rPr>
          <w:rFonts w:ascii="Times New Roman" w:hAnsi="Times New Roman"/>
          <w:sz w:val="24"/>
          <w:szCs w:val="24"/>
          <w:lang w:val="es-SV"/>
        </w:rPr>
        <w:t>La Unidad de Beneficios y Prestaciones Sociales, quien informo posteriormente lo solicitado por correo electrónico, señalando lo siguiente:</w:t>
      </w:r>
      <w:r>
        <w:rPr>
          <w:rFonts w:ascii="Times New Roman" w:hAnsi="Times New Roman"/>
          <w:sz w:val="24"/>
          <w:szCs w:val="24"/>
        </w:rPr>
        <w:t xml:space="preserve">  </w:t>
      </w:r>
    </w:p>
    <w:p w14:paraId="35C3BAD4" w14:textId="77777777" w:rsidR="00781899" w:rsidRDefault="00781899" w:rsidP="00781899">
      <w:pPr>
        <w:pStyle w:val="Sinespaciado"/>
        <w:spacing w:line="360" w:lineRule="auto"/>
        <w:jc w:val="both"/>
        <w:rPr>
          <w:rFonts w:ascii="Times New Roman" w:hAnsi="Times New Roman"/>
          <w:sz w:val="24"/>
          <w:szCs w:val="24"/>
        </w:rPr>
      </w:pPr>
    </w:p>
    <w:p w14:paraId="30E31D4D" w14:textId="65717461" w:rsidR="00781899" w:rsidRPr="00E05B61" w:rsidRDefault="00781899" w:rsidP="00781899">
      <w:pPr>
        <w:spacing w:line="360" w:lineRule="auto"/>
        <w:jc w:val="both"/>
        <w:rPr>
          <w:sz w:val="24"/>
          <w:szCs w:val="24"/>
        </w:rPr>
      </w:pPr>
      <w:r w:rsidRPr="00E05B61">
        <w:rPr>
          <w:sz w:val="24"/>
          <w:szCs w:val="24"/>
        </w:rPr>
        <w:t>El Art. 2 de la Ley Especial para-Regular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describe y menciona quienes son las personas que pueden ser beneficiarias de esta ley.</w:t>
      </w:r>
    </w:p>
    <w:p w14:paraId="13E7D4FD" w14:textId="77777777" w:rsidR="00781899" w:rsidRPr="00E05B61" w:rsidRDefault="00781899" w:rsidP="00781899">
      <w:pPr>
        <w:spacing w:line="360" w:lineRule="auto"/>
        <w:jc w:val="both"/>
        <w:rPr>
          <w:sz w:val="24"/>
          <w:szCs w:val="24"/>
        </w:rPr>
      </w:pPr>
      <w:r w:rsidRPr="00E05B61">
        <w:rPr>
          <w:sz w:val="24"/>
          <w:szCs w:val="24"/>
        </w:rPr>
        <w:t>A esta altura se tiene entendido que las personas que son excombatientes ya están ingresadas en su totalidad en el registro, por lo que solamente quedaría personal de la FAES para ingresar, por ello se les recomienda a las personas que acuden a preguntar, que acudan al lugar donde prestaron servicio para que les entreguen una constancia o en su caso al archivo general dela FAES, esa constancia la deben llevar luego a UCADFA donde le dan una especie de validación y es UCADFA la que envía esa información al INABVE mediante paquetes numerados, los cuales se van ingresando de manera gradual y por orden de llegada, siempre y cuando exista un acuerdo de Junta Directiva de abrir el Registro (SIVET), eso depende también del hecho si existe o no presupuesto para ingresar más personas y pagarles los beneficios.</w:t>
      </w:r>
    </w:p>
    <w:p w14:paraId="3FE2A25C" w14:textId="77777777" w:rsidR="00781899" w:rsidRPr="00E05B61" w:rsidRDefault="00781899" w:rsidP="00781899">
      <w:pPr>
        <w:adjustRightInd w:val="0"/>
        <w:rPr>
          <w:color w:val="000000"/>
          <w:sz w:val="24"/>
          <w:szCs w:val="24"/>
        </w:rPr>
      </w:pPr>
    </w:p>
    <w:p w14:paraId="747B82F4" w14:textId="77777777" w:rsidR="00781899" w:rsidRDefault="00781899" w:rsidP="00781899">
      <w:pPr>
        <w:adjustRightInd w:val="0"/>
        <w:spacing w:line="360" w:lineRule="auto"/>
        <w:jc w:val="both"/>
        <w:rPr>
          <w:b/>
          <w:bCs/>
          <w:color w:val="000000"/>
          <w:sz w:val="24"/>
          <w:szCs w:val="24"/>
        </w:rPr>
      </w:pPr>
      <w:r w:rsidRPr="00E05B61">
        <w:rPr>
          <w:color w:val="000000"/>
          <w:sz w:val="24"/>
          <w:szCs w:val="24"/>
        </w:rPr>
        <w:t xml:space="preserve"> </w:t>
      </w:r>
      <w:r w:rsidRPr="00E05B61">
        <w:rPr>
          <w:b/>
          <w:bCs/>
          <w:color w:val="000000"/>
          <w:sz w:val="24"/>
          <w:szCs w:val="24"/>
        </w:rPr>
        <w:t>PASOS PARA INGRESO DE VETERANOS AL REGISTRO Y DOCUMENTACIÓN A ENTREGAR:</w:t>
      </w:r>
    </w:p>
    <w:p w14:paraId="415BBB2F" w14:textId="77777777" w:rsidR="00781899" w:rsidRPr="00E05B61" w:rsidRDefault="00781899" w:rsidP="00781899">
      <w:pPr>
        <w:adjustRightInd w:val="0"/>
        <w:spacing w:line="360" w:lineRule="auto"/>
        <w:jc w:val="both"/>
        <w:rPr>
          <w:color w:val="000000"/>
          <w:sz w:val="24"/>
          <w:szCs w:val="24"/>
        </w:rPr>
      </w:pPr>
    </w:p>
    <w:p w14:paraId="7728CD51" w14:textId="77777777" w:rsidR="00781899" w:rsidRPr="00E05B61" w:rsidRDefault="00781899" w:rsidP="00781899">
      <w:pPr>
        <w:pStyle w:val="Prrafodelista"/>
        <w:widowControl/>
        <w:numPr>
          <w:ilvl w:val="0"/>
          <w:numId w:val="31"/>
        </w:numPr>
        <w:adjustRightInd w:val="0"/>
        <w:spacing w:after="71" w:line="360" w:lineRule="auto"/>
        <w:jc w:val="both"/>
        <w:rPr>
          <w:color w:val="000000"/>
          <w:sz w:val="24"/>
          <w:szCs w:val="24"/>
        </w:rPr>
      </w:pPr>
      <w:r w:rsidRPr="00E05B61">
        <w:rPr>
          <w:color w:val="000000"/>
          <w:sz w:val="24"/>
          <w:szCs w:val="24"/>
        </w:rPr>
        <w:t xml:space="preserve">Solicitar la constancia de alta y baja en la unidad militar en las que estuvo de alta. Para el caso de las personas que prestaron servicio en las unidades especiales, servicio territorial, escoltas militares, policía nacional, policía de hacienda, patrulleros, guardias cantonales, solicitar la constancia de alta y baja en el Archivo General de la Fuerza Armada; o en defecto de todo lo anterior, solicitar constancia de cotización al IPSFA. </w:t>
      </w:r>
    </w:p>
    <w:p w14:paraId="7359950F" w14:textId="77777777" w:rsidR="00781899" w:rsidRPr="00E05B61" w:rsidRDefault="00781899" w:rsidP="00781899">
      <w:pPr>
        <w:adjustRightInd w:val="0"/>
        <w:spacing w:after="71" w:line="360" w:lineRule="auto"/>
        <w:jc w:val="both"/>
        <w:rPr>
          <w:color w:val="000000"/>
          <w:sz w:val="24"/>
          <w:szCs w:val="24"/>
        </w:rPr>
      </w:pPr>
    </w:p>
    <w:p w14:paraId="4EB84B5F" w14:textId="77777777" w:rsidR="00781899" w:rsidRPr="00E05B61" w:rsidRDefault="00781899" w:rsidP="00781899">
      <w:pPr>
        <w:pStyle w:val="Prrafodelista"/>
        <w:widowControl/>
        <w:numPr>
          <w:ilvl w:val="0"/>
          <w:numId w:val="31"/>
        </w:numPr>
        <w:adjustRightInd w:val="0"/>
        <w:spacing w:after="71" w:line="360" w:lineRule="auto"/>
        <w:jc w:val="both"/>
        <w:rPr>
          <w:color w:val="000000"/>
          <w:sz w:val="24"/>
          <w:szCs w:val="24"/>
        </w:rPr>
      </w:pPr>
      <w:r w:rsidRPr="00E05B61">
        <w:rPr>
          <w:color w:val="000000"/>
          <w:sz w:val="24"/>
          <w:szCs w:val="24"/>
        </w:rPr>
        <w:t xml:space="preserve">Deberá presentar su constancia de alta y baja (en original) o cotización de IPSFA junto con la fotocopia de DUI y NIT ampliada al 150% en la Unidad de Coordinación y Apoyo a los Discapacitados de la Fuerza Armada (UCADFA). </w:t>
      </w:r>
    </w:p>
    <w:p w14:paraId="0F305D26" w14:textId="77777777" w:rsidR="00781899" w:rsidRPr="00E05B61" w:rsidRDefault="00781899" w:rsidP="00781899">
      <w:pPr>
        <w:adjustRightInd w:val="0"/>
        <w:spacing w:after="71" w:line="360" w:lineRule="auto"/>
        <w:jc w:val="both"/>
        <w:rPr>
          <w:color w:val="000000"/>
          <w:sz w:val="24"/>
          <w:szCs w:val="24"/>
        </w:rPr>
      </w:pPr>
    </w:p>
    <w:p w14:paraId="4D7221EB" w14:textId="77777777" w:rsidR="00781899" w:rsidRPr="00E05B61" w:rsidRDefault="00781899" w:rsidP="00781899">
      <w:pPr>
        <w:pStyle w:val="Prrafodelista"/>
        <w:widowControl/>
        <w:numPr>
          <w:ilvl w:val="0"/>
          <w:numId w:val="31"/>
        </w:numPr>
        <w:adjustRightInd w:val="0"/>
        <w:spacing w:after="71" w:line="360" w:lineRule="auto"/>
        <w:jc w:val="both"/>
        <w:rPr>
          <w:color w:val="000000"/>
          <w:sz w:val="24"/>
          <w:szCs w:val="24"/>
        </w:rPr>
      </w:pPr>
      <w:r w:rsidRPr="00E05B61">
        <w:rPr>
          <w:color w:val="000000"/>
          <w:sz w:val="24"/>
          <w:szCs w:val="24"/>
        </w:rPr>
        <w:t xml:space="preserve">Esperar la remisión de UCADFA al INABVE de la documentación debidamente verificada por el Estado Mayor Conjunto de la Fuerza Armada. </w:t>
      </w:r>
    </w:p>
    <w:p w14:paraId="2E8C072B" w14:textId="77777777" w:rsidR="00781899" w:rsidRDefault="00781899" w:rsidP="00781899">
      <w:pPr>
        <w:adjustRightInd w:val="0"/>
        <w:spacing w:after="71" w:line="360" w:lineRule="auto"/>
        <w:jc w:val="both"/>
        <w:rPr>
          <w:color w:val="000000"/>
          <w:sz w:val="24"/>
          <w:szCs w:val="24"/>
        </w:rPr>
      </w:pPr>
    </w:p>
    <w:p w14:paraId="4CFBCB72" w14:textId="77777777" w:rsidR="00781899" w:rsidRPr="00E05B61" w:rsidRDefault="00781899" w:rsidP="00781899">
      <w:pPr>
        <w:pStyle w:val="Prrafodelista"/>
        <w:widowControl/>
        <w:numPr>
          <w:ilvl w:val="0"/>
          <w:numId w:val="31"/>
        </w:numPr>
        <w:adjustRightInd w:val="0"/>
        <w:spacing w:after="71" w:line="360" w:lineRule="auto"/>
        <w:jc w:val="both"/>
        <w:rPr>
          <w:color w:val="000000"/>
          <w:sz w:val="24"/>
          <w:szCs w:val="24"/>
        </w:rPr>
      </w:pPr>
      <w:r w:rsidRPr="00E05B61">
        <w:rPr>
          <w:color w:val="000000"/>
          <w:sz w:val="24"/>
          <w:szCs w:val="24"/>
        </w:rPr>
        <w:t xml:space="preserve">Una vez verificado por el Estado Mayor Conjunto de la Fuerza Armada deberá esperar la autorización de Junta Directiva para que el paquete en el que viene la documentación sea ingresado a sistema de registro de veteranos. Una vez ingresada al sistema deberá esperar la publicación en la FAN PAGE del INABVE en la que se haga la convocatoria para la firma de la hoja de vida. </w:t>
      </w:r>
    </w:p>
    <w:p w14:paraId="72B8B18C" w14:textId="77777777" w:rsidR="00781899" w:rsidRPr="00E05B61" w:rsidRDefault="00781899" w:rsidP="00781899">
      <w:pPr>
        <w:adjustRightInd w:val="0"/>
        <w:spacing w:after="71" w:line="360" w:lineRule="auto"/>
        <w:jc w:val="both"/>
        <w:rPr>
          <w:color w:val="000000"/>
          <w:sz w:val="24"/>
          <w:szCs w:val="24"/>
        </w:rPr>
      </w:pPr>
    </w:p>
    <w:p w14:paraId="32803F99" w14:textId="77777777" w:rsidR="00781899" w:rsidRPr="00E05B61" w:rsidRDefault="00781899" w:rsidP="00781899">
      <w:pPr>
        <w:adjustRightInd w:val="0"/>
        <w:spacing w:line="360" w:lineRule="auto"/>
        <w:jc w:val="both"/>
        <w:rPr>
          <w:color w:val="000000"/>
          <w:sz w:val="24"/>
          <w:szCs w:val="24"/>
        </w:rPr>
      </w:pPr>
    </w:p>
    <w:p w14:paraId="7D148E3F" w14:textId="77777777" w:rsidR="00781899" w:rsidRDefault="00781899" w:rsidP="00781899">
      <w:pPr>
        <w:adjustRightInd w:val="0"/>
        <w:spacing w:line="360" w:lineRule="auto"/>
        <w:jc w:val="both"/>
        <w:rPr>
          <w:b/>
          <w:bCs/>
          <w:color w:val="000000"/>
          <w:sz w:val="24"/>
          <w:szCs w:val="24"/>
        </w:rPr>
      </w:pPr>
      <w:r w:rsidRPr="00E05B61">
        <w:rPr>
          <w:b/>
          <w:bCs/>
          <w:color w:val="000000"/>
          <w:sz w:val="24"/>
          <w:szCs w:val="24"/>
        </w:rPr>
        <w:t xml:space="preserve">Los pasos para seguir para la firma de la hoja de vida y la documentación que se entregará en el INABVE son: </w:t>
      </w:r>
    </w:p>
    <w:p w14:paraId="18A1F389" w14:textId="77777777" w:rsidR="00781899" w:rsidRPr="00E05B61" w:rsidRDefault="00781899" w:rsidP="00781899">
      <w:pPr>
        <w:adjustRightInd w:val="0"/>
        <w:spacing w:line="360" w:lineRule="auto"/>
        <w:jc w:val="both"/>
        <w:rPr>
          <w:b/>
          <w:bCs/>
          <w:color w:val="000000"/>
          <w:sz w:val="24"/>
          <w:szCs w:val="24"/>
        </w:rPr>
      </w:pPr>
    </w:p>
    <w:p w14:paraId="180890EF" w14:textId="77777777" w:rsidR="00781899" w:rsidRPr="00E05B61" w:rsidRDefault="00781899" w:rsidP="00781899">
      <w:pPr>
        <w:pStyle w:val="Prrafodelista"/>
        <w:widowControl/>
        <w:numPr>
          <w:ilvl w:val="0"/>
          <w:numId w:val="32"/>
        </w:numPr>
        <w:adjustRightInd w:val="0"/>
        <w:spacing w:line="360" w:lineRule="auto"/>
        <w:rPr>
          <w:color w:val="000000"/>
          <w:sz w:val="24"/>
          <w:szCs w:val="24"/>
        </w:rPr>
      </w:pPr>
      <w:r w:rsidRPr="00E05B61">
        <w:rPr>
          <w:color w:val="000000"/>
          <w:sz w:val="24"/>
          <w:szCs w:val="24"/>
        </w:rPr>
        <w:t xml:space="preserve">Presentarse al lugar de convocatoria a la hora indicada. </w:t>
      </w:r>
    </w:p>
    <w:p w14:paraId="1BACE337" w14:textId="77777777" w:rsidR="00781899" w:rsidRPr="00E05B61" w:rsidRDefault="00781899" w:rsidP="00781899">
      <w:pPr>
        <w:pStyle w:val="Prrafodelista"/>
        <w:widowControl/>
        <w:numPr>
          <w:ilvl w:val="0"/>
          <w:numId w:val="32"/>
        </w:numPr>
        <w:adjustRightInd w:val="0"/>
        <w:spacing w:after="71" w:line="360" w:lineRule="auto"/>
        <w:rPr>
          <w:color w:val="000000"/>
          <w:sz w:val="24"/>
          <w:szCs w:val="24"/>
        </w:rPr>
      </w:pPr>
      <w:r w:rsidRPr="00E05B61">
        <w:rPr>
          <w:color w:val="000000"/>
          <w:sz w:val="24"/>
          <w:szCs w:val="24"/>
        </w:rPr>
        <w:t xml:space="preserve">Ser verificado en el sistema. </w:t>
      </w:r>
    </w:p>
    <w:p w14:paraId="529565E8" w14:textId="77777777" w:rsidR="00781899" w:rsidRPr="00E05B61" w:rsidRDefault="00781899" w:rsidP="00781899">
      <w:pPr>
        <w:pStyle w:val="Prrafodelista"/>
        <w:widowControl/>
        <w:numPr>
          <w:ilvl w:val="0"/>
          <w:numId w:val="32"/>
        </w:numPr>
        <w:adjustRightInd w:val="0"/>
        <w:spacing w:after="71" w:line="360" w:lineRule="auto"/>
        <w:rPr>
          <w:color w:val="000000"/>
          <w:sz w:val="24"/>
          <w:szCs w:val="24"/>
        </w:rPr>
      </w:pPr>
      <w:r w:rsidRPr="00E05B61">
        <w:rPr>
          <w:color w:val="000000"/>
          <w:sz w:val="24"/>
          <w:szCs w:val="24"/>
        </w:rPr>
        <w:t xml:space="preserve">En caso de aparecer en el sistema, presentar fotocopia de DUI Y NIT ampliada al 150% tanto del veterano y de la persona que dejara como beneficiaria de pensión y gastos funerarios. </w:t>
      </w:r>
    </w:p>
    <w:p w14:paraId="48736693" w14:textId="77777777" w:rsidR="00781899" w:rsidRPr="00E05B61" w:rsidRDefault="00781899" w:rsidP="00781899">
      <w:pPr>
        <w:pStyle w:val="Prrafodelista"/>
        <w:widowControl/>
        <w:numPr>
          <w:ilvl w:val="0"/>
          <w:numId w:val="32"/>
        </w:numPr>
        <w:adjustRightInd w:val="0"/>
        <w:spacing w:line="360" w:lineRule="auto"/>
        <w:rPr>
          <w:color w:val="000000"/>
          <w:sz w:val="24"/>
          <w:szCs w:val="24"/>
        </w:rPr>
      </w:pPr>
      <w:r w:rsidRPr="00E05B61">
        <w:rPr>
          <w:color w:val="000000"/>
          <w:sz w:val="24"/>
          <w:szCs w:val="24"/>
        </w:rPr>
        <w:t xml:space="preserve">Firmar la hoja de vida. </w:t>
      </w:r>
    </w:p>
    <w:p w14:paraId="0E32E175" w14:textId="77777777" w:rsidR="00781899" w:rsidRPr="00E05B61" w:rsidRDefault="00781899" w:rsidP="00781899">
      <w:pPr>
        <w:pStyle w:val="Sinespaciado"/>
        <w:spacing w:line="360" w:lineRule="auto"/>
        <w:jc w:val="both"/>
        <w:rPr>
          <w:rFonts w:ascii="Times New Roman" w:hAnsi="Times New Roman"/>
          <w:sz w:val="24"/>
          <w:szCs w:val="24"/>
          <w:lang w:val="es-SV"/>
        </w:rPr>
      </w:pPr>
    </w:p>
    <w:p w14:paraId="70CF246F" w14:textId="77777777" w:rsidR="00781899" w:rsidRPr="00511AFF" w:rsidRDefault="00781899" w:rsidP="00511AFF">
      <w:pPr>
        <w:spacing w:line="360" w:lineRule="auto"/>
        <w:jc w:val="center"/>
        <w:rPr>
          <w:rFonts w:ascii="Arial" w:hAnsi="Arial" w:cs="Arial"/>
          <w:sz w:val="24"/>
          <w:szCs w:val="24"/>
        </w:rPr>
      </w:pPr>
    </w:p>
    <w:sectPr w:rsidR="00781899" w:rsidRPr="00511AFF" w:rsidSect="00511AFF">
      <w:headerReference w:type="even" r:id="rId8"/>
      <w:headerReference w:type="default" r:id="rId9"/>
      <w:footerReference w:type="default" r:id="rId10"/>
      <w:headerReference w:type="first" r:id="rId11"/>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CD100" w14:textId="77777777" w:rsidR="00F30A97" w:rsidRDefault="00F30A97" w:rsidP="00A57328">
      <w:r>
        <w:separator/>
      </w:r>
    </w:p>
  </w:endnote>
  <w:endnote w:type="continuationSeparator" w:id="0">
    <w:p w14:paraId="7B9A921A" w14:textId="77777777" w:rsidR="00F30A97" w:rsidRDefault="00F30A97"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Default="0095457D" w:rsidP="00E02E6F">
    <w:pPr>
      <w:pStyle w:val="Piedepgina"/>
      <w:jc w:val="center"/>
      <w:rPr>
        <w:sz w:val="20"/>
        <w:szCs w:val="20"/>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Pr>
        <w:sz w:val="20"/>
        <w:szCs w:val="20"/>
      </w:rPr>
      <w:t>Avenida Bernal N° 222</w:t>
    </w:r>
    <w:r w:rsidR="00836E56">
      <w:rPr>
        <w:sz w:val="20"/>
        <w:szCs w:val="20"/>
      </w:rPr>
      <w:t>, San Salvador</w:t>
    </w:r>
    <w:r w:rsidR="00027845">
      <w:rPr>
        <w:sz w:val="20"/>
        <w:szCs w:val="20"/>
      </w:rPr>
      <w:t>, El Salvador, C. A.</w:t>
    </w:r>
  </w:p>
  <w:p w14:paraId="7AA8F077" w14:textId="77777777" w:rsidR="00836E56" w:rsidRDefault="00836E56" w:rsidP="00E02E6F">
    <w:pPr>
      <w:pStyle w:val="Piedep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1A39F" w14:textId="77777777" w:rsidR="00F30A97" w:rsidRDefault="00F30A97" w:rsidP="00A57328">
      <w:r>
        <w:separator/>
      </w:r>
    </w:p>
  </w:footnote>
  <w:footnote w:type="continuationSeparator" w:id="0">
    <w:p w14:paraId="51CA226A" w14:textId="77777777" w:rsidR="00F30A97" w:rsidRDefault="00F30A97"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F30A97">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F30A97">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F30A97">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19AF0946"/>
    <w:multiLevelType w:val="hybridMultilevel"/>
    <w:tmpl w:val="DD7C5CCE"/>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6"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8"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2"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4"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5"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7"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30" w15:restartNumberingAfterBreak="0">
    <w:nsid w:val="7F967A78"/>
    <w:multiLevelType w:val="hybridMultilevel"/>
    <w:tmpl w:val="2EBE8C7E"/>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8"/>
  </w:num>
  <w:num w:numId="2">
    <w:abstractNumId w:val="8"/>
  </w:num>
  <w:num w:numId="3">
    <w:abstractNumId w:val="9"/>
  </w:num>
  <w:num w:numId="4">
    <w:abstractNumId w:val="0"/>
  </w:num>
  <w:num w:numId="5">
    <w:abstractNumId w:val="15"/>
  </w:num>
  <w:num w:numId="6">
    <w:abstractNumId w:val="14"/>
  </w:num>
  <w:num w:numId="7">
    <w:abstractNumId w:val="25"/>
  </w:num>
  <w:num w:numId="8">
    <w:abstractNumId w:val="2"/>
  </w:num>
  <w:num w:numId="9">
    <w:abstractNumId w:val="12"/>
  </w:num>
  <w:num w:numId="10">
    <w:abstractNumId w:val="3"/>
  </w:num>
  <w:num w:numId="11">
    <w:abstractNumId w:val="11"/>
  </w:num>
  <w:num w:numId="12">
    <w:abstractNumId w:val="16"/>
  </w:num>
  <w:num w:numId="13">
    <w:abstractNumId w:val="23"/>
  </w:num>
  <w:num w:numId="14">
    <w:abstractNumId w:val="24"/>
  </w:num>
  <w:num w:numId="15">
    <w:abstractNumId w:val="10"/>
  </w:num>
  <w:num w:numId="16">
    <w:abstractNumId w:val="4"/>
  </w:num>
  <w:num w:numId="17">
    <w:abstractNumId w:val="7"/>
  </w:num>
  <w:num w:numId="18">
    <w:abstractNumId w:val="21"/>
  </w:num>
  <w:num w:numId="19">
    <w:abstractNumId w:val="27"/>
  </w:num>
  <w:num w:numId="20">
    <w:abstractNumId w:val="17"/>
  </w:num>
  <w:num w:numId="21">
    <w:abstractNumId w:val="20"/>
  </w:num>
  <w:num w:numId="22">
    <w:abstractNumId w:val="29"/>
  </w:num>
  <w:num w:numId="23">
    <w:abstractNumId w:val="19"/>
  </w:num>
  <w:num w:numId="24">
    <w:abstractNumId w:val="26"/>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
  </w:num>
  <w:num w:numId="28">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abstractNumId w:val="6"/>
  </w:num>
  <w:num w:numId="30">
    <w:abstractNumId w:val="28"/>
  </w:num>
  <w:num w:numId="31">
    <w:abstractNumId w:val="30"/>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51890"/>
    <w:rsid w:val="00060C8B"/>
    <w:rsid w:val="000625E7"/>
    <w:rsid w:val="0009160B"/>
    <w:rsid w:val="000A0F29"/>
    <w:rsid w:val="000B0EFF"/>
    <w:rsid w:val="000B2445"/>
    <w:rsid w:val="000B480E"/>
    <w:rsid w:val="000C6705"/>
    <w:rsid w:val="000D0659"/>
    <w:rsid w:val="000E1A4A"/>
    <w:rsid w:val="000E1E34"/>
    <w:rsid w:val="00101687"/>
    <w:rsid w:val="001040E4"/>
    <w:rsid w:val="00121CB6"/>
    <w:rsid w:val="00124421"/>
    <w:rsid w:val="0012453F"/>
    <w:rsid w:val="00133279"/>
    <w:rsid w:val="0013483A"/>
    <w:rsid w:val="0018164C"/>
    <w:rsid w:val="00183D54"/>
    <w:rsid w:val="00185950"/>
    <w:rsid w:val="0019536B"/>
    <w:rsid w:val="001B03EE"/>
    <w:rsid w:val="001B0F78"/>
    <w:rsid w:val="001B3039"/>
    <w:rsid w:val="001B7F66"/>
    <w:rsid w:val="001C0FDC"/>
    <w:rsid w:val="001C260C"/>
    <w:rsid w:val="001E1279"/>
    <w:rsid w:val="001E683B"/>
    <w:rsid w:val="00223F97"/>
    <w:rsid w:val="002273C3"/>
    <w:rsid w:val="0024345F"/>
    <w:rsid w:val="002506E5"/>
    <w:rsid w:val="00250C89"/>
    <w:rsid w:val="002563A5"/>
    <w:rsid w:val="00260399"/>
    <w:rsid w:val="002616EC"/>
    <w:rsid w:val="002640D6"/>
    <w:rsid w:val="0027385A"/>
    <w:rsid w:val="002B133F"/>
    <w:rsid w:val="002D177D"/>
    <w:rsid w:val="002E6A49"/>
    <w:rsid w:val="00310263"/>
    <w:rsid w:val="003103D9"/>
    <w:rsid w:val="003278FC"/>
    <w:rsid w:val="00330FC8"/>
    <w:rsid w:val="003371A0"/>
    <w:rsid w:val="00337745"/>
    <w:rsid w:val="00346F31"/>
    <w:rsid w:val="00354AF6"/>
    <w:rsid w:val="00360F82"/>
    <w:rsid w:val="003702D9"/>
    <w:rsid w:val="0037187D"/>
    <w:rsid w:val="00374BFC"/>
    <w:rsid w:val="00381C98"/>
    <w:rsid w:val="00390AEA"/>
    <w:rsid w:val="003B1B9D"/>
    <w:rsid w:val="003B312F"/>
    <w:rsid w:val="003B544A"/>
    <w:rsid w:val="003C5322"/>
    <w:rsid w:val="003D424C"/>
    <w:rsid w:val="003D709A"/>
    <w:rsid w:val="003E00F1"/>
    <w:rsid w:val="003E35A5"/>
    <w:rsid w:val="003E5291"/>
    <w:rsid w:val="00424ECE"/>
    <w:rsid w:val="0042754F"/>
    <w:rsid w:val="00442430"/>
    <w:rsid w:val="00457438"/>
    <w:rsid w:val="00464605"/>
    <w:rsid w:val="00466C13"/>
    <w:rsid w:val="00472CA4"/>
    <w:rsid w:val="004849E0"/>
    <w:rsid w:val="00490FA3"/>
    <w:rsid w:val="004B3EC5"/>
    <w:rsid w:val="004C0C41"/>
    <w:rsid w:val="004C3BB2"/>
    <w:rsid w:val="004C4C54"/>
    <w:rsid w:val="004C6F38"/>
    <w:rsid w:val="004D01FF"/>
    <w:rsid w:val="004D1A7D"/>
    <w:rsid w:val="004D5BAC"/>
    <w:rsid w:val="004E1DAF"/>
    <w:rsid w:val="004E414F"/>
    <w:rsid w:val="004E7A94"/>
    <w:rsid w:val="004E7AD9"/>
    <w:rsid w:val="00511AFF"/>
    <w:rsid w:val="00536B02"/>
    <w:rsid w:val="005376BE"/>
    <w:rsid w:val="00540521"/>
    <w:rsid w:val="005726E2"/>
    <w:rsid w:val="005733D6"/>
    <w:rsid w:val="005779E7"/>
    <w:rsid w:val="005813E9"/>
    <w:rsid w:val="005A1FE9"/>
    <w:rsid w:val="005B1945"/>
    <w:rsid w:val="005D1014"/>
    <w:rsid w:val="005D29B3"/>
    <w:rsid w:val="005D4033"/>
    <w:rsid w:val="005F1FC7"/>
    <w:rsid w:val="005F5FAC"/>
    <w:rsid w:val="00602E6C"/>
    <w:rsid w:val="00605063"/>
    <w:rsid w:val="00606D90"/>
    <w:rsid w:val="00606EC9"/>
    <w:rsid w:val="006230C6"/>
    <w:rsid w:val="00623D53"/>
    <w:rsid w:val="00636BBE"/>
    <w:rsid w:val="00636C31"/>
    <w:rsid w:val="0065022F"/>
    <w:rsid w:val="00652E83"/>
    <w:rsid w:val="006542F1"/>
    <w:rsid w:val="00665D67"/>
    <w:rsid w:val="00672812"/>
    <w:rsid w:val="006745C6"/>
    <w:rsid w:val="00684424"/>
    <w:rsid w:val="00692DFB"/>
    <w:rsid w:val="00696E82"/>
    <w:rsid w:val="006A5680"/>
    <w:rsid w:val="006A68B2"/>
    <w:rsid w:val="006A7F24"/>
    <w:rsid w:val="006B5D90"/>
    <w:rsid w:val="006B635E"/>
    <w:rsid w:val="006E5248"/>
    <w:rsid w:val="006E77CF"/>
    <w:rsid w:val="006E7C7A"/>
    <w:rsid w:val="006F2863"/>
    <w:rsid w:val="00715C38"/>
    <w:rsid w:val="00716022"/>
    <w:rsid w:val="007278B1"/>
    <w:rsid w:val="0074023C"/>
    <w:rsid w:val="00746FF7"/>
    <w:rsid w:val="00751A0E"/>
    <w:rsid w:val="0076517F"/>
    <w:rsid w:val="00765DD0"/>
    <w:rsid w:val="0077463C"/>
    <w:rsid w:val="00776722"/>
    <w:rsid w:val="00780192"/>
    <w:rsid w:val="00781899"/>
    <w:rsid w:val="00792E14"/>
    <w:rsid w:val="007947C6"/>
    <w:rsid w:val="00794DAA"/>
    <w:rsid w:val="007B026D"/>
    <w:rsid w:val="007B6536"/>
    <w:rsid w:val="007C177C"/>
    <w:rsid w:val="007E1F0C"/>
    <w:rsid w:val="007E7940"/>
    <w:rsid w:val="007F7014"/>
    <w:rsid w:val="00803BEB"/>
    <w:rsid w:val="0082314A"/>
    <w:rsid w:val="0082423C"/>
    <w:rsid w:val="00836E56"/>
    <w:rsid w:val="00841338"/>
    <w:rsid w:val="00843B5A"/>
    <w:rsid w:val="00845BC9"/>
    <w:rsid w:val="00846741"/>
    <w:rsid w:val="00850C72"/>
    <w:rsid w:val="008815B2"/>
    <w:rsid w:val="00896B77"/>
    <w:rsid w:val="008B273D"/>
    <w:rsid w:val="008C0EA5"/>
    <w:rsid w:val="008C122C"/>
    <w:rsid w:val="008E3710"/>
    <w:rsid w:val="008F5AE5"/>
    <w:rsid w:val="0090571A"/>
    <w:rsid w:val="0091592A"/>
    <w:rsid w:val="009163E1"/>
    <w:rsid w:val="00921FB3"/>
    <w:rsid w:val="00926126"/>
    <w:rsid w:val="00926A3E"/>
    <w:rsid w:val="00931FD4"/>
    <w:rsid w:val="009468E8"/>
    <w:rsid w:val="009514D4"/>
    <w:rsid w:val="0095457D"/>
    <w:rsid w:val="009558C5"/>
    <w:rsid w:val="00966DBD"/>
    <w:rsid w:val="00970241"/>
    <w:rsid w:val="0097156B"/>
    <w:rsid w:val="00982288"/>
    <w:rsid w:val="009B22A7"/>
    <w:rsid w:val="009B5DF8"/>
    <w:rsid w:val="009C70F8"/>
    <w:rsid w:val="009E01C2"/>
    <w:rsid w:val="009E0C04"/>
    <w:rsid w:val="009E1D4C"/>
    <w:rsid w:val="009F3735"/>
    <w:rsid w:val="00A02357"/>
    <w:rsid w:val="00A061BC"/>
    <w:rsid w:val="00A1131A"/>
    <w:rsid w:val="00A31BF3"/>
    <w:rsid w:val="00A364AD"/>
    <w:rsid w:val="00A44588"/>
    <w:rsid w:val="00A50FC7"/>
    <w:rsid w:val="00A518AE"/>
    <w:rsid w:val="00A54C82"/>
    <w:rsid w:val="00A56369"/>
    <w:rsid w:val="00A57328"/>
    <w:rsid w:val="00A61BEE"/>
    <w:rsid w:val="00A67420"/>
    <w:rsid w:val="00A828E2"/>
    <w:rsid w:val="00A85739"/>
    <w:rsid w:val="00A87A6E"/>
    <w:rsid w:val="00AB1ACD"/>
    <w:rsid w:val="00AB1B65"/>
    <w:rsid w:val="00AC47B2"/>
    <w:rsid w:val="00AF022F"/>
    <w:rsid w:val="00B02180"/>
    <w:rsid w:val="00B05879"/>
    <w:rsid w:val="00B0664A"/>
    <w:rsid w:val="00B30468"/>
    <w:rsid w:val="00B3452A"/>
    <w:rsid w:val="00B37B15"/>
    <w:rsid w:val="00B43D88"/>
    <w:rsid w:val="00B472A1"/>
    <w:rsid w:val="00B55818"/>
    <w:rsid w:val="00B63C28"/>
    <w:rsid w:val="00B66BDF"/>
    <w:rsid w:val="00B779B6"/>
    <w:rsid w:val="00B8350E"/>
    <w:rsid w:val="00B91020"/>
    <w:rsid w:val="00B93BC1"/>
    <w:rsid w:val="00BA0365"/>
    <w:rsid w:val="00BA165C"/>
    <w:rsid w:val="00BA2A6A"/>
    <w:rsid w:val="00BA2D4B"/>
    <w:rsid w:val="00BB1087"/>
    <w:rsid w:val="00C0643B"/>
    <w:rsid w:val="00C32CB7"/>
    <w:rsid w:val="00C44BC5"/>
    <w:rsid w:val="00C5429F"/>
    <w:rsid w:val="00C75499"/>
    <w:rsid w:val="00C77CFD"/>
    <w:rsid w:val="00C93C3C"/>
    <w:rsid w:val="00CB119E"/>
    <w:rsid w:val="00CB16AD"/>
    <w:rsid w:val="00CD6E81"/>
    <w:rsid w:val="00CE6591"/>
    <w:rsid w:val="00D04C83"/>
    <w:rsid w:val="00D14F5C"/>
    <w:rsid w:val="00D30C37"/>
    <w:rsid w:val="00D32E41"/>
    <w:rsid w:val="00D337D8"/>
    <w:rsid w:val="00D40359"/>
    <w:rsid w:val="00D423B6"/>
    <w:rsid w:val="00D72AE1"/>
    <w:rsid w:val="00D7415B"/>
    <w:rsid w:val="00D769F5"/>
    <w:rsid w:val="00D844C4"/>
    <w:rsid w:val="00DC4528"/>
    <w:rsid w:val="00DD56EA"/>
    <w:rsid w:val="00DD6BA6"/>
    <w:rsid w:val="00DF4FA4"/>
    <w:rsid w:val="00E02E6F"/>
    <w:rsid w:val="00E0594C"/>
    <w:rsid w:val="00E07FD3"/>
    <w:rsid w:val="00E134C1"/>
    <w:rsid w:val="00E2321E"/>
    <w:rsid w:val="00E2691A"/>
    <w:rsid w:val="00E27444"/>
    <w:rsid w:val="00E36029"/>
    <w:rsid w:val="00E4759A"/>
    <w:rsid w:val="00E51035"/>
    <w:rsid w:val="00E54562"/>
    <w:rsid w:val="00E73477"/>
    <w:rsid w:val="00E87249"/>
    <w:rsid w:val="00E91EFE"/>
    <w:rsid w:val="00E96F4B"/>
    <w:rsid w:val="00EA3805"/>
    <w:rsid w:val="00EC1D87"/>
    <w:rsid w:val="00EC2797"/>
    <w:rsid w:val="00ED2DE7"/>
    <w:rsid w:val="00ED6A80"/>
    <w:rsid w:val="00F16E69"/>
    <w:rsid w:val="00F20981"/>
    <w:rsid w:val="00F20E59"/>
    <w:rsid w:val="00F211C8"/>
    <w:rsid w:val="00F30A97"/>
    <w:rsid w:val="00F3234A"/>
    <w:rsid w:val="00F403A2"/>
    <w:rsid w:val="00F43052"/>
    <w:rsid w:val="00F438A3"/>
    <w:rsid w:val="00F46841"/>
    <w:rsid w:val="00F5690C"/>
    <w:rsid w:val="00F5782F"/>
    <w:rsid w:val="00F80C4C"/>
    <w:rsid w:val="00F83B22"/>
    <w:rsid w:val="00F864A1"/>
    <w:rsid w:val="00F90467"/>
    <w:rsid w:val="00F9576D"/>
    <w:rsid w:val="00FB4647"/>
    <w:rsid w:val="00FC3C23"/>
    <w:rsid w:val="00FC78F1"/>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466</Words>
  <Characters>2569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Verónica  Esmeralda  Henríquez  George</cp:lastModifiedBy>
  <cp:revision>3</cp:revision>
  <cp:lastPrinted>2021-10-08T19:48:00Z</cp:lastPrinted>
  <dcterms:created xsi:type="dcterms:W3CDTF">2021-10-13T20:28:00Z</dcterms:created>
  <dcterms:modified xsi:type="dcterms:W3CDTF">2021-10-13T20:30:00Z</dcterms:modified>
</cp:coreProperties>
</file>