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150B" w14:textId="77777777" w:rsidR="00B05DA5" w:rsidRPr="00227E4A" w:rsidRDefault="00B05DA5" w:rsidP="00B05DA5">
      <w:pPr>
        <w:jc w:val="center"/>
        <w:rPr>
          <w:b/>
          <w:sz w:val="36"/>
        </w:rPr>
      </w:pPr>
      <w:bookmarkStart w:id="0" w:name="_Hlk91142979"/>
      <w:bookmarkEnd w:id="0"/>
    </w:p>
    <w:p w14:paraId="12A419F2" w14:textId="376294EC" w:rsidR="00B05DA5" w:rsidRDefault="00346BBA" w:rsidP="00B05DA5">
      <w:pPr>
        <w:jc w:val="center"/>
      </w:pPr>
      <w:r>
        <w:rPr>
          <w:noProof/>
        </w:rPr>
        <w:drawing>
          <wp:inline distT="0" distB="0" distL="0" distR="0" wp14:anchorId="5BF7E8B1" wp14:editId="5E7E1656">
            <wp:extent cx="2541134" cy="9246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68" cy="93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40F50" w14:textId="77777777" w:rsidR="00B05DA5" w:rsidRDefault="00B05DA5" w:rsidP="00B05DA5">
      <w:pPr>
        <w:jc w:val="center"/>
        <w:rPr>
          <w:b/>
          <w:sz w:val="32"/>
        </w:rPr>
      </w:pPr>
    </w:p>
    <w:p w14:paraId="314C44F5" w14:textId="77777777" w:rsidR="00B05DA5" w:rsidRDefault="00B05DA5" w:rsidP="00B05DA5">
      <w:pPr>
        <w:jc w:val="center"/>
        <w:rPr>
          <w:b/>
          <w:sz w:val="32"/>
        </w:rPr>
      </w:pPr>
    </w:p>
    <w:p w14:paraId="55FE3D20" w14:textId="77777777" w:rsidR="00B05DA5" w:rsidRPr="00E643D1" w:rsidRDefault="00B05DA5" w:rsidP="00B05DA5">
      <w:pPr>
        <w:jc w:val="center"/>
        <w:rPr>
          <w:b/>
          <w:sz w:val="40"/>
        </w:rPr>
      </w:pPr>
      <w:r>
        <w:rPr>
          <w:b/>
          <w:sz w:val="40"/>
        </w:rPr>
        <w:t>INFORME MENSUAL DE ACTIVIDADES</w:t>
      </w:r>
    </w:p>
    <w:p w14:paraId="157BD177" w14:textId="77777777" w:rsidR="00B05DA5" w:rsidRDefault="00B05DA5" w:rsidP="00B05DA5">
      <w:pPr>
        <w:jc w:val="center"/>
      </w:pPr>
    </w:p>
    <w:p w14:paraId="4A1F77BB" w14:textId="77777777" w:rsidR="00B05DA5" w:rsidRDefault="00B05DA5" w:rsidP="00B05DA5">
      <w:pPr>
        <w:jc w:val="center"/>
      </w:pPr>
    </w:p>
    <w:p w14:paraId="34410EEF" w14:textId="77777777" w:rsidR="00B05DA5" w:rsidRDefault="00B05DA5" w:rsidP="00B05DA5">
      <w:pPr>
        <w:jc w:val="center"/>
        <w:rPr>
          <w:b/>
          <w:sz w:val="32"/>
        </w:rPr>
      </w:pPr>
    </w:p>
    <w:p w14:paraId="35FB659C" w14:textId="3C9B81B3" w:rsidR="005C5606" w:rsidRPr="00E643D1" w:rsidRDefault="00B05DA5" w:rsidP="00B05DA5">
      <w:pPr>
        <w:jc w:val="center"/>
        <w:rPr>
          <w:b/>
          <w:sz w:val="40"/>
        </w:rPr>
      </w:pPr>
      <w:r w:rsidRPr="00E643D1">
        <w:rPr>
          <w:b/>
          <w:sz w:val="40"/>
        </w:rPr>
        <w:t>UNIDAD DE GESTIÓN</w:t>
      </w:r>
      <w:r w:rsidR="00346BBA">
        <w:rPr>
          <w:b/>
          <w:sz w:val="40"/>
        </w:rPr>
        <w:t xml:space="preserve"> </w:t>
      </w:r>
      <w:r w:rsidR="00346BBA">
        <w:rPr>
          <w:b/>
          <w:sz w:val="40"/>
        </w:rPr>
        <w:br/>
      </w:r>
      <w:r w:rsidRPr="00E643D1">
        <w:rPr>
          <w:b/>
          <w:sz w:val="40"/>
        </w:rPr>
        <w:t>DOCUMENTAL</w:t>
      </w:r>
      <w:r w:rsidR="002F35A1">
        <w:rPr>
          <w:b/>
          <w:sz w:val="40"/>
        </w:rPr>
        <w:t xml:space="preserve"> </w:t>
      </w:r>
      <w:r w:rsidRPr="00E643D1">
        <w:rPr>
          <w:b/>
          <w:sz w:val="40"/>
        </w:rPr>
        <w:t>Y ARCHIVOS</w:t>
      </w:r>
    </w:p>
    <w:p w14:paraId="0875F16F" w14:textId="77777777" w:rsidR="00B05DA5" w:rsidRDefault="00B05DA5" w:rsidP="00B05DA5">
      <w:pPr>
        <w:jc w:val="center"/>
      </w:pPr>
    </w:p>
    <w:p w14:paraId="2FBBE80C" w14:textId="77777777" w:rsidR="00B05DA5" w:rsidRDefault="00B05DA5" w:rsidP="00B05DA5">
      <w:pPr>
        <w:jc w:val="center"/>
      </w:pPr>
    </w:p>
    <w:p w14:paraId="56C1DB17" w14:textId="77777777" w:rsidR="001920C6" w:rsidRDefault="001920C6" w:rsidP="001920C6">
      <w:pPr>
        <w:jc w:val="center"/>
        <w:rPr>
          <w:b/>
          <w:sz w:val="40"/>
        </w:rPr>
      </w:pPr>
    </w:p>
    <w:p w14:paraId="65FEED2D" w14:textId="7456F121" w:rsidR="001920C6" w:rsidRPr="001A4760" w:rsidRDefault="001920C6" w:rsidP="001920C6">
      <w:pPr>
        <w:jc w:val="center"/>
        <w:rPr>
          <w:b/>
          <w:sz w:val="32"/>
        </w:rPr>
      </w:pPr>
      <w:r w:rsidRPr="001A4760">
        <w:rPr>
          <w:b/>
          <w:sz w:val="32"/>
        </w:rPr>
        <w:t xml:space="preserve">ELABORADO POR: </w:t>
      </w:r>
      <w:r w:rsidR="00822843">
        <w:rPr>
          <w:b/>
          <w:sz w:val="32"/>
        </w:rPr>
        <w:t xml:space="preserve">ING. </w:t>
      </w:r>
      <w:r w:rsidR="004A27F7">
        <w:rPr>
          <w:b/>
          <w:sz w:val="32"/>
        </w:rPr>
        <w:t>JORGE CALLEJAS</w:t>
      </w:r>
      <w:r w:rsidR="001A4760">
        <w:rPr>
          <w:b/>
          <w:sz w:val="32"/>
        </w:rPr>
        <w:br/>
      </w:r>
      <w:r w:rsidRPr="001A4760">
        <w:rPr>
          <w:b/>
          <w:sz w:val="32"/>
        </w:rPr>
        <w:t>OFICIAL DE GESTIÓN DOCUMENTAL Y ARCHIVOS</w:t>
      </w:r>
    </w:p>
    <w:p w14:paraId="7FDDBFCB" w14:textId="77777777" w:rsidR="00B05DA5" w:rsidRDefault="00B05DA5" w:rsidP="00B05DA5">
      <w:pPr>
        <w:jc w:val="center"/>
        <w:rPr>
          <w:b/>
          <w:sz w:val="32"/>
        </w:rPr>
      </w:pPr>
    </w:p>
    <w:p w14:paraId="7913D6E3" w14:textId="77777777" w:rsidR="001920C6" w:rsidRDefault="001920C6" w:rsidP="00B05DA5">
      <w:pPr>
        <w:jc w:val="center"/>
        <w:rPr>
          <w:b/>
          <w:sz w:val="40"/>
        </w:rPr>
      </w:pPr>
    </w:p>
    <w:p w14:paraId="0927C452" w14:textId="7847C186" w:rsidR="009E6401" w:rsidRDefault="00DD03E3" w:rsidP="00B05DA5">
      <w:pPr>
        <w:jc w:val="center"/>
        <w:rPr>
          <w:b/>
          <w:sz w:val="40"/>
        </w:rPr>
      </w:pPr>
      <w:r>
        <w:rPr>
          <w:b/>
          <w:sz w:val="40"/>
        </w:rPr>
        <w:t>DICIEMBRE</w:t>
      </w:r>
      <w:r w:rsidR="00B05DA5" w:rsidRPr="00E643D1">
        <w:rPr>
          <w:b/>
          <w:sz w:val="40"/>
        </w:rPr>
        <w:t xml:space="preserve"> 20</w:t>
      </w:r>
      <w:r w:rsidR="00EA75BC">
        <w:rPr>
          <w:b/>
          <w:sz w:val="40"/>
        </w:rPr>
        <w:t>2</w:t>
      </w:r>
      <w:r w:rsidR="00EA097C">
        <w:rPr>
          <w:b/>
          <w:sz w:val="40"/>
        </w:rPr>
        <w:t>1</w:t>
      </w:r>
      <w:r>
        <w:rPr>
          <w:b/>
          <w:sz w:val="40"/>
        </w:rPr>
        <w:br/>
        <w:t>(RESUMEN ANUAL)</w:t>
      </w:r>
    </w:p>
    <w:p w14:paraId="55A32906" w14:textId="77777777" w:rsidR="00B05DA5" w:rsidRDefault="00B05DA5" w:rsidP="00B05DA5">
      <w:pPr>
        <w:jc w:val="center"/>
      </w:pPr>
      <w:r>
        <w:br w:type="page"/>
      </w:r>
    </w:p>
    <w:sdt>
      <w:sdt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id w:val="19043251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699D99" w14:textId="77777777" w:rsidR="00A274DB" w:rsidRDefault="00A274DB">
          <w:pPr>
            <w:pStyle w:val="TtuloTDC"/>
          </w:pPr>
          <w:r>
            <w:rPr>
              <w:lang w:val="es-ES"/>
            </w:rPr>
            <w:t>Contenido</w:t>
          </w:r>
        </w:p>
        <w:p w14:paraId="0A98049F" w14:textId="069DB3DA" w:rsidR="00304D97" w:rsidRDefault="00A274DB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105756" w:history="1">
            <w:r w:rsidR="00304D97" w:rsidRPr="00A36242">
              <w:rPr>
                <w:rStyle w:val="Hipervnculo"/>
                <w:noProof/>
              </w:rPr>
              <w:t>Introducción</w:t>
            </w:r>
            <w:r w:rsidR="00304D97">
              <w:rPr>
                <w:noProof/>
                <w:webHidden/>
              </w:rPr>
              <w:tab/>
            </w:r>
            <w:r w:rsidR="00304D97">
              <w:rPr>
                <w:noProof/>
                <w:webHidden/>
              </w:rPr>
              <w:fldChar w:fldCharType="begin"/>
            </w:r>
            <w:r w:rsidR="00304D97">
              <w:rPr>
                <w:noProof/>
                <w:webHidden/>
              </w:rPr>
              <w:instrText xml:space="preserve"> PAGEREF _Toc92105756 \h </w:instrText>
            </w:r>
            <w:r w:rsidR="00304D97">
              <w:rPr>
                <w:noProof/>
                <w:webHidden/>
              </w:rPr>
            </w:r>
            <w:r w:rsidR="00304D97">
              <w:rPr>
                <w:noProof/>
                <w:webHidden/>
              </w:rPr>
              <w:fldChar w:fldCharType="separate"/>
            </w:r>
            <w:r w:rsidR="00304D97">
              <w:rPr>
                <w:noProof/>
                <w:webHidden/>
              </w:rPr>
              <w:t>2</w:t>
            </w:r>
            <w:r w:rsidR="00304D97">
              <w:rPr>
                <w:noProof/>
                <w:webHidden/>
              </w:rPr>
              <w:fldChar w:fldCharType="end"/>
            </w:r>
          </w:hyperlink>
        </w:p>
        <w:p w14:paraId="04F5F985" w14:textId="68E7E1FF" w:rsidR="00304D97" w:rsidRDefault="00304D97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hyperlink w:anchor="_Toc92105757" w:history="1">
            <w:r w:rsidRPr="00A36242">
              <w:rPr>
                <w:rStyle w:val="Hipervnculo"/>
                <w:noProof/>
              </w:rPr>
              <w:t>1. Normativas de gestión documental y archivos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_Toc92105757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207CE" w14:textId="507A8EBB" w:rsidR="00304D97" w:rsidRDefault="00304D97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hyperlink w:anchor="_Toc92105758" w:history="1">
            <w:r w:rsidRPr="00A36242">
              <w:rPr>
                <w:rStyle w:val="Hipervnculo"/>
                <w:noProof/>
              </w:rPr>
              <w:t>2. Procesos de gestión documental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_Toc92105758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25549" w14:textId="36FDEBBC" w:rsidR="00304D97" w:rsidRDefault="00304D97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hyperlink w:anchor="_Toc92105759" w:history="1">
            <w:r w:rsidRPr="00A36242">
              <w:rPr>
                <w:rStyle w:val="Hipervnculo"/>
                <w:noProof/>
              </w:rPr>
              <w:t>3. Capacitaciones recibidas por personal de la UGDA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_Toc92105759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E9747" w14:textId="512B01BB" w:rsidR="00304D97" w:rsidRDefault="00304D97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hyperlink w:anchor="_Toc92105760" w:history="1">
            <w:r w:rsidRPr="00A36242">
              <w:rPr>
                <w:rStyle w:val="Hipervnculo"/>
                <w:noProof/>
              </w:rPr>
              <w:t>4. Organización de los archivos de gestión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_Toc92105760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E5CC1" w14:textId="188D6F5A" w:rsidR="00304D97" w:rsidRDefault="00304D97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hyperlink w:anchor="_Toc92105761" w:history="1">
            <w:r w:rsidRPr="00A36242">
              <w:rPr>
                <w:rStyle w:val="Hipervnculo"/>
                <w:noProof/>
              </w:rPr>
              <w:t>5. Resumen del cumplimiento del Plan de Trabajo 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_Toc92105761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92969" w14:textId="7ECD57EB" w:rsidR="00304D97" w:rsidRDefault="00304D97">
          <w:pPr>
            <w:pStyle w:val="TDC1"/>
            <w:tabs>
              <w:tab w:val="right" w:leader="dot" w:pos="9111"/>
            </w:tabs>
            <w:rPr>
              <w:rFonts w:eastAsiaTheme="minorEastAsia"/>
              <w:noProof/>
              <w:lang w:eastAsia="es-SV"/>
            </w:rPr>
          </w:pPr>
          <w:hyperlink w:anchor="_Toc92105762" w:history="1">
            <w:r w:rsidRPr="00A36242">
              <w:rPr>
                <w:rStyle w:val="Hipervnculo"/>
                <w:noProof/>
              </w:rPr>
              <w:t>6. Archivo Central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_Toc92105762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579FA" w14:textId="1E667E0F" w:rsidR="00A274DB" w:rsidRDefault="00A274DB">
          <w:r>
            <w:rPr>
              <w:b/>
              <w:bCs/>
              <w:lang w:val="es-ES"/>
            </w:rPr>
            <w:fldChar w:fldCharType="end"/>
          </w:r>
        </w:p>
      </w:sdtContent>
    </w:sdt>
    <w:p w14:paraId="54153314" w14:textId="77777777" w:rsidR="00A274DB" w:rsidRDefault="00A274DB" w:rsidP="00A274DB">
      <w:pPr>
        <w:pStyle w:val="Ttulo1"/>
      </w:pPr>
      <w:bookmarkStart w:id="1" w:name="_Toc92105756"/>
      <w:r>
        <w:t>Introducción</w:t>
      </w:r>
      <w:bookmarkEnd w:id="1"/>
    </w:p>
    <w:p w14:paraId="4C555624" w14:textId="6BD043C9" w:rsidR="00A274DB" w:rsidRDefault="00A274DB" w:rsidP="00015B23">
      <w:r>
        <w:t xml:space="preserve">El informe contiene las actividades realizadas por el personal de la Unidad de Gestión Documental y Archivos (UGDA) durante el </w:t>
      </w:r>
      <w:r w:rsidR="00DD03E3">
        <w:t>año 2021</w:t>
      </w:r>
      <w:r>
        <w:t xml:space="preserve">, </w:t>
      </w:r>
      <w:r w:rsidR="00DD03E3" w:rsidRPr="00DD03E3">
        <w:t xml:space="preserve">en cumplimiento </w:t>
      </w:r>
      <w:r w:rsidR="00DD03E3">
        <w:t>al</w:t>
      </w:r>
      <w:r w:rsidR="00DD03E3" w:rsidRPr="00DD03E3">
        <w:t xml:space="preserve"> Plan de Trabajo</w:t>
      </w:r>
      <w:r w:rsidR="00DD03E3">
        <w:t xml:space="preserve"> de la unidad.</w:t>
      </w:r>
      <w:r w:rsidR="00DD03E3" w:rsidRPr="00DD03E3">
        <w:t xml:space="preserve"> </w:t>
      </w:r>
      <w:r w:rsidR="00DD03E3">
        <w:t xml:space="preserve">Las actividades reflejan </w:t>
      </w:r>
      <w:r w:rsidRPr="00DA760B">
        <w:t xml:space="preserve">los avances </w:t>
      </w:r>
      <w:r>
        <w:t xml:space="preserve">en la implementación del Sistema Institucional de Gestión Documental y Archivos (SIGDA), </w:t>
      </w:r>
      <w:r w:rsidR="000230AA">
        <w:t xml:space="preserve">y </w:t>
      </w:r>
      <w:r>
        <w:t xml:space="preserve">los procesos técnicos archivísticos </w:t>
      </w:r>
      <w:r w:rsidR="000230AA">
        <w:t xml:space="preserve">llevados a cabo </w:t>
      </w:r>
      <w:r>
        <w:t>en el Archivo Central.</w:t>
      </w:r>
    </w:p>
    <w:p w14:paraId="18B35E9D" w14:textId="6161DEC6" w:rsidR="004F3A88" w:rsidRDefault="004F3A88" w:rsidP="004F3A88">
      <w:pPr>
        <w:pStyle w:val="Ttulo1"/>
      </w:pPr>
      <w:bookmarkStart w:id="2" w:name="_Toc92105757"/>
      <w:r>
        <w:t>1. Normativas de gestión documental y archivos</w:t>
      </w:r>
      <w:bookmarkEnd w:id="2"/>
    </w:p>
    <w:p w14:paraId="10776465" w14:textId="47AC0949" w:rsidR="00903D2E" w:rsidRDefault="004F3A88" w:rsidP="00015B23">
      <w:r w:rsidRPr="004F3A88">
        <w:t>De acuerdo a</w:t>
      </w:r>
      <w:r w:rsidR="009809A1">
        <w:t xml:space="preserve">l </w:t>
      </w:r>
      <w:r w:rsidR="009809A1" w:rsidRPr="004F3A88">
        <w:t>artículo 3</w:t>
      </w:r>
      <w:r w:rsidR="009809A1">
        <w:t xml:space="preserve"> del </w:t>
      </w:r>
      <w:r w:rsidRPr="004F3A88">
        <w:t>Lineamiento</w:t>
      </w:r>
      <w:r w:rsidR="009809A1">
        <w:t xml:space="preserve"> N°1 </w:t>
      </w:r>
      <w:r w:rsidRPr="004F3A88">
        <w:t xml:space="preserve">de Gestión Documental y Archivos, </w:t>
      </w:r>
      <w:r w:rsidR="009809A1">
        <w:t xml:space="preserve">relacionado con la </w:t>
      </w:r>
      <w:r w:rsidR="0047401E">
        <w:t xml:space="preserve">creación de </w:t>
      </w:r>
      <w:r w:rsidRPr="004F3A88">
        <w:t>políticas</w:t>
      </w:r>
      <w:r w:rsidR="0047401E">
        <w:t xml:space="preserve"> y</w:t>
      </w:r>
      <w:r w:rsidRPr="004F3A88">
        <w:t xml:space="preserve"> manuales para garantizar la organización, conservación</w:t>
      </w:r>
      <w:r w:rsidR="0047401E">
        <w:t xml:space="preserve"> y</w:t>
      </w:r>
      <w:r w:rsidRPr="004F3A88">
        <w:t xml:space="preserve"> acceso a los documentos y archivo</w:t>
      </w:r>
      <w:r w:rsidR="0047401E">
        <w:t>s</w:t>
      </w:r>
      <w:r w:rsidRPr="004F3A88">
        <w:t>, el Oficial GDA elaboró</w:t>
      </w:r>
      <w:r w:rsidR="0047401E">
        <w:t>/actualizó</w:t>
      </w:r>
      <w:r w:rsidRPr="004F3A88">
        <w:t xml:space="preserve"> los siguientes instrumentos normativos de gestión documental: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1815"/>
        <w:gridCol w:w="3261"/>
        <w:gridCol w:w="1417"/>
        <w:gridCol w:w="2283"/>
      </w:tblGrid>
      <w:tr w:rsidR="00321634" w:rsidRPr="001F2F13" w14:paraId="2D889CF8" w14:textId="77777777" w:rsidTr="001409CF">
        <w:trPr>
          <w:cantSplit/>
          <w:tblHeader/>
        </w:trPr>
        <w:tc>
          <w:tcPr>
            <w:tcW w:w="453" w:type="dxa"/>
            <w:vAlign w:val="center"/>
          </w:tcPr>
          <w:p w14:paraId="2BB7CB54" w14:textId="77777777" w:rsidR="00321634" w:rsidRPr="00325DA9" w:rsidRDefault="00321634" w:rsidP="00995306">
            <w:pPr>
              <w:jc w:val="center"/>
              <w:rPr>
                <w:b/>
                <w:sz w:val="20"/>
              </w:rPr>
            </w:pPr>
            <w:proofErr w:type="spellStart"/>
            <w:r w:rsidRPr="00325DA9">
              <w:rPr>
                <w:b/>
                <w:sz w:val="20"/>
              </w:rPr>
              <w:t>N°</w:t>
            </w:r>
            <w:proofErr w:type="spellEnd"/>
          </w:p>
        </w:tc>
        <w:tc>
          <w:tcPr>
            <w:tcW w:w="1815" w:type="dxa"/>
            <w:vAlign w:val="center"/>
          </w:tcPr>
          <w:p w14:paraId="45002C82" w14:textId="77777777" w:rsidR="00321634" w:rsidRPr="00325DA9" w:rsidRDefault="00321634" w:rsidP="00995306">
            <w:pPr>
              <w:jc w:val="center"/>
              <w:rPr>
                <w:b/>
                <w:sz w:val="20"/>
              </w:rPr>
            </w:pPr>
            <w:r w:rsidRPr="00325DA9">
              <w:rPr>
                <w:b/>
                <w:sz w:val="20"/>
              </w:rPr>
              <w:t>Normativa</w:t>
            </w:r>
          </w:p>
        </w:tc>
        <w:tc>
          <w:tcPr>
            <w:tcW w:w="3261" w:type="dxa"/>
            <w:vAlign w:val="center"/>
          </w:tcPr>
          <w:p w14:paraId="32B84CA5" w14:textId="77777777" w:rsidR="00321634" w:rsidRPr="00325DA9" w:rsidRDefault="00321634" w:rsidP="00995306">
            <w:pPr>
              <w:jc w:val="center"/>
              <w:rPr>
                <w:b/>
                <w:sz w:val="20"/>
              </w:rPr>
            </w:pPr>
            <w:r w:rsidRPr="00325DA9">
              <w:rPr>
                <w:b/>
                <w:sz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361327A" w14:textId="77777777" w:rsidR="00321634" w:rsidRPr="00325DA9" w:rsidRDefault="00321634" w:rsidP="00995306">
            <w:pPr>
              <w:jc w:val="center"/>
              <w:rPr>
                <w:b/>
                <w:sz w:val="20"/>
              </w:rPr>
            </w:pPr>
            <w:r w:rsidRPr="00325DA9">
              <w:rPr>
                <w:b/>
                <w:sz w:val="20"/>
              </w:rPr>
              <w:t>Últimas revisiones</w:t>
            </w:r>
          </w:p>
        </w:tc>
        <w:tc>
          <w:tcPr>
            <w:tcW w:w="2283" w:type="dxa"/>
            <w:vAlign w:val="center"/>
          </w:tcPr>
          <w:p w14:paraId="22DA58AD" w14:textId="77777777" w:rsidR="00321634" w:rsidRPr="00325DA9" w:rsidRDefault="00321634" w:rsidP="00995306">
            <w:pPr>
              <w:jc w:val="center"/>
              <w:rPr>
                <w:b/>
                <w:sz w:val="20"/>
              </w:rPr>
            </w:pPr>
            <w:r w:rsidRPr="00325DA9">
              <w:rPr>
                <w:b/>
                <w:sz w:val="20"/>
              </w:rPr>
              <w:t>Aprobación</w:t>
            </w:r>
          </w:p>
        </w:tc>
      </w:tr>
      <w:tr w:rsidR="00321634" w:rsidRPr="001F2F13" w14:paraId="52F75605" w14:textId="77777777" w:rsidTr="001409CF">
        <w:trPr>
          <w:cantSplit/>
        </w:trPr>
        <w:tc>
          <w:tcPr>
            <w:tcW w:w="453" w:type="dxa"/>
          </w:tcPr>
          <w:p w14:paraId="661301D0" w14:textId="12F356E0" w:rsidR="00321634" w:rsidRPr="001F2F13" w:rsidRDefault="00321634" w:rsidP="009953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5" w:type="dxa"/>
          </w:tcPr>
          <w:p w14:paraId="02398300" w14:textId="0D4E64AD" w:rsidR="00321634" w:rsidRPr="001F2F13" w:rsidRDefault="00321634" w:rsidP="00995306">
            <w:pPr>
              <w:jc w:val="left"/>
              <w:rPr>
                <w:sz w:val="20"/>
              </w:rPr>
            </w:pPr>
            <w:r w:rsidRPr="00185823">
              <w:rPr>
                <w:b/>
                <w:sz w:val="20"/>
              </w:rPr>
              <w:t>Manual de Organización de los Archivos de Gestión</w:t>
            </w:r>
          </w:p>
        </w:tc>
        <w:tc>
          <w:tcPr>
            <w:tcW w:w="3261" w:type="dxa"/>
          </w:tcPr>
          <w:p w14:paraId="736342D5" w14:textId="61C4CCBC" w:rsidR="00321634" w:rsidRPr="001F2F13" w:rsidRDefault="00321634" w:rsidP="00995306">
            <w:pPr>
              <w:jc w:val="left"/>
              <w:rPr>
                <w:sz w:val="20"/>
              </w:rPr>
            </w:pPr>
            <w:r w:rsidRPr="001F2F13">
              <w:rPr>
                <w:sz w:val="20"/>
              </w:rPr>
              <w:t xml:space="preserve">Brinda </w:t>
            </w:r>
            <w:r w:rsidR="00EF7056">
              <w:rPr>
                <w:sz w:val="20"/>
              </w:rPr>
              <w:t xml:space="preserve">al personal del ILP las </w:t>
            </w:r>
            <w:r w:rsidR="00EF7056" w:rsidRPr="00EF7056">
              <w:rPr>
                <w:sz w:val="20"/>
              </w:rPr>
              <w:t xml:space="preserve">normas y procedimientos </w:t>
            </w:r>
            <w:r w:rsidR="00EF7056">
              <w:rPr>
                <w:sz w:val="20"/>
              </w:rPr>
              <w:t xml:space="preserve">para </w:t>
            </w:r>
            <w:r w:rsidRPr="001F2F13">
              <w:rPr>
                <w:sz w:val="20"/>
              </w:rPr>
              <w:t xml:space="preserve">la organización de sus archivos de </w:t>
            </w:r>
            <w:r>
              <w:rPr>
                <w:sz w:val="20"/>
              </w:rPr>
              <w:t xml:space="preserve">gestión. </w:t>
            </w:r>
            <w:r w:rsidRPr="00C430AD">
              <w:rPr>
                <w:i/>
                <w:sz w:val="20"/>
              </w:rPr>
              <w:t>(</w:t>
            </w:r>
            <w:r w:rsidR="00444DDC">
              <w:rPr>
                <w:i/>
                <w:sz w:val="20"/>
              </w:rPr>
              <w:t>m</w:t>
            </w:r>
            <w:r w:rsidR="00CE340A">
              <w:rPr>
                <w:i/>
                <w:sz w:val="20"/>
              </w:rPr>
              <w:t>odificado</w:t>
            </w:r>
            <w:r w:rsidRPr="00C430AD">
              <w:rPr>
                <w:i/>
                <w:sz w:val="20"/>
              </w:rPr>
              <w:t xml:space="preserve"> en </w:t>
            </w:r>
            <w:r w:rsidR="00CE340A">
              <w:rPr>
                <w:i/>
                <w:sz w:val="20"/>
              </w:rPr>
              <w:t>enero</w:t>
            </w:r>
            <w:r w:rsidRPr="00C430AD">
              <w:rPr>
                <w:i/>
                <w:sz w:val="20"/>
              </w:rPr>
              <w:t xml:space="preserve"> 202</w:t>
            </w:r>
            <w:r w:rsidR="00CE340A">
              <w:rPr>
                <w:i/>
                <w:sz w:val="20"/>
              </w:rPr>
              <w:t>1</w:t>
            </w:r>
            <w:r w:rsidRPr="00C430AD">
              <w:rPr>
                <w:i/>
                <w:sz w:val="20"/>
              </w:rPr>
              <w:t>)</w:t>
            </w:r>
          </w:p>
        </w:tc>
        <w:tc>
          <w:tcPr>
            <w:tcW w:w="1417" w:type="dxa"/>
          </w:tcPr>
          <w:p w14:paraId="76E86377" w14:textId="4E3CC341" w:rsidR="00321634" w:rsidRPr="0026281A" w:rsidRDefault="00CF2441" w:rsidP="00321634">
            <w:pPr>
              <w:jc w:val="left"/>
              <w:rPr>
                <w:sz w:val="16"/>
              </w:rPr>
            </w:pPr>
            <w:r w:rsidRPr="00DD794E">
              <w:rPr>
                <w:sz w:val="18"/>
                <w:szCs w:val="24"/>
              </w:rPr>
              <w:t xml:space="preserve">Revisado por: Lic. Rousseau Gerente </w:t>
            </w:r>
            <w:proofErr w:type="spellStart"/>
            <w:r w:rsidRPr="00DD794E">
              <w:rPr>
                <w:sz w:val="18"/>
                <w:szCs w:val="24"/>
              </w:rPr>
              <w:t>Admvo</w:t>
            </w:r>
            <w:proofErr w:type="spellEnd"/>
            <w:r w:rsidRPr="00DD794E">
              <w:rPr>
                <w:sz w:val="18"/>
                <w:szCs w:val="24"/>
              </w:rPr>
              <w:t>. Financiero</w:t>
            </w:r>
            <w:r w:rsidR="00CE340A" w:rsidRPr="00DD794E">
              <w:rPr>
                <w:sz w:val="18"/>
                <w:szCs w:val="24"/>
              </w:rPr>
              <w:t xml:space="preserve">, </w:t>
            </w:r>
            <w:r w:rsidR="00083391" w:rsidRPr="00DD794E">
              <w:rPr>
                <w:sz w:val="18"/>
                <w:szCs w:val="24"/>
              </w:rPr>
              <w:t xml:space="preserve">en </w:t>
            </w:r>
            <w:r w:rsidR="00CE340A" w:rsidRPr="00DD794E">
              <w:rPr>
                <w:sz w:val="18"/>
                <w:szCs w:val="24"/>
              </w:rPr>
              <w:t>enero-2021</w:t>
            </w:r>
          </w:p>
        </w:tc>
        <w:tc>
          <w:tcPr>
            <w:tcW w:w="2283" w:type="dxa"/>
          </w:tcPr>
          <w:p w14:paraId="4C3CC8FC" w14:textId="2ABE3B63" w:rsidR="00321634" w:rsidRPr="001F2F13" w:rsidRDefault="00321634" w:rsidP="00995306">
            <w:pPr>
              <w:jc w:val="left"/>
              <w:rPr>
                <w:sz w:val="20"/>
              </w:rPr>
            </w:pPr>
            <w:r w:rsidRPr="001F2F13">
              <w:rPr>
                <w:sz w:val="20"/>
              </w:rPr>
              <w:t xml:space="preserve">Falta revisión y aprobación </w:t>
            </w:r>
            <w:r w:rsidR="00CF2441">
              <w:rPr>
                <w:sz w:val="20"/>
              </w:rPr>
              <w:t xml:space="preserve">de </w:t>
            </w:r>
            <w:proofErr w:type="gramStart"/>
            <w:r w:rsidRPr="001F2F13">
              <w:rPr>
                <w:sz w:val="20"/>
              </w:rPr>
              <w:t>Director</w:t>
            </w:r>
            <w:r w:rsidR="00CF2441">
              <w:rPr>
                <w:sz w:val="20"/>
              </w:rPr>
              <w:t xml:space="preserve"> Ejecutivo</w:t>
            </w:r>
            <w:proofErr w:type="gramEnd"/>
          </w:p>
        </w:tc>
      </w:tr>
      <w:tr w:rsidR="00321634" w:rsidRPr="001F2F13" w14:paraId="5E133167" w14:textId="77777777" w:rsidTr="001409CF">
        <w:trPr>
          <w:cantSplit/>
        </w:trPr>
        <w:tc>
          <w:tcPr>
            <w:tcW w:w="453" w:type="dxa"/>
          </w:tcPr>
          <w:p w14:paraId="75ABDBEC" w14:textId="60DF646D" w:rsidR="00321634" w:rsidRPr="001F2F13" w:rsidRDefault="00321634" w:rsidP="009953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15" w:type="dxa"/>
          </w:tcPr>
          <w:p w14:paraId="5D20F254" w14:textId="61F67839" w:rsidR="00321634" w:rsidRPr="001F2F13" w:rsidRDefault="00321634" w:rsidP="00995306">
            <w:pPr>
              <w:jc w:val="left"/>
              <w:rPr>
                <w:sz w:val="20"/>
              </w:rPr>
            </w:pPr>
            <w:r w:rsidRPr="00185823">
              <w:rPr>
                <w:b/>
                <w:sz w:val="20"/>
              </w:rPr>
              <w:t>Manual de Valoración y Selección Documental</w:t>
            </w:r>
          </w:p>
        </w:tc>
        <w:tc>
          <w:tcPr>
            <w:tcW w:w="3261" w:type="dxa"/>
          </w:tcPr>
          <w:p w14:paraId="53FD7B9F" w14:textId="33DBE15D" w:rsidR="00321634" w:rsidRPr="001F2F13" w:rsidRDefault="00321634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63648">
              <w:rPr>
                <w:sz w:val="20"/>
              </w:rPr>
              <w:t>stablece las funciones y los procedimientos requeridos para realizar el proceso de valoración y selección documental a cargo del Comité Institucional de Selección y Eliminación de Documentos (CISED)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br/>
            </w:r>
            <w:r w:rsidRPr="00C430AD">
              <w:rPr>
                <w:i/>
                <w:sz w:val="20"/>
              </w:rPr>
              <w:t>(</w:t>
            </w:r>
            <w:r w:rsidR="00444DDC">
              <w:rPr>
                <w:i/>
                <w:sz w:val="20"/>
              </w:rPr>
              <w:t>m</w:t>
            </w:r>
            <w:r w:rsidR="00DD794E">
              <w:rPr>
                <w:i/>
                <w:sz w:val="20"/>
              </w:rPr>
              <w:t>odificado en noviembre 2021</w:t>
            </w:r>
            <w:r w:rsidRPr="00C430AD">
              <w:rPr>
                <w:i/>
                <w:sz w:val="20"/>
              </w:rPr>
              <w:t>)</w:t>
            </w:r>
          </w:p>
        </w:tc>
        <w:tc>
          <w:tcPr>
            <w:tcW w:w="1417" w:type="dxa"/>
          </w:tcPr>
          <w:p w14:paraId="7D5BD1D0" w14:textId="36354C87" w:rsidR="00321634" w:rsidRDefault="007E5142" w:rsidP="00995306">
            <w:pPr>
              <w:jc w:val="left"/>
              <w:rPr>
                <w:sz w:val="18"/>
                <w:szCs w:val="24"/>
              </w:rPr>
            </w:pPr>
            <w:r w:rsidRPr="00DD794E">
              <w:rPr>
                <w:sz w:val="18"/>
                <w:szCs w:val="24"/>
              </w:rPr>
              <w:t>Revisado por</w:t>
            </w:r>
            <w:r w:rsidR="006C2D23">
              <w:rPr>
                <w:sz w:val="18"/>
                <w:szCs w:val="24"/>
              </w:rPr>
              <w:t>:</w:t>
            </w:r>
            <w:r w:rsidRPr="00DD794E">
              <w:rPr>
                <w:sz w:val="18"/>
                <w:szCs w:val="24"/>
              </w:rPr>
              <w:t xml:space="preserve"> </w:t>
            </w:r>
            <w:r w:rsidR="00027ED9" w:rsidRPr="00DD794E">
              <w:rPr>
                <w:sz w:val="18"/>
                <w:szCs w:val="24"/>
              </w:rPr>
              <w:t>miembros del CISED</w:t>
            </w:r>
            <w:r w:rsidR="00DD794E" w:rsidRPr="00DD794E">
              <w:rPr>
                <w:sz w:val="18"/>
                <w:szCs w:val="24"/>
              </w:rPr>
              <w:t>, abril 2021</w:t>
            </w:r>
            <w:r w:rsidR="006C2D23">
              <w:rPr>
                <w:sz w:val="18"/>
                <w:szCs w:val="24"/>
              </w:rPr>
              <w:t>.</w:t>
            </w:r>
          </w:p>
          <w:p w14:paraId="3E7C6D4F" w14:textId="4E879269" w:rsidR="006C2D23" w:rsidRPr="00DD794E" w:rsidRDefault="006C2D23" w:rsidP="0099530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IAIP (asesoría técnica), noviembre 2021.</w:t>
            </w:r>
          </w:p>
        </w:tc>
        <w:tc>
          <w:tcPr>
            <w:tcW w:w="2283" w:type="dxa"/>
          </w:tcPr>
          <w:p w14:paraId="467A54C7" w14:textId="2A709070" w:rsidR="00321634" w:rsidRPr="001F2F13" w:rsidRDefault="00321634" w:rsidP="00995306">
            <w:pPr>
              <w:jc w:val="left"/>
              <w:rPr>
                <w:sz w:val="20"/>
              </w:rPr>
            </w:pPr>
            <w:r w:rsidRPr="001F2F13">
              <w:rPr>
                <w:sz w:val="20"/>
              </w:rPr>
              <w:t xml:space="preserve">Falta revisión y aprobación </w:t>
            </w:r>
            <w:r w:rsidR="007E5142">
              <w:rPr>
                <w:sz w:val="20"/>
              </w:rPr>
              <w:t xml:space="preserve">de </w:t>
            </w:r>
            <w:proofErr w:type="gramStart"/>
            <w:r w:rsidRPr="001F2F13">
              <w:rPr>
                <w:sz w:val="20"/>
              </w:rPr>
              <w:t>Director</w:t>
            </w:r>
            <w:r w:rsidR="007E5142">
              <w:rPr>
                <w:sz w:val="20"/>
              </w:rPr>
              <w:t xml:space="preserve"> Ejecutivo</w:t>
            </w:r>
            <w:proofErr w:type="gramEnd"/>
          </w:p>
        </w:tc>
      </w:tr>
      <w:tr w:rsidR="00321634" w:rsidRPr="001F2F13" w14:paraId="40B5FC5F" w14:textId="77777777" w:rsidTr="001409CF">
        <w:trPr>
          <w:cantSplit/>
        </w:trPr>
        <w:tc>
          <w:tcPr>
            <w:tcW w:w="453" w:type="dxa"/>
          </w:tcPr>
          <w:p w14:paraId="215B37D4" w14:textId="5FA16B6A" w:rsidR="00321634" w:rsidRPr="001F2F13" w:rsidRDefault="006C2D23" w:rsidP="0099530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815" w:type="dxa"/>
          </w:tcPr>
          <w:p w14:paraId="437979B6" w14:textId="53799DB2" w:rsidR="00321634" w:rsidRPr="001F2F13" w:rsidRDefault="00321634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Procedimiento de la UGDA: </w:t>
            </w:r>
            <w:r w:rsidR="00C13F19">
              <w:rPr>
                <w:b/>
                <w:sz w:val="20"/>
              </w:rPr>
              <w:t>Identificación y Clasificación Documental</w:t>
            </w:r>
          </w:p>
        </w:tc>
        <w:tc>
          <w:tcPr>
            <w:tcW w:w="3261" w:type="dxa"/>
          </w:tcPr>
          <w:p w14:paraId="5C4A95BA" w14:textId="59226471" w:rsidR="00321634" w:rsidRPr="001F2F13" w:rsidRDefault="00C13F19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Establece los pasos a seguir para </w:t>
            </w:r>
            <w:r w:rsidRPr="00C13F19">
              <w:rPr>
                <w:sz w:val="20"/>
              </w:rPr>
              <w:t xml:space="preserve">realizar un estudio </w:t>
            </w:r>
            <w:r>
              <w:rPr>
                <w:sz w:val="20"/>
              </w:rPr>
              <w:t xml:space="preserve">sobre el </w:t>
            </w:r>
            <w:r w:rsidRPr="00C13F19">
              <w:rPr>
                <w:sz w:val="20"/>
              </w:rPr>
              <w:t>contexto de producción de los documentos</w:t>
            </w:r>
            <w:r>
              <w:rPr>
                <w:sz w:val="20"/>
              </w:rPr>
              <w:t xml:space="preserve"> </w:t>
            </w:r>
            <w:r w:rsidR="008B221C">
              <w:rPr>
                <w:sz w:val="20"/>
              </w:rPr>
              <w:t>con el fin de</w:t>
            </w:r>
            <w:r>
              <w:rPr>
                <w:sz w:val="20"/>
              </w:rPr>
              <w:t xml:space="preserve"> crear una clasificación </w:t>
            </w:r>
            <w:r w:rsidR="00444DDC">
              <w:rPr>
                <w:sz w:val="20"/>
              </w:rPr>
              <w:t xml:space="preserve">documental </w:t>
            </w:r>
            <w:r>
              <w:rPr>
                <w:sz w:val="20"/>
              </w:rPr>
              <w:t>basada en funciones.</w:t>
            </w:r>
            <w:r w:rsidRPr="00C13F19">
              <w:rPr>
                <w:sz w:val="20"/>
              </w:rPr>
              <w:t xml:space="preserve"> </w:t>
            </w:r>
            <w:r w:rsidR="00321634" w:rsidRPr="00C430AD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elaborado en</w:t>
            </w:r>
            <w:r w:rsidR="00321634" w:rsidRPr="00C430A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marzo</w:t>
            </w:r>
            <w:r w:rsidR="00321634" w:rsidRPr="00C430AD">
              <w:rPr>
                <w:i/>
                <w:sz w:val="20"/>
              </w:rPr>
              <w:t xml:space="preserve"> 202</w:t>
            </w:r>
            <w:r>
              <w:rPr>
                <w:i/>
                <w:sz w:val="20"/>
              </w:rPr>
              <w:t>1</w:t>
            </w:r>
            <w:r w:rsidR="00321634" w:rsidRPr="00C430AD">
              <w:rPr>
                <w:i/>
                <w:sz w:val="20"/>
              </w:rPr>
              <w:t>)</w:t>
            </w:r>
          </w:p>
        </w:tc>
        <w:tc>
          <w:tcPr>
            <w:tcW w:w="1417" w:type="dxa"/>
          </w:tcPr>
          <w:p w14:paraId="345EEDE4" w14:textId="77777777" w:rsidR="00321634" w:rsidRPr="00DD794E" w:rsidRDefault="00321634" w:rsidP="00995306">
            <w:pPr>
              <w:jc w:val="left"/>
              <w:rPr>
                <w:sz w:val="18"/>
                <w:szCs w:val="24"/>
              </w:rPr>
            </w:pPr>
            <w:r w:rsidRPr="00DD794E">
              <w:rPr>
                <w:sz w:val="18"/>
                <w:szCs w:val="24"/>
              </w:rPr>
              <w:t>Sin revisiones</w:t>
            </w:r>
          </w:p>
        </w:tc>
        <w:tc>
          <w:tcPr>
            <w:tcW w:w="2283" w:type="dxa"/>
            <w:vMerge w:val="restart"/>
          </w:tcPr>
          <w:p w14:paraId="38D91E31" w14:textId="77777777" w:rsidR="00321634" w:rsidRPr="00484B13" w:rsidRDefault="00321634" w:rsidP="00995306">
            <w:pPr>
              <w:jc w:val="left"/>
              <w:rPr>
                <w:b/>
                <w:sz w:val="20"/>
              </w:rPr>
            </w:pPr>
            <w:r w:rsidRPr="00484B13">
              <w:rPr>
                <w:b/>
                <w:sz w:val="20"/>
              </w:rPr>
              <w:t xml:space="preserve">Procedimientos de la UGDA: </w:t>
            </w:r>
          </w:p>
          <w:p w14:paraId="7C6819E2" w14:textId="44C789A4" w:rsidR="00321634" w:rsidRPr="001F2F13" w:rsidRDefault="00321634" w:rsidP="00995306">
            <w:pPr>
              <w:jc w:val="left"/>
              <w:rPr>
                <w:sz w:val="20"/>
              </w:rPr>
            </w:pPr>
            <w:r w:rsidRPr="001F2F13">
              <w:rPr>
                <w:sz w:val="20"/>
              </w:rPr>
              <w:t xml:space="preserve">Falta revisión y aprobación </w:t>
            </w:r>
            <w:r>
              <w:rPr>
                <w:sz w:val="20"/>
              </w:rPr>
              <w:t>d</w:t>
            </w:r>
            <w:r w:rsidRPr="001F2F13">
              <w:rPr>
                <w:sz w:val="20"/>
              </w:rPr>
              <w:t xml:space="preserve">el Gerente Administrativo Financiero y </w:t>
            </w:r>
            <w:proofErr w:type="gramStart"/>
            <w:r w:rsidRPr="001F2F13">
              <w:rPr>
                <w:sz w:val="20"/>
              </w:rPr>
              <w:t>Director</w:t>
            </w:r>
            <w:r>
              <w:rPr>
                <w:sz w:val="20"/>
              </w:rPr>
              <w:t xml:space="preserve"> </w:t>
            </w:r>
            <w:r w:rsidR="001409CF">
              <w:rPr>
                <w:sz w:val="20"/>
              </w:rPr>
              <w:t>Ejecutivo</w:t>
            </w:r>
            <w:proofErr w:type="gramEnd"/>
            <w:r w:rsidR="001409CF">
              <w:rPr>
                <w:sz w:val="20"/>
              </w:rPr>
              <w:t xml:space="preserve"> </w:t>
            </w:r>
            <w:r>
              <w:rPr>
                <w:sz w:val="20"/>
              </w:rPr>
              <w:t>para ser incluidos en el Manual de Procedimientos del ILP</w:t>
            </w:r>
          </w:p>
        </w:tc>
      </w:tr>
      <w:tr w:rsidR="00321634" w:rsidRPr="001F2F13" w14:paraId="7082D7AB" w14:textId="77777777" w:rsidTr="001409CF">
        <w:trPr>
          <w:cantSplit/>
        </w:trPr>
        <w:tc>
          <w:tcPr>
            <w:tcW w:w="453" w:type="dxa"/>
          </w:tcPr>
          <w:p w14:paraId="209F995D" w14:textId="73F01F6E" w:rsidR="00321634" w:rsidRDefault="006C2D23" w:rsidP="009953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15" w:type="dxa"/>
          </w:tcPr>
          <w:p w14:paraId="6F82B798" w14:textId="77777777" w:rsidR="00321634" w:rsidRDefault="00321634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Procedimiento de la UGDA: </w:t>
            </w:r>
          </w:p>
          <w:p w14:paraId="25CB37E3" w14:textId="1171B7DD" w:rsidR="00C13F19" w:rsidRPr="00C13F19" w:rsidRDefault="00C13F19" w:rsidP="00995306">
            <w:pPr>
              <w:jc w:val="left"/>
              <w:rPr>
                <w:b/>
                <w:bCs/>
                <w:sz w:val="20"/>
              </w:rPr>
            </w:pPr>
            <w:r w:rsidRPr="00C13F19">
              <w:rPr>
                <w:b/>
                <w:bCs/>
                <w:sz w:val="20"/>
              </w:rPr>
              <w:t>Elaboración de inventarios documentales en el Archivo Central</w:t>
            </w:r>
          </w:p>
        </w:tc>
        <w:tc>
          <w:tcPr>
            <w:tcW w:w="3261" w:type="dxa"/>
          </w:tcPr>
          <w:p w14:paraId="0D1B983A" w14:textId="77777777" w:rsidR="00444DDC" w:rsidRDefault="00444DDC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>Describe cómo e</w:t>
            </w:r>
            <w:r w:rsidRPr="00444DDC">
              <w:rPr>
                <w:sz w:val="20"/>
              </w:rPr>
              <w:t>laborar inventarios de los documentos conservados en el Archivo Central</w:t>
            </w:r>
            <w:r>
              <w:rPr>
                <w:sz w:val="20"/>
              </w:rPr>
              <w:t>.</w:t>
            </w:r>
          </w:p>
          <w:p w14:paraId="2C8A1F07" w14:textId="67DC2456" w:rsidR="00321634" w:rsidRPr="001F2F13" w:rsidRDefault="005F143F" w:rsidP="00995306">
            <w:pPr>
              <w:jc w:val="left"/>
              <w:rPr>
                <w:sz w:val="20"/>
              </w:rPr>
            </w:pPr>
            <w:r w:rsidRPr="00C430AD">
              <w:rPr>
                <w:i/>
                <w:sz w:val="20"/>
              </w:rPr>
              <w:t>(</w:t>
            </w:r>
            <w:r w:rsidR="00444DDC">
              <w:rPr>
                <w:i/>
                <w:sz w:val="20"/>
              </w:rPr>
              <w:t>finalizado</w:t>
            </w:r>
            <w:r>
              <w:rPr>
                <w:i/>
                <w:sz w:val="20"/>
              </w:rPr>
              <w:t xml:space="preserve"> en</w:t>
            </w:r>
            <w:r w:rsidRPr="00C430AD">
              <w:rPr>
                <w:i/>
                <w:sz w:val="20"/>
              </w:rPr>
              <w:t xml:space="preserve"> </w:t>
            </w:r>
            <w:r w:rsidR="00444DDC">
              <w:rPr>
                <w:i/>
                <w:sz w:val="20"/>
              </w:rPr>
              <w:t>octubre</w:t>
            </w:r>
            <w:r w:rsidRPr="00C430AD">
              <w:rPr>
                <w:i/>
                <w:sz w:val="20"/>
              </w:rPr>
              <w:t xml:space="preserve"> 202</w:t>
            </w:r>
            <w:r>
              <w:rPr>
                <w:i/>
                <w:sz w:val="20"/>
              </w:rPr>
              <w:t>1</w:t>
            </w:r>
            <w:r w:rsidRPr="00C430AD">
              <w:rPr>
                <w:i/>
                <w:sz w:val="20"/>
              </w:rPr>
              <w:t>)</w:t>
            </w:r>
          </w:p>
        </w:tc>
        <w:tc>
          <w:tcPr>
            <w:tcW w:w="1417" w:type="dxa"/>
          </w:tcPr>
          <w:p w14:paraId="49D51BE5" w14:textId="77777777" w:rsidR="00321634" w:rsidRPr="00DD794E" w:rsidRDefault="00321634" w:rsidP="00995306">
            <w:pPr>
              <w:jc w:val="left"/>
              <w:rPr>
                <w:sz w:val="18"/>
                <w:szCs w:val="24"/>
              </w:rPr>
            </w:pPr>
            <w:r w:rsidRPr="00DD794E">
              <w:rPr>
                <w:sz w:val="18"/>
                <w:szCs w:val="24"/>
              </w:rPr>
              <w:t>Sin revisiones</w:t>
            </w:r>
          </w:p>
        </w:tc>
        <w:tc>
          <w:tcPr>
            <w:tcW w:w="2283" w:type="dxa"/>
            <w:vMerge/>
          </w:tcPr>
          <w:p w14:paraId="0F9C0BF1" w14:textId="77777777" w:rsidR="00321634" w:rsidRPr="001F2F13" w:rsidRDefault="00321634" w:rsidP="00995306">
            <w:pPr>
              <w:jc w:val="left"/>
              <w:rPr>
                <w:sz w:val="20"/>
              </w:rPr>
            </w:pPr>
          </w:p>
        </w:tc>
      </w:tr>
      <w:tr w:rsidR="00321634" w:rsidRPr="001F2F13" w14:paraId="7D9C4D22" w14:textId="77777777" w:rsidTr="001409CF">
        <w:trPr>
          <w:cantSplit/>
        </w:trPr>
        <w:tc>
          <w:tcPr>
            <w:tcW w:w="453" w:type="dxa"/>
          </w:tcPr>
          <w:p w14:paraId="6698A106" w14:textId="256574DB" w:rsidR="00321634" w:rsidRDefault="006C2D23" w:rsidP="009953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5" w:type="dxa"/>
          </w:tcPr>
          <w:p w14:paraId="48FDB1DB" w14:textId="77777777" w:rsidR="00321634" w:rsidRDefault="00321634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Procedimiento de la UGDA: </w:t>
            </w:r>
          </w:p>
          <w:p w14:paraId="08663E39" w14:textId="63D2E58F" w:rsidR="00D24805" w:rsidRPr="00D24805" w:rsidRDefault="00F11164" w:rsidP="00995306">
            <w:pPr>
              <w:jc w:val="left"/>
              <w:rPr>
                <w:b/>
                <w:bCs/>
                <w:sz w:val="20"/>
              </w:rPr>
            </w:pPr>
            <w:r w:rsidRPr="00F11164">
              <w:rPr>
                <w:b/>
                <w:bCs/>
                <w:sz w:val="20"/>
              </w:rPr>
              <w:t xml:space="preserve">Recepción </w:t>
            </w:r>
            <w:r>
              <w:rPr>
                <w:b/>
                <w:bCs/>
                <w:sz w:val="20"/>
              </w:rPr>
              <w:t>d</w:t>
            </w:r>
            <w:r w:rsidRPr="00F11164">
              <w:rPr>
                <w:b/>
                <w:bCs/>
                <w:sz w:val="20"/>
              </w:rPr>
              <w:t xml:space="preserve">e </w:t>
            </w:r>
            <w:r w:rsidR="000E70C5">
              <w:rPr>
                <w:b/>
                <w:bCs/>
                <w:sz w:val="20"/>
              </w:rPr>
              <w:t>d</w:t>
            </w:r>
            <w:r w:rsidRPr="00F11164">
              <w:rPr>
                <w:b/>
                <w:bCs/>
                <w:sz w:val="20"/>
              </w:rPr>
              <w:t xml:space="preserve">ocumentos </w:t>
            </w:r>
            <w:r>
              <w:rPr>
                <w:b/>
                <w:bCs/>
                <w:sz w:val="20"/>
              </w:rPr>
              <w:t>p</w:t>
            </w:r>
            <w:r w:rsidRPr="00F11164">
              <w:rPr>
                <w:b/>
                <w:bCs/>
                <w:sz w:val="20"/>
              </w:rPr>
              <w:t xml:space="preserve">ara </w:t>
            </w:r>
            <w:r>
              <w:rPr>
                <w:b/>
                <w:bCs/>
                <w:sz w:val="20"/>
              </w:rPr>
              <w:t>l</w:t>
            </w:r>
            <w:r w:rsidRPr="00F11164">
              <w:rPr>
                <w:b/>
                <w:bCs/>
                <w:sz w:val="20"/>
              </w:rPr>
              <w:t xml:space="preserve">a </w:t>
            </w:r>
            <w:r>
              <w:rPr>
                <w:b/>
                <w:bCs/>
                <w:sz w:val="20"/>
              </w:rPr>
              <w:t>c</w:t>
            </w:r>
            <w:r w:rsidRPr="00F11164">
              <w:rPr>
                <w:b/>
                <w:bCs/>
                <w:sz w:val="20"/>
              </w:rPr>
              <w:t xml:space="preserve">onformación </w:t>
            </w:r>
            <w:r>
              <w:rPr>
                <w:b/>
                <w:bCs/>
                <w:sz w:val="20"/>
              </w:rPr>
              <w:t>d</w:t>
            </w:r>
            <w:r w:rsidRPr="00F11164">
              <w:rPr>
                <w:b/>
                <w:bCs/>
                <w:sz w:val="20"/>
              </w:rPr>
              <w:t xml:space="preserve">el Expediente </w:t>
            </w:r>
            <w:r>
              <w:rPr>
                <w:b/>
                <w:bCs/>
                <w:sz w:val="20"/>
              </w:rPr>
              <w:t>d</w:t>
            </w:r>
            <w:r w:rsidRPr="00F11164">
              <w:rPr>
                <w:b/>
                <w:bCs/>
                <w:sz w:val="20"/>
              </w:rPr>
              <w:t>e Legalización</w:t>
            </w:r>
          </w:p>
        </w:tc>
        <w:tc>
          <w:tcPr>
            <w:tcW w:w="3261" w:type="dxa"/>
          </w:tcPr>
          <w:p w14:paraId="556DB86B" w14:textId="6B255931" w:rsidR="00321634" w:rsidRDefault="00F11164" w:rsidP="0099530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 w:rsidRPr="00F11164">
              <w:rPr>
                <w:sz w:val="20"/>
              </w:rPr>
              <w:t>stablece las actividades requeridas para la admisión, verificación y control de los documentos oficiales remitidos por las unidades operativas del ILP para conformar el expediente de legalización</w:t>
            </w:r>
            <w:r>
              <w:rPr>
                <w:sz w:val="20"/>
              </w:rPr>
              <w:t>.</w:t>
            </w:r>
          </w:p>
          <w:p w14:paraId="6D48C50C" w14:textId="3AE157FC" w:rsidR="00321634" w:rsidRPr="001F2F13" w:rsidRDefault="00321634" w:rsidP="00995306">
            <w:pPr>
              <w:jc w:val="left"/>
              <w:rPr>
                <w:sz w:val="20"/>
              </w:rPr>
            </w:pPr>
            <w:r w:rsidRPr="00C430AD">
              <w:rPr>
                <w:i/>
                <w:sz w:val="20"/>
              </w:rPr>
              <w:t>(</w:t>
            </w:r>
            <w:r w:rsidR="00D24805">
              <w:rPr>
                <w:i/>
                <w:sz w:val="20"/>
              </w:rPr>
              <w:t xml:space="preserve">elaborado en </w:t>
            </w:r>
            <w:r w:rsidR="00F11164">
              <w:rPr>
                <w:i/>
                <w:sz w:val="20"/>
              </w:rPr>
              <w:t>marzo</w:t>
            </w:r>
            <w:r w:rsidR="00D24805">
              <w:rPr>
                <w:i/>
                <w:sz w:val="20"/>
              </w:rPr>
              <w:t xml:space="preserve"> 2021</w:t>
            </w:r>
            <w:r w:rsidRPr="00C430AD">
              <w:rPr>
                <w:i/>
                <w:sz w:val="20"/>
              </w:rPr>
              <w:t>)</w:t>
            </w:r>
          </w:p>
        </w:tc>
        <w:tc>
          <w:tcPr>
            <w:tcW w:w="1417" w:type="dxa"/>
          </w:tcPr>
          <w:p w14:paraId="1BBC57F2" w14:textId="77777777" w:rsidR="00321634" w:rsidRPr="00DD794E" w:rsidRDefault="00321634" w:rsidP="00995306">
            <w:pPr>
              <w:jc w:val="left"/>
              <w:rPr>
                <w:sz w:val="18"/>
                <w:szCs w:val="24"/>
              </w:rPr>
            </w:pPr>
            <w:r w:rsidRPr="00DD794E">
              <w:rPr>
                <w:sz w:val="18"/>
                <w:szCs w:val="24"/>
              </w:rPr>
              <w:t>Sin revisiones</w:t>
            </w:r>
          </w:p>
        </w:tc>
        <w:tc>
          <w:tcPr>
            <w:tcW w:w="2283" w:type="dxa"/>
            <w:vMerge/>
          </w:tcPr>
          <w:p w14:paraId="238698B0" w14:textId="77777777" w:rsidR="00321634" w:rsidRPr="001F2F13" w:rsidRDefault="00321634" w:rsidP="00995306">
            <w:pPr>
              <w:jc w:val="left"/>
              <w:rPr>
                <w:sz w:val="20"/>
              </w:rPr>
            </w:pPr>
          </w:p>
        </w:tc>
      </w:tr>
    </w:tbl>
    <w:p w14:paraId="4B8C24E8" w14:textId="77777777" w:rsidR="004F3A88" w:rsidRDefault="004F3A88" w:rsidP="00015B23"/>
    <w:p w14:paraId="7302C920" w14:textId="118A83FD" w:rsidR="00194A6F" w:rsidRDefault="002F0387" w:rsidP="00194A6F">
      <w:pPr>
        <w:pStyle w:val="Ttulo1"/>
      </w:pPr>
      <w:bookmarkStart w:id="3" w:name="_Toc92105758"/>
      <w:r>
        <w:t>2</w:t>
      </w:r>
      <w:r w:rsidR="00194A6F">
        <w:t xml:space="preserve">. </w:t>
      </w:r>
      <w:r w:rsidRPr="002F0387">
        <w:t>Procesos de gestión documental</w:t>
      </w:r>
      <w:bookmarkEnd w:id="3"/>
    </w:p>
    <w:p w14:paraId="0053F798" w14:textId="4E58472C" w:rsidR="00846912" w:rsidRPr="00433A44" w:rsidRDefault="009E608C" w:rsidP="00390D56">
      <w:pPr>
        <w:spacing w:before="120"/>
        <w:rPr>
          <w:b/>
          <w:bCs/>
        </w:rPr>
      </w:pPr>
      <w:r w:rsidRPr="001D3095">
        <w:rPr>
          <w:b/>
          <w:bCs/>
        </w:rPr>
        <w:t>Clasificación documental</w:t>
      </w:r>
    </w:p>
    <w:p w14:paraId="0D6880AB" w14:textId="3B515285" w:rsidR="001D3095" w:rsidRDefault="001D3095" w:rsidP="001D3095">
      <w:r>
        <w:t xml:space="preserve">La Dirección Ejecutiva aprobó </w:t>
      </w:r>
      <w:r w:rsidR="006E45DA">
        <w:t xml:space="preserve">en el memorando del 12/08/2021 </w:t>
      </w:r>
      <w:r>
        <w:t xml:space="preserve">el primer Cuadro de Clasificación Documental del ILP, </w:t>
      </w:r>
      <w:r w:rsidR="006E45DA">
        <w:t xml:space="preserve">elaborado por el Oficial GDA, </w:t>
      </w:r>
      <w:r>
        <w:t xml:space="preserve">el cual contiene el listado de series documentales </w:t>
      </w:r>
      <w:r w:rsidR="009C5A30">
        <w:t>que producen las unidades administrativas</w:t>
      </w:r>
      <w:r w:rsidR="006E45DA">
        <w:t xml:space="preserve"> distribuidas</w:t>
      </w:r>
      <w:r>
        <w:t xml:space="preserve"> en cuatro secciones: Consejo Directivo (Gobierno), Administración, Finanzas y Legalización de la Propiedad (Servicios).</w:t>
      </w:r>
    </w:p>
    <w:p w14:paraId="0D225136" w14:textId="6EAB2C8B" w:rsidR="00433A44" w:rsidRDefault="006E45DA" w:rsidP="00433A44">
      <w:r>
        <w:t>E</w:t>
      </w:r>
      <w:r w:rsidR="00433A44">
        <w:t xml:space="preserve">l </w:t>
      </w:r>
      <w:r>
        <w:t xml:space="preserve">cuadro de clasificación </w:t>
      </w:r>
      <w:r w:rsidR="00C92272">
        <w:t>es un instrumento</w:t>
      </w:r>
      <w:r w:rsidR="00433A44">
        <w:t xml:space="preserve"> </w:t>
      </w:r>
      <w:r w:rsidR="00F55265">
        <w:t xml:space="preserve">archivístico </w:t>
      </w:r>
      <w:r w:rsidR="00903707">
        <w:t>de</w:t>
      </w:r>
      <w:r w:rsidR="004965F9">
        <w:t xml:space="preserve"> </w:t>
      </w:r>
      <w:r w:rsidR="00433A44">
        <w:t xml:space="preserve">consulta y orientación </w:t>
      </w:r>
      <w:r w:rsidR="00DF14AE">
        <w:t xml:space="preserve">para que </w:t>
      </w:r>
      <w:r w:rsidR="00433A44">
        <w:t>las unidades administrativas organicen y aseguren la localización oportuna de sus documentos.</w:t>
      </w:r>
    </w:p>
    <w:p w14:paraId="4C76AD40" w14:textId="2826110E" w:rsidR="009E608C" w:rsidRPr="00433A44" w:rsidRDefault="009E608C" w:rsidP="00390D56">
      <w:pPr>
        <w:spacing w:before="120"/>
        <w:rPr>
          <w:b/>
          <w:bCs/>
        </w:rPr>
      </w:pPr>
      <w:r w:rsidRPr="00433A44">
        <w:rPr>
          <w:b/>
          <w:bCs/>
        </w:rPr>
        <w:t>Valoración y selección documental</w:t>
      </w:r>
    </w:p>
    <w:p w14:paraId="0743E22C" w14:textId="75E5DD86" w:rsidR="00DD737E" w:rsidRDefault="00773919" w:rsidP="00DD737E">
      <w:pPr>
        <w:spacing w:before="120"/>
      </w:pPr>
      <w:r w:rsidRPr="00773919">
        <w:t xml:space="preserve">La Dirección Ejecutiva aprobó la creación </w:t>
      </w:r>
      <w:r>
        <w:t>del</w:t>
      </w:r>
      <w:r w:rsidRPr="00773919">
        <w:t xml:space="preserve"> Comité Institucional de Selección y Eliminación de Documentos (CISED), mediante el acuerdo </w:t>
      </w:r>
      <w:proofErr w:type="spellStart"/>
      <w:r w:rsidRPr="00773919">
        <w:t>N°</w:t>
      </w:r>
      <w:proofErr w:type="spellEnd"/>
      <w:r w:rsidRPr="00773919">
        <w:t xml:space="preserve"> 25 de fecha 07/04/2021, conformado por:</w:t>
      </w:r>
    </w:p>
    <w:tbl>
      <w:tblPr>
        <w:tblStyle w:val="Tabladecuadrcula4-nfasis11"/>
        <w:tblW w:w="4448" w:type="pct"/>
        <w:jc w:val="center"/>
        <w:tblLook w:val="0420" w:firstRow="1" w:lastRow="0" w:firstColumn="0" w:lastColumn="0" w:noHBand="0" w:noVBand="1"/>
      </w:tblPr>
      <w:tblGrid>
        <w:gridCol w:w="3279"/>
        <w:gridCol w:w="5027"/>
      </w:tblGrid>
      <w:tr w:rsidR="00773919" w:rsidRPr="006A5875" w14:paraId="793882AB" w14:textId="77777777" w:rsidTr="00773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974" w:type="pct"/>
            <w:hideMark/>
          </w:tcPr>
          <w:p w14:paraId="598F220C" w14:textId="77777777" w:rsidR="00773919" w:rsidRPr="006A5875" w:rsidRDefault="00773919" w:rsidP="00016224">
            <w:pPr>
              <w:jc w:val="center"/>
              <w:rPr>
                <w:rFonts w:asciiTheme="majorHAnsi" w:hAnsiTheme="majorHAnsi" w:cstheme="majorHAnsi"/>
                <w:caps/>
                <w:lang w:val="es-ES"/>
              </w:rPr>
            </w:pPr>
            <w:r w:rsidRPr="006A5875">
              <w:rPr>
                <w:rFonts w:asciiTheme="majorHAnsi" w:hAnsiTheme="majorHAnsi" w:cstheme="majorHAnsi"/>
                <w:bCs w:val="0"/>
                <w:caps/>
                <w:lang w:val="es-ES"/>
              </w:rPr>
              <w:t>NOMBRE</w:t>
            </w:r>
          </w:p>
        </w:tc>
        <w:tc>
          <w:tcPr>
            <w:tcW w:w="3026" w:type="pct"/>
            <w:hideMark/>
          </w:tcPr>
          <w:p w14:paraId="631A0B83" w14:textId="06762FD0" w:rsidR="00773919" w:rsidRPr="006A5875" w:rsidRDefault="00B9620C" w:rsidP="00016224">
            <w:pPr>
              <w:jc w:val="center"/>
              <w:rPr>
                <w:rFonts w:asciiTheme="majorHAnsi" w:hAnsiTheme="majorHAnsi" w:cstheme="majorHAnsi"/>
                <w:bCs w:val="0"/>
                <w:caps/>
                <w:lang w:val="es-ES"/>
              </w:rPr>
            </w:pPr>
            <w:r>
              <w:rPr>
                <w:rFonts w:asciiTheme="majorHAnsi" w:hAnsiTheme="majorHAnsi" w:cstheme="majorHAnsi"/>
                <w:bCs w:val="0"/>
                <w:caps/>
                <w:lang w:val="es-ES"/>
              </w:rPr>
              <w:t>PUESTO</w:t>
            </w:r>
          </w:p>
        </w:tc>
      </w:tr>
      <w:tr w:rsidR="00773919" w:rsidRPr="006A5875" w14:paraId="0BE0EDFB" w14:textId="77777777" w:rsidTr="0077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74" w:type="pct"/>
            <w:hideMark/>
          </w:tcPr>
          <w:p w14:paraId="7E8F0F17" w14:textId="496FD6D5" w:rsidR="00773919" w:rsidRPr="006A5875" w:rsidRDefault="00773919" w:rsidP="0001622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Lic. </w:t>
            </w:r>
            <w:r w:rsidRPr="006A5875">
              <w:rPr>
                <w:rFonts w:asciiTheme="majorHAnsi" w:hAnsiTheme="majorHAnsi" w:cstheme="majorHAnsi"/>
                <w:lang w:val="es-ES"/>
              </w:rPr>
              <w:t xml:space="preserve">Victoria Eugenia Ramos </w:t>
            </w:r>
            <w:r>
              <w:rPr>
                <w:rFonts w:asciiTheme="majorHAnsi" w:hAnsiTheme="majorHAnsi" w:cstheme="majorHAnsi"/>
                <w:lang w:val="es-ES"/>
              </w:rPr>
              <w:t>d</w:t>
            </w:r>
            <w:r w:rsidRPr="006A5875">
              <w:rPr>
                <w:rFonts w:asciiTheme="majorHAnsi" w:hAnsiTheme="majorHAnsi" w:cstheme="majorHAnsi"/>
                <w:lang w:val="es-ES"/>
              </w:rPr>
              <w:t>e Cea</w:t>
            </w:r>
          </w:p>
        </w:tc>
        <w:tc>
          <w:tcPr>
            <w:tcW w:w="3026" w:type="pct"/>
            <w:hideMark/>
          </w:tcPr>
          <w:p w14:paraId="5142D48C" w14:textId="42390402" w:rsidR="00773919" w:rsidRPr="006A5875" w:rsidRDefault="00773919" w:rsidP="00016224">
            <w:pPr>
              <w:rPr>
                <w:rFonts w:asciiTheme="majorHAnsi" w:hAnsiTheme="majorHAnsi" w:cstheme="majorHAnsi"/>
                <w:lang w:val="es-ES"/>
              </w:rPr>
            </w:pPr>
            <w:r w:rsidRPr="006A5875">
              <w:rPr>
                <w:rFonts w:asciiTheme="majorHAnsi" w:hAnsiTheme="majorHAnsi" w:cstheme="majorHAnsi"/>
                <w:lang w:val="es-ES"/>
              </w:rPr>
              <w:t>Jef</w:t>
            </w:r>
            <w:r>
              <w:rPr>
                <w:rFonts w:asciiTheme="majorHAnsi" w:hAnsiTheme="majorHAnsi" w:cstheme="majorHAnsi"/>
                <w:lang w:val="es-ES"/>
              </w:rPr>
              <w:t>a d</w:t>
            </w:r>
            <w:r w:rsidRPr="006A5875">
              <w:rPr>
                <w:rFonts w:asciiTheme="majorHAnsi" w:hAnsiTheme="majorHAnsi" w:cstheme="majorHAnsi"/>
                <w:lang w:val="es-ES"/>
              </w:rPr>
              <w:t xml:space="preserve">e </w:t>
            </w:r>
            <w:r>
              <w:rPr>
                <w:rFonts w:asciiTheme="majorHAnsi" w:hAnsiTheme="majorHAnsi" w:cstheme="majorHAnsi"/>
                <w:lang w:val="es-ES"/>
              </w:rPr>
              <w:t>l</w:t>
            </w:r>
            <w:r w:rsidRPr="006A5875">
              <w:rPr>
                <w:rFonts w:asciiTheme="majorHAnsi" w:hAnsiTheme="majorHAnsi" w:cstheme="majorHAnsi"/>
                <w:lang w:val="es-ES"/>
              </w:rPr>
              <w:t>a Unidad Jurídica</w:t>
            </w:r>
          </w:p>
        </w:tc>
      </w:tr>
      <w:tr w:rsidR="00773919" w:rsidRPr="006A5875" w14:paraId="630F48AE" w14:textId="77777777" w:rsidTr="00773919">
        <w:trPr>
          <w:jc w:val="center"/>
        </w:trPr>
        <w:tc>
          <w:tcPr>
            <w:tcW w:w="1974" w:type="pct"/>
            <w:hideMark/>
          </w:tcPr>
          <w:p w14:paraId="4F1677F8" w14:textId="1788AF21" w:rsidR="00773919" w:rsidRPr="006A5875" w:rsidRDefault="00773919" w:rsidP="0001622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Lic. </w:t>
            </w:r>
            <w:r w:rsidRPr="006A5875">
              <w:rPr>
                <w:rFonts w:asciiTheme="majorHAnsi" w:hAnsiTheme="majorHAnsi" w:cstheme="majorHAnsi"/>
                <w:lang w:val="es-ES"/>
              </w:rPr>
              <w:t>Sergio Alberto Arévalo Juárez</w:t>
            </w:r>
          </w:p>
        </w:tc>
        <w:tc>
          <w:tcPr>
            <w:tcW w:w="3026" w:type="pct"/>
            <w:hideMark/>
          </w:tcPr>
          <w:p w14:paraId="2C05515E" w14:textId="5235230A" w:rsidR="00773919" w:rsidRPr="006A5875" w:rsidRDefault="00773919" w:rsidP="00016224">
            <w:pPr>
              <w:rPr>
                <w:rFonts w:asciiTheme="majorHAnsi" w:hAnsiTheme="majorHAnsi" w:cstheme="majorHAnsi"/>
                <w:lang w:val="es-ES"/>
              </w:rPr>
            </w:pPr>
            <w:r w:rsidRPr="006A5875">
              <w:rPr>
                <w:rFonts w:asciiTheme="majorHAnsi" w:hAnsiTheme="majorHAnsi" w:cstheme="majorHAnsi"/>
                <w:lang w:val="es-ES"/>
              </w:rPr>
              <w:t xml:space="preserve">Contador (Representante </w:t>
            </w:r>
            <w:r>
              <w:rPr>
                <w:rFonts w:asciiTheme="majorHAnsi" w:hAnsiTheme="majorHAnsi" w:cstheme="majorHAnsi"/>
                <w:lang w:val="es-ES"/>
              </w:rPr>
              <w:t>d</w:t>
            </w:r>
            <w:r w:rsidRPr="006A5875">
              <w:rPr>
                <w:rFonts w:asciiTheme="majorHAnsi" w:hAnsiTheme="majorHAnsi" w:cstheme="majorHAnsi"/>
                <w:lang w:val="es-ES"/>
              </w:rPr>
              <w:t xml:space="preserve">el </w:t>
            </w:r>
            <w:r w:rsidR="00F458CE">
              <w:rPr>
                <w:rFonts w:asciiTheme="majorHAnsi" w:hAnsiTheme="majorHAnsi" w:cstheme="majorHAnsi"/>
                <w:lang w:val="es-ES"/>
              </w:rPr>
              <w:t>á</w:t>
            </w:r>
            <w:r w:rsidRPr="006A5875">
              <w:rPr>
                <w:rFonts w:asciiTheme="majorHAnsi" w:hAnsiTheme="majorHAnsi" w:cstheme="majorHAnsi"/>
                <w:lang w:val="es-ES"/>
              </w:rPr>
              <w:t>rea Administrativa)</w:t>
            </w:r>
          </w:p>
        </w:tc>
      </w:tr>
      <w:tr w:rsidR="00773919" w:rsidRPr="006A5875" w14:paraId="48DDCD97" w14:textId="77777777" w:rsidTr="00773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74" w:type="pct"/>
            <w:hideMark/>
          </w:tcPr>
          <w:p w14:paraId="5C642AA1" w14:textId="1000FA2B" w:rsidR="00773919" w:rsidRPr="006A5875" w:rsidRDefault="00F458CE" w:rsidP="00016224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Lic. </w:t>
            </w:r>
            <w:r w:rsidRPr="006A5875">
              <w:rPr>
                <w:rFonts w:asciiTheme="majorHAnsi" w:hAnsiTheme="majorHAnsi" w:cstheme="majorHAnsi"/>
                <w:lang w:val="es-ES"/>
              </w:rPr>
              <w:t>Romualdo Cáceres Henríquez</w:t>
            </w:r>
          </w:p>
        </w:tc>
        <w:tc>
          <w:tcPr>
            <w:tcW w:w="3026" w:type="pct"/>
            <w:hideMark/>
          </w:tcPr>
          <w:p w14:paraId="09C44027" w14:textId="76091907" w:rsidR="00773919" w:rsidRPr="006A5875" w:rsidRDefault="00F458CE" w:rsidP="00016224">
            <w:pPr>
              <w:rPr>
                <w:rFonts w:asciiTheme="majorHAnsi" w:hAnsiTheme="majorHAnsi" w:cstheme="majorHAnsi"/>
                <w:lang w:val="es-ES"/>
              </w:rPr>
            </w:pPr>
            <w:r w:rsidRPr="006A5875">
              <w:rPr>
                <w:rFonts w:asciiTheme="majorHAnsi" w:hAnsiTheme="majorHAnsi" w:cstheme="majorHAnsi"/>
                <w:lang w:val="es-ES"/>
              </w:rPr>
              <w:t>Auditor Interno</w:t>
            </w:r>
          </w:p>
        </w:tc>
      </w:tr>
      <w:tr w:rsidR="00773919" w:rsidRPr="006A5875" w14:paraId="524BC5BB" w14:textId="77777777" w:rsidTr="00773919">
        <w:trPr>
          <w:jc w:val="center"/>
        </w:trPr>
        <w:tc>
          <w:tcPr>
            <w:tcW w:w="1974" w:type="pct"/>
          </w:tcPr>
          <w:p w14:paraId="0273C46A" w14:textId="7CB88409" w:rsidR="00773919" w:rsidRPr="006A5875" w:rsidRDefault="00F458CE" w:rsidP="00773919">
            <w:pPr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Ing. </w:t>
            </w:r>
            <w:r w:rsidRPr="006A5875">
              <w:rPr>
                <w:rFonts w:asciiTheme="majorHAnsi" w:hAnsiTheme="majorHAnsi" w:cstheme="majorHAnsi"/>
                <w:lang w:val="es-ES"/>
              </w:rPr>
              <w:t>Jorge Antonio Callejas Morán</w:t>
            </w:r>
          </w:p>
        </w:tc>
        <w:tc>
          <w:tcPr>
            <w:tcW w:w="3026" w:type="pct"/>
          </w:tcPr>
          <w:p w14:paraId="2E42C351" w14:textId="37F03AAA" w:rsidR="00773919" w:rsidRPr="006A5875" w:rsidRDefault="00F458CE" w:rsidP="00773919">
            <w:pPr>
              <w:rPr>
                <w:rFonts w:asciiTheme="majorHAnsi" w:hAnsiTheme="majorHAnsi" w:cstheme="majorHAnsi"/>
                <w:lang w:val="es-ES"/>
              </w:rPr>
            </w:pPr>
            <w:r w:rsidRPr="006A5875">
              <w:rPr>
                <w:rFonts w:asciiTheme="majorHAnsi" w:hAnsiTheme="majorHAnsi" w:cstheme="majorHAnsi"/>
                <w:lang w:val="es-ES"/>
              </w:rPr>
              <w:t xml:space="preserve">Oficial </w:t>
            </w:r>
            <w:r>
              <w:rPr>
                <w:rFonts w:asciiTheme="majorHAnsi" w:hAnsiTheme="majorHAnsi" w:cstheme="majorHAnsi"/>
                <w:lang w:val="es-ES"/>
              </w:rPr>
              <w:t>d</w:t>
            </w:r>
            <w:r w:rsidRPr="006A5875">
              <w:rPr>
                <w:rFonts w:asciiTheme="majorHAnsi" w:hAnsiTheme="majorHAnsi" w:cstheme="majorHAnsi"/>
                <w:lang w:val="es-ES"/>
              </w:rPr>
              <w:t xml:space="preserve">e Gestión Documental </w:t>
            </w:r>
            <w:r>
              <w:rPr>
                <w:rFonts w:asciiTheme="majorHAnsi" w:hAnsiTheme="majorHAnsi" w:cstheme="majorHAnsi"/>
                <w:lang w:val="es-ES"/>
              </w:rPr>
              <w:t>y</w:t>
            </w:r>
            <w:r w:rsidRPr="006A5875">
              <w:rPr>
                <w:rFonts w:asciiTheme="majorHAnsi" w:hAnsiTheme="majorHAnsi" w:cstheme="majorHAnsi"/>
                <w:lang w:val="es-ES"/>
              </w:rPr>
              <w:t xml:space="preserve"> Archivos</w:t>
            </w:r>
          </w:p>
        </w:tc>
      </w:tr>
    </w:tbl>
    <w:p w14:paraId="5E8B0EB8" w14:textId="4F0F2514" w:rsidR="00F458CE" w:rsidRDefault="004E76FD" w:rsidP="00B03707">
      <w:pPr>
        <w:rPr>
          <w:bCs/>
        </w:rPr>
      </w:pPr>
      <w:r>
        <w:rPr>
          <w:bCs/>
        </w:rPr>
        <w:br/>
      </w:r>
      <w:r w:rsidR="00344A38">
        <w:rPr>
          <w:bCs/>
        </w:rPr>
        <w:t>El 22 de abril</w:t>
      </w:r>
      <w:r w:rsidR="00611351">
        <w:rPr>
          <w:bCs/>
        </w:rPr>
        <w:t xml:space="preserve"> los miembros del CISED </w:t>
      </w:r>
      <w:r w:rsidR="00344A38">
        <w:rPr>
          <w:bCs/>
        </w:rPr>
        <w:t xml:space="preserve">recibieron la primera capacitación </w:t>
      </w:r>
      <w:r w:rsidR="00264E1F">
        <w:rPr>
          <w:bCs/>
        </w:rPr>
        <w:t xml:space="preserve">por parte del Oficial GDA, y desde entonces, </w:t>
      </w:r>
      <w:r w:rsidR="00611351">
        <w:rPr>
          <w:bCs/>
        </w:rPr>
        <w:t xml:space="preserve">concertaron reunirse </w:t>
      </w:r>
      <w:r w:rsidR="00F458CE">
        <w:rPr>
          <w:bCs/>
        </w:rPr>
        <w:t>una vez al mes</w:t>
      </w:r>
      <w:r w:rsidR="00264E1F">
        <w:rPr>
          <w:bCs/>
        </w:rPr>
        <w:t>, realizando la valoración de series documentales</w:t>
      </w:r>
      <w:r w:rsidR="00A4044C">
        <w:rPr>
          <w:bCs/>
        </w:rPr>
        <w:t xml:space="preserve"> y siguiendo la metodología de trabajo acordada.</w:t>
      </w:r>
    </w:p>
    <w:p w14:paraId="4D5986CF" w14:textId="3FAAD837" w:rsidR="00D67BF9" w:rsidRDefault="001F5994" w:rsidP="001F5994">
      <w:pPr>
        <w:rPr>
          <w:bCs/>
        </w:rPr>
      </w:pPr>
      <w:r>
        <w:rPr>
          <w:bCs/>
        </w:rPr>
        <w:lastRenderedPageBreak/>
        <w:t xml:space="preserve">Hasta el mes de noviembre, el </w:t>
      </w:r>
      <w:r w:rsidR="008B0540">
        <w:rPr>
          <w:bCs/>
        </w:rPr>
        <w:t>CISED</w:t>
      </w:r>
      <w:r>
        <w:rPr>
          <w:bCs/>
        </w:rPr>
        <w:t xml:space="preserve"> ha aprobado </w:t>
      </w:r>
      <w:r w:rsidR="000E6258">
        <w:rPr>
          <w:bCs/>
        </w:rPr>
        <w:t>10</w:t>
      </w:r>
      <w:r>
        <w:rPr>
          <w:bCs/>
        </w:rPr>
        <w:t xml:space="preserve"> formularios de valoración </w:t>
      </w:r>
      <w:r w:rsidR="00D67BF9">
        <w:rPr>
          <w:bCs/>
        </w:rPr>
        <w:t>y</w:t>
      </w:r>
      <w:r w:rsidR="00975E03">
        <w:rPr>
          <w:bCs/>
        </w:rPr>
        <w:t xml:space="preserve"> dos </w:t>
      </w:r>
      <w:r w:rsidRPr="001F5994">
        <w:rPr>
          <w:bCs/>
        </w:rPr>
        <w:t>Tablas de Plazos de Conservación Documental</w:t>
      </w:r>
      <w:r w:rsidR="00452979">
        <w:rPr>
          <w:bCs/>
        </w:rPr>
        <w:t>,</w:t>
      </w:r>
      <w:r w:rsidR="000E6258">
        <w:rPr>
          <w:bCs/>
        </w:rPr>
        <w:t xml:space="preserve"> </w:t>
      </w:r>
      <w:r w:rsidR="00D67BF9">
        <w:rPr>
          <w:bCs/>
        </w:rPr>
        <w:t xml:space="preserve">autorizadas y firmadas por </w:t>
      </w:r>
      <w:r w:rsidR="008B0540">
        <w:rPr>
          <w:bCs/>
        </w:rPr>
        <w:t xml:space="preserve">los miembros del comité </w:t>
      </w:r>
      <w:r w:rsidR="00452979">
        <w:rPr>
          <w:bCs/>
        </w:rPr>
        <w:t>y</w:t>
      </w:r>
      <w:r w:rsidR="00D67BF9">
        <w:rPr>
          <w:bCs/>
        </w:rPr>
        <w:t xml:space="preserve"> los respectivos jefes </w:t>
      </w:r>
      <w:r w:rsidR="00452979">
        <w:rPr>
          <w:bCs/>
        </w:rPr>
        <w:t xml:space="preserve">o encargados </w:t>
      </w:r>
      <w:r w:rsidR="00D67BF9">
        <w:rPr>
          <w:bCs/>
        </w:rPr>
        <w:t>de unidades</w:t>
      </w:r>
      <w:r w:rsidR="00452979">
        <w:rPr>
          <w:bCs/>
        </w:rPr>
        <w:t xml:space="preserve">. Las tablas corresponden </w:t>
      </w:r>
      <w:r w:rsidR="000E6258">
        <w:rPr>
          <w:bCs/>
        </w:rPr>
        <w:t xml:space="preserve">a las </w:t>
      </w:r>
      <w:r w:rsidR="00975E03">
        <w:rPr>
          <w:bCs/>
        </w:rPr>
        <w:t>unidades de Transporte y Administración (UACI)</w:t>
      </w:r>
      <w:r w:rsidR="00D67BF9">
        <w:rPr>
          <w:bCs/>
        </w:rPr>
        <w:t xml:space="preserve">, </w:t>
      </w:r>
      <w:r w:rsidR="002225A7">
        <w:rPr>
          <w:bCs/>
        </w:rPr>
        <w:t xml:space="preserve">las cuales </w:t>
      </w:r>
      <w:r w:rsidR="008B0540">
        <w:rPr>
          <w:bCs/>
        </w:rPr>
        <w:t xml:space="preserve">han sido </w:t>
      </w:r>
      <w:r w:rsidR="00D67BF9">
        <w:rPr>
          <w:bCs/>
        </w:rPr>
        <w:t>publicadas en el portal de transparencia del ILP</w:t>
      </w:r>
      <w:r w:rsidR="00452979">
        <w:rPr>
          <w:bCs/>
        </w:rPr>
        <w:t>.</w:t>
      </w:r>
    </w:p>
    <w:p w14:paraId="38C1B7B6" w14:textId="1254D96A" w:rsidR="001F5994" w:rsidRDefault="00306E6C" w:rsidP="001F5994">
      <w:pPr>
        <w:rPr>
          <w:bCs/>
        </w:rPr>
      </w:pPr>
      <w:r>
        <w:rPr>
          <w:bCs/>
        </w:rPr>
        <w:t xml:space="preserve">Las tablas </w:t>
      </w:r>
      <w:r w:rsidR="000575F9">
        <w:rPr>
          <w:bCs/>
        </w:rPr>
        <w:t xml:space="preserve">de plazos </w:t>
      </w:r>
      <w:r w:rsidR="001F5994">
        <w:rPr>
          <w:bCs/>
        </w:rPr>
        <w:t xml:space="preserve">incluyen dos componentes fundamentales: los </w:t>
      </w:r>
      <w:r w:rsidR="000575F9">
        <w:rPr>
          <w:bCs/>
        </w:rPr>
        <w:t xml:space="preserve">tiempos </w:t>
      </w:r>
      <w:r w:rsidR="001F5994">
        <w:rPr>
          <w:bCs/>
        </w:rPr>
        <w:t xml:space="preserve">de conservación </w:t>
      </w:r>
      <w:r w:rsidR="000575F9">
        <w:rPr>
          <w:bCs/>
        </w:rPr>
        <w:t xml:space="preserve">(en años) </w:t>
      </w:r>
      <w:r w:rsidR="001F5994">
        <w:rPr>
          <w:bCs/>
        </w:rPr>
        <w:t>y la disposición o destino final de los documentos</w:t>
      </w:r>
      <w:r w:rsidR="00D67BF9">
        <w:rPr>
          <w:bCs/>
        </w:rPr>
        <w:t>.</w:t>
      </w:r>
    </w:p>
    <w:p w14:paraId="4D026140" w14:textId="18885CE6" w:rsidR="00420923" w:rsidRDefault="00060912" w:rsidP="00B03707">
      <w:pPr>
        <w:rPr>
          <w:bCs/>
        </w:rPr>
      </w:pPr>
      <w:r>
        <w:rPr>
          <w:bCs/>
        </w:rPr>
        <w:t xml:space="preserve">Archivistas </w:t>
      </w:r>
      <w:r w:rsidR="00EC500E">
        <w:rPr>
          <w:bCs/>
        </w:rPr>
        <w:t>de la UGDA ha</w:t>
      </w:r>
      <w:r>
        <w:rPr>
          <w:bCs/>
        </w:rPr>
        <w:t>n</w:t>
      </w:r>
      <w:r w:rsidR="00EC500E">
        <w:rPr>
          <w:bCs/>
        </w:rPr>
        <w:t xml:space="preserve"> iniciado </w:t>
      </w:r>
      <w:r w:rsidR="000714A2">
        <w:rPr>
          <w:bCs/>
        </w:rPr>
        <w:t xml:space="preserve">el inventario de </w:t>
      </w:r>
      <w:r w:rsidR="00D15BE1">
        <w:rPr>
          <w:bCs/>
        </w:rPr>
        <w:t xml:space="preserve">todos aquellos expedientes </w:t>
      </w:r>
      <w:r w:rsidR="000714A2">
        <w:rPr>
          <w:bCs/>
        </w:rPr>
        <w:t xml:space="preserve">que </w:t>
      </w:r>
      <w:r>
        <w:rPr>
          <w:bCs/>
        </w:rPr>
        <w:t xml:space="preserve">perdieron </w:t>
      </w:r>
      <w:r w:rsidR="00D44B57">
        <w:rPr>
          <w:bCs/>
        </w:rPr>
        <w:t xml:space="preserve">su </w:t>
      </w:r>
      <w:r>
        <w:rPr>
          <w:bCs/>
        </w:rPr>
        <w:t xml:space="preserve">tiempo </w:t>
      </w:r>
      <w:r w:rsidR="00D44B57">
        <w:rPr>
          <w:bCs/>
        </w:rPr>
        <w:t>de conservación</w:t>
      </w:r>
      <w:r w:rsidR="000714A2">
        <w:rPr>
          <w:bCs/>
        </w:rPr>
        <w:t xml:space="preserve"> en el Archivo Central, </w:t>
      </w:r>
      <w:r w:rsidR="00D15BE1">
        <w:rPr>
          <w:bCs/>
        </w:rPr>
        <w:t xml:space="preserve">con el objeto de gestionar la eliminación de estos documentos con el CISED, </w:t>
      </w:r>
      <w:r w:rsidR="00DF15A4">
        <w:rPr>
          <w:bCs/>
        </w:rPr>
        <w:t xml:space="preserve">de acuerdo a </w:t>
      </w:r>
      <w:r w:rsidR="00D15BE1">
        <w:rPr>
          <w:bCs/>
        </w:rPr>
        <w:t>lo</w:t>
      </w:r>
      <w:r w:rsidR="00DF15A4">
        <w:rPr>
          <w:bCs/>
        </w:rPr>
        <w:t>s procedimientos</w:t>
      </w:r>
      <w:r w:rsidR="00D15BE1">
        <w:rPr>
          <w:bCs/>
        </w:rPr>
        <w:t xml:space="preserve"> </w:t>
      </w:r>
      <w:r w:rsidR="0067289F">
        <w:rPr>
          <w:bCs/>
        </w:rPr>
        <w:t>establecidos por la unidad</w:t>
      </w:r>
      <w:r w:rsidR="00D15BE1">
        <w:rPr>
          <w:bCs/>
        </w:rPr>
        <w:t>.</w:t>
      </w:r>
    </w:p>
    <w:p w14:paraId="40EE99CE" w14:textId="5A3FE458" w:rsidR="00E33C64" w:rsidRDefault="000A7AFC" w:rsidP="00E33C64">
      <w:pPr>
        <w:pStyle w:val="Ttulo1"/>
      </w:pPr>
      <w:bookmarkStart w:id="4" w:name="_Toc92105759"/>
      <w:r>
        <w:t>3</w:t>
      </w:r>
      <w:r w:rsidR="00E33C64">
        <w:t>. Capacitaciones recibidas por personal de la UGDA</w:t>
      </w:r>
      <w:bookmarkEnd w:id="4"/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559"/>
        <w:gridCol w:w="1134"/>
        <w:gridCol w:w="1134"/>
        <w:gridCol w:w="3119"/>
      </w:tblGrid>
      <w:tr w:rsidR="003D64E3" w:rsidRPr="005406B5" w14:paraId="4868F444" w14:textId="77777777" w:rsidTr="003D64E3">
        <w:trPr>
          <w:trHeight w:val="600"/>
          <w:tblHeader/>
        </w:trPr>
        <w:tc>
          <w:tcPr>
            <w:tcW w:w="392" w:type="dxa"/>
            <w:noWrap/>
            <w:vAlign w:val="center"/>
            <w:hideMark/>
          </w:tcPr>
          <w:p w14:paraId="3069CBCB" w14:textId="77777777" w:rsidR="008C784D" w:rsidRPr="00E455AF" w:rsidRDefault="008C784D" w:rsidP="003D64E3">
            <w:pPr>
              <w:jc w:val="center"/>
              <w:rPr>
                <w:b/>
                <w:color w:val="000000"/>
                <w:sz w:val="16"/>
                <w:lang w:eastAsia="es-SV"/>
              </w:rPr>
            </w:pPr>
            <w:proofErr w:type="spellStart"/>
            <w:r w:rsidRPr="00E455AF">
              <w:rPr>
                <w:b/>
                <w:color w:val="000000"/>
                <w:sz w:val="16"/>
                <w:lang w:eastAsia="es-SV"/>
              </w:rPr>
              <w:t>N°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65BC05C8" w14:textId="77777777" w:rsidR="008C784D" w:rsidRPr="00E455AF" w:rsidRDefault="008C784D" w:rsidP="00016224">
            <w:pPr>
              <w:jc w:val="center"/>
              <w:rPr>
                <w:b/>
                <w:color w:val="000000"/>
                <w:sz w:val="18"/>
                <w:lang w:eastAsia="es-SV"/>
              </w:rPr>
            </w:pPr>
            <w:r w:rsidRPr="00E455AF">
              <w:rPr>
                <w:b/>
                <w:color w:val="000000"/>
                <w:sz w:val="18"/>
                <w:lang w:eastAsia="es-SV"/>
              </w:rPr>
              <w:t>Tema de capacitación recibida</w:t>
            </w:r>
          </w:p>
        </w:tc>
        <w:tc>
          <w:tcPr>
            <w:tcW w:w="1559" w:type="dxa"/>
            <w:vAlign w:val="center"/>
            <w:hideMark/>
          </w:tcPr>
          <w:p w14:paraId="7936BE17" w14:textId="4520FAFE" w:rsidR="008C784D" w:rsidRPr="00E455AF" w:rsidRDefault="008C784D" w:rsidP="00016224">
            <w:pPr>
              <w:jc w:val="center"/>
              <w:rPr>
                <w:b/>
                <w:color w:val="000000"/>
                <w:sz w:val="18"/>
                <w:lang w:eastAsia="es-SV"/>
              </w:rPr>
            </w:pPr>
            <w:r w:rsidRPr="00E455AF">
              <w:rPr>
                <w:b/>
                <w:color w:val="000000"/>
                <w:sz w:val="18"/>
                <w:lang w:eastAsia="es-SV"/>
              </w:rPr>
              <w:t>Impartida por</w:t>
            </w:r>
          </w:p>
        </w:tc>
        <w:tc>
          <w:tcPr>
            <w:tcW w:w="1134" w:type="dxa"/>
            <w:noWrap/>
            <w:vAlign w:val="center"/>
            <w:hideMark/>
          </w:tcPr>
          <w:p w14:paraId="442782E6" w14:textId="77777777" w:rsidR="008C784D" w:rsidRPr="00E455AF" w:rsidRDefault="008C784D" w:rsidP="00016224">
            <w:pPr>
              <w:jc w:val="center"/>
              <w:rPr>
                <w:b/>
                <w:color w:val="000000"/>
                <w:sz w:val="18"/>
                <w:lang w:eastAsia="es-SV"/>
              </w:rPr>
            </w:pPr>
            <w:r w:rsidRPr="00E455AF">
              <w:rPr>
                <w:b/>
                <w:color w:val="000000"/>
                <w:sz w:val="18"/>
                <w:lang w:eastAsia="es-SV"/>
              </w:rPr>
              <w:t>Fecha</w:t>
            </w:r>
          </w:p>
        </w:tc>
        <w:tc>
          <w:tcPr>
            <w:tcW w:w="1134" w:type="dxa"/>
            <w:vAlign w:val="center"/>
            <w:hideMark/>
          </w:tcPr>
          <w:p w14:paraId="3AD585DA" w14:textId="77777777" w:rsidR="008C784D" w:rsidRPr="00E455AF" w:rsidRDefault="008C784D" w:rsidP="00016224">
            <w:pPr>
              <w:jc w:val="center"/>
              <w:rPr>
                <w:b/>
                <w:color w:val="000000"/>
                <w:sz w:val="18"/>
                <w:lang w:eastAsia="es-SV"/>
              </w:rPr>
            </w:pPr>
            <w:r w:rsidRPr="00E455AF">
              <w:rPr>
                <w:b/>
                <w:color w:val="000000"/>
                <w:sz w:val="18"/>
                <w:lang w:eastAsia="es-SV"/>
              </w:rPr>
              <w:t>Participante /Cargo</w:t>
            </w:r>
          </w:p>
        </w:tc>
        <w:tc>
          <w:tcPr>
            <w:tcW w:w="3119" w:type="dxa"/>
            <w:noWrap/>
            <w:vAlign w:val="center"/>
            <w:hideMark/>
          </w:tcPr>
          <w:p w14:paraId="2C7CBCEF" w14:textId="77777777" w:rsidR="008C784D" w:rsidRPr="00E455AF" w:rsidRDefault="008C784D" w:rsidP="00016224">
            <w:pPr>
              <w:jc w:val="center"/>
              <w:rPr>
                <w:b/>
                <w:color w:val="000000"/>
                <w:sz w:val="18"/>
                <w:lang w:eastAsia="es-SV"/>
              </w:rPr>
            </w:pPr>
            <w:r w:rsidRPr="00E455AF">
              <w:rPr>
                <w:b/>
                <w:color w:val="000000"/>
                <w:sz w:val="18"/>
                <w:lang w:eastAsia="es-SV"/>
              </w:rPr>
              <w:t>Beneficios obtenidos</w:t>
            </w:r>
          </w:p>
        </w:tc>
      </w:tr>
      <w:tr w:rsidR="003D64E3" w:rsidRPr="005406B5" w14:paraId="1C10DEB7" w14:textId="77777777" w:rsidTr="00D7140D">
        <w:trPr>
          <w:trHeight w:val="1201"/>
        </w:trPr>
        <w:tc>
          <w:tcPr>
            <w:tcW w:w="392" w:type="dxa"/>
            <w:noWrap/>
            <w:hideMark/>
          </w:tcPr>
          <w:p w14:paraId="7D6FAD91" w14:textId="77777777" w:rsidR="008C784D" w:rsidRPr="005406B5" w:rsidRDefault="008C784D" w:rsidP="00D7140D">
            <w:pPr>
              <w:jc w:val="center"/>
              <w:rPr>
                <w:color w:val="000000"/>
                <w:sz w:val="18"/>
                <w:lang w:eastAsia="es-SV"/>
              </w:rPr>
            </w:pPr>
            <w:r w:rsidRPr="005406B5">
              <w:rPr>
                <w:color w:val="000000"/>
                <w:sz w:val="18"/>
                <w:lang w:eastAsia="es-SV"/>
              </w:rPr>
              <w:t>1</w:t>
            </w:r>
          </w:p>
        </w:tc>
        <w:tc>
          <w:tcPr>
            <w:tcW w:w="2126" w:type="dxa"/>
          </w:tcPr>
          <w:p w14:paraId="1C44ECC0" w14:textId="77777777" w:rsidR="008C784D" w:rsidRPr="008C784D" w:rsidRDefault="008C784D" w:rsidP="008C784D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Taller virtual: Diagnóstico sobre la implementación del Sistema Institucional de Gestión Documental y</w:t>
            </w:r>
          </w:p>
          <w:p w14:paraId="40627DD9" w14:textId="63617520" w:rsidR="008C784D" w:rsidRPr="005406B5" w:rsidRDefault="008C784D" w:rsidP="008C784D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Archivos en las instituciones públicas</w:t>
            </w:r>
            <w:r>
              <w:rPr>
                <w:color w:val="000000"/>
                <w:sz w:val="18"/>
                <w:lang w:eastAsia="es-SV"/>
              </w:rPr>
              <w:t>.</w:t>
            </w:r>
          </w:p>
        </w:tc>
        <w:tc>
          <w:tcPr>
            <w:tcW w:w="1559" w:type="dxa"/>
            <w:noWrap/>
          </w:tcPr>
          <w:p w14:paraId="1D82D682" w14:textId="4FBA4F6C" w:rsidR="008C784D" w:rsidRPr="005406B5" w:rsidRDefault="008C784D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Instituto de Acceso a la Información Pública (IAIP). Unidad de Gestión Documental y Archivos.</w:t>
            </w:r>
          </w:p>
        </w:tc>
        <w:tc>
          <w:tcPr>
            <w:tcW w:w="1134" w:type="dxa"/>
            <w:noWrap/>
          </w:tcPr>
          <w:p w14:paraId="3F6C098D" w14:textId="03E71AAA" w:rsidR="008C784D" w:rsidRPr="005406B5" w:rsidRDefault="008C784D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Abril 2021</w:t>
            </w:r>
          </w:p>
        </w:tc>
        <w:tc>
          <w:tcPr>
            <w:tcW w:w="1134" w:type="dxa"/>
            <w:noWrap/>
          </w:tcPr>
          <w:p w14:paraId="2EB73546" w14:textId="1293590C" w:rsidR="008C784D" w:rsidRPr="005406B5" w:rsidRDefault="008C784D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Jorge Callejas</w:t>
            </w:r>
            <w:r>
              <w:rPr>
                <w:color w:val="000000"/>
                <w:sz w:val="18"/>
                <w:lang w:eastAsia="es-SV"/>
              </w:rPr>
              <w:t xml:space="preserve"> /Oficial GDA</w:t>
            </w:r>
          </w:p>
        </w:tc>
        <w:tc>
          <w:tcPr>
            <w:tcW w:w="3119" w:type="dxa"/>
          </w:tcPr>
          <w:p w14:paraId="3254E441" w14:textId="77777777" w:rsidR="008C784D" w:rsidRPr="008C784D" w:rsidRDefault="008C784D" w:rsidP="008C784D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Dar a conocer los avances de implementación del Sistema Institucional de Gestión</w:t>
            </w:r>
          </w:p>
          <w:p w14:paraId="6256192E" w14:textId="7A87B8BD" w:rsidR="008C784D" w:rsidRPr="005406B5" w:rsidRDefault="008C784D" w:rsidP="008C784D">
            <w:pPr>
              <w:jc w:val="left"/>
              <w:rPr>
                <w:color w:val="000000"/>
                <w:sz w:val="18"/>
                <w:lang w:eastAsia="es-SV"/>
              </w:rPr>
            </w:pPr>
            <w:r w:rsidRPr="008C784D">
              <w:rPr>
                <w:color w:val="000000"/>
                <w:sz w:val="18"/>
                <w:lang w:eastAsia="es-SV"/>
              </w:rPr>
              <w:t>Documental y Archivos en el ILP, con el fin de identificar las necesidades de acompañamiento</w:t>
            </w:r>
            <w:r w:rsidR="00E73F97">
              <w:rPr>
                <w:color w:val="000000"/>
                <w:sz w:val="18"/>
                <w:lang w:eastAsia="es-SV"/>
              </w:rPr>
              <w:t xml:space="preserve"> </w:t>
            </w:r>
            <w:r w:rsidRPr="008C784D">
              <w:rPr>
                <w:color w:val="000000"/>
                <w:sz w:val="18"/>
                <w:lang w:eastAsia="es-SV"/>
              </w:rPr>
              <w:t>por parte del IAIP.</w:t>
            </w:r>
          </w:p>
        </w:tc>
      </w:tr>
      <w:tr w:rsidR="00D7140D" w:rsidRPr="005406B5" w14:paraId="6439B0AA" w14:textId="77777777" w:rsidTr="00D7140D">
        <w:trPr>
          <w:trHeight w:val="1201"/>
        </w:trPr>
        <w:tc>
          <w:tcPr>
            <w:tcW w:w="392" w:type="dxa"/>
            <w:noWrap/>
          </w:tcPr>
          <w:p w14:paraId="4E3CE6A0" w14:textId="77777777" w:rsidR="008C784D" w:rsidRPr="005406B5" w:rsidRDefault="008C784D" w:rsidP="00D7140D">
            <w:pPr>
              <w:jc w:val="center"/>
              <w:rPr>
                <w:color w:val="000000"/>
                <w:sz w:val="18"/>
                <w:lang w:eastAsia="es-SV"/>
              </w:rPr>
            </w:pPr>
            <w:r w:rsidRPr="005406B5">
              <w:rPr>
                <w:color w:val="000000"/>
                <w:sz w:val="18"/>
                <w:lang w:eastAsia="es-SV"/>
              </w:rPr>
              <w:t>2</w:t>
            </w:r>
          </w:p>
        </w:tc>
        <w:tc>
          <w:tcPr>
            <w:tcW w:w="2126" w:type="dxa"/>
          </w:tcPr>
          <w:p w14:paraId="1168614B" w14:textId="16705C88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Curso virtual en Transparencia y Acceso a la Información (diploma de participación)</w:t>
            </w:r>
            <w:r w:rsidR="000A4C5D">
              <w:rPr>
                <w:color w:val="000000"/>
                <w:sz w:val="18"/>
                <w:lang w:eastAsia="es-SV"/>
              </w:rPr>
              <w:t>.</w:t>
            </w:r>
          </w:p>
        </w:tc>
        <w:tc>
          <w:tcPr>
            <w:tcW w:w="1559" w:type="dxa"/>
            <w:noWrap/>
          </w:tcPr>
          <w:p w14:paraId="6C693390" w14:textId="638F8C8C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IAIP</w:t>
            </w:r>
          </w:p>
        </w:tc>
        <w:tc>
          <w:tcPr>
            <w:tcW w:w="1134" w:type="dxa"/>
            <w:noWrap/>
          </w:tcPr>
          <w:p w14:paraId="1AEC19CB" w14:textId="19045CEF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Mayo a junio 2021</w:t>
            </w:r>
          </w:p>
        </w:tc>
        <w:tc>
          <w:tcPr>
            <w:tcW w:w="1134" w:type="dxa"/>
            <w:noWrap/>
          </w:tcPr>
          <w:p w14:paraId="6EA64B99" w14:textId="6E3D8797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Jorge Callejas /Oficial GDA</w:t>
            </w:r>
          </w:p>
        </w:tc>
        <w:tc>
          <w:tcPr>
            <w:tcW w:w="3119" w:type="dxa"/>
          </w:tcPr>
          <w:p w14:paraId="7CAF1807" w14:textId="4C912AA4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Conocer la LAIP, conceptos de transparencia, derecho de acceso a la información pública, procedimientos que se deben llevar a cabo en las instituciones para dar trámite a las solicitudes de información pública, estructura del IAIP, el rol del Oficial de Información, entre otros.</w:t>
            </w:r>
          </w:p>
        </w:tc>
      </w:tr>
      <w:tr w:rsidR="003D64E3" w:rsidRPr="005406B5" w14:paraId="0596C3A7" w14:textId="77777777" w:rsidTr="00D7140D">
        <w:trPr>
          <w:trHeight w:val="300"/>
        </w:trPr>
        <w:tc>
          <w:tcPr>
            <w:tcW w:w="392" w:type="dxa"/>
            <w:noWrap/>
            <w:hideMark/>
          </w:tcPr>
          <w:p w14:paraId="143B47CC" w14:textId="77777777" w:rsidR="008C784D" w:rsidRPr="005406B5" w:rsidRDefault="008C784D" w:rsidP="00D7140D">
            <w:pPr>
              <w:jc w:val="center"/>
              <w:rPr>
                <w:color w:val="000000"/>
                <w:sz w:val="18"/>
                <w:lang w:eastAsia="es-SV"/>
              </w:rPr>
            </w:pPr>
            <w:r w:rsidRPr="005406B5">
              <w:rPr>
                <w:color w:val="000000"/>
                <w:sz w:val="18"/>
                <w:lang w:eastAsia="es-SV"/>
              </w:rPr>
              <w:t>3</w:t>
            </w:r>
          </w:p>
        </w:tc>
        <w:tc>
          <w:tcPr>
            <w:tcW w:w="2126" w:type="dxa"/>
            <w:noWrap/>
          </w:tcPr>
          <w:p w14:paraId="413E0F03" w14:textId="543516F4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Curso virtual de Ciencia de Datos (diploma de participación)</w:t>
            </w:r>
            <w:r w:rsidR="000A4C5D">
              <w:rPr>
                <w:color w:val="000000"/>
                <w:sz w:val="18"/>
                <w:lang w:eastAsia="es-SV"/>
              </w:rPr>
              <w:t>.</w:t>
            </w:r>
          </w:p>
        </w:tc>
        <w:tc>
          <w:tcPr>
            <w:tcW w:w="1559" w:type="dxa"/>
            <w:noWrap/>
          </w:tcPr>
          <w:p w14:paraId="04D2BEE2" w14:textId="3A0BA9AC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Secretaría de Innovación de la Presidencia</w:t>
            </w:r>
          </w:p>
        </w:tc>
        <w:tc>
          <w:tcPr>
            <w:tcW w:w="1134" w:type="dxa"/>
            <w:noWrap/>
          </w:tcPr>
          <w:p w14:paraId="23F1A0F2" w14:textId="4BE036B5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Julio a septiembre 2021</w:t>
            </w:r>
          </w:p>
        </w:tc>
        <w:tc>
          <w:tcPr>
            <w:tcW w:w="1134" w:type="dxa"/>
            <w:noWrap/>
          </w:tcPr>
          <w:p w14:paraId="07B82A47" w14:textId="34EC61DB" w:rsidR="008C784D" w:rsidRPr="005406B5" w:rsidRDefault="00AC2CB6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C2CB6">
              <w:rPr>
                <w:color w:val="000000"/>
                <w:sz w:val="18"/>
                <w:lang w:eastAsia="es-SV"/>
              </w:rPr>
              <w:t>Jorge Callejas /Oficial GDA</w:t>
            </w:r>
          </w:p>
        </w:tc>
        <w:tc>
          <w:tcPr>
            <w:tcW w:w="3119" w:type="dxa"/>
            <w:noWrap/>
          </w:tcPr>
          <w:p w14:paraId="438FFAD6" w14:textId="4527AC99" w:rsidR="008C784D" w:rsidRPr="005406B5" w:rsidRDefault="00A85390" w:rsidP="00016224">
            <w:pPr>
              <w:jc w:val="left"/>
              <w:rPr>
                <w:color w:val="000000"/>
                <w:sz w:val="18"/>
                <w:lang w:eastAsia="es-SV"/>
              </w:rPr>
            </w:pPr>
            <w:r w:rsidRPr="00A85390">
              <w:rPr>
                <w:color w:val="000000"/>
                <w:sz w:val="18"/>
                <w:lang w:eastAsia="es-SV"/>
              </w:rPr>
              <w:t>Conocer herramientas informáticas, lenguaje de programación y bases de datos necesarios para el análisis, tratamiento y síntesis de grandes cantidades de datos.</w:t>
            </w:r>
          </w:p>
        </w:tc>
      </w:tr>
    </w:tbl>
    <w:p w14:paraId="1F6CB1FC" w14:textId="68073285" w:rsidR="00FB6AB7" w:rsidRDefault="00FB6AB7" w:rsidP="00FB6AB7">
      <w:pPr>
        <w:pStyle w:val="Ttulo1"/>
      </w:pPr>
      <w:bookmarkStart w:id="5" w:name="_Toc92105760"/>
      <w:r>
        <w:t>4. Organización de los archivos de gestión</w:t>
      </w:r>
      <w:bookmarkEnd w:id="5"/>
    </w:p>
    <w:p w14:paraId="14CEFEDE" w14:textId="0EF0FBEA" w:rsidR="00FB6AB7" w:rsidRPr="00C126B6" w:rsidRDefault="00FB6AB7" w:rsidP="00C126B6">
      <w:pPr>
        <w:rPr>
          <w:b/>
          <w:bCs/>
        </w:rPr>
      </w:pPr>
      <w:r w:rsidRPr="00C126B6">
        <w:rPr>
          <w:b/>
          <w:bCs/>
        </w:rPr>
        <w:t>4.1 Depuración de expedientes de trabajo del área operativa</w:t>
      </w:r>
    </w:p>
    <w:p w14:paraId="3C54035E" w14:textId="77777777" w:rsidR="00634DD0" w:rsidRDefault="00634DD0" w:rsidP="00634DD0">
      <w:pPr>
        <w:jc w:val="center"/>
      </w:pPr>
      <w:r w:rsidRPr="00242A35">
        <w:rPr>
          <w:noProof/>
        </w:rPr>
        <w:drawing>
          <wp:inline distT="0" distB="0" distL="0" distR="0" wp14:anchorId="7E1205C9" wp14:editId="1474EBA7">
            <wp:extent cx="1872000" cy="1404000"/>
            <wp:effectExtent l="19050" t="19050" r="13970" b="24765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40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242A35">
        <w:rPr>
          <w:noProof/>
        </w:rPr>
        <w:drawing>
          <wp:inline distT="0" distB="0" distL="0" distR="0" wp14:anchorId="6481346A" wp14:editId="4BC4C30A">
            <wp:extent cx="1872001" cy="1404000"/>
            <wp:effectExtent l="19050" t="19050" r="13970" b="24765"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1" cy="140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41C9F2" w14:textId="64685FEA" w:rsidR="00634DD0" w:rsidRDefault="00CC5F94" w:rsidP="00FB6AB7">
      <w:r>
        <w:lastRenderedPageBreak/>
        <w:t>Durante tres meses, l</w:t>
      </w:r>
      <w:r w:rsidR="00042317">
        <w:t xml:space="preserve">a UGDA </w:t>
      </w:r>
      <w:r w:rsidR="00EB3BC0">
        <w:t xml:space="preserve">desarrolló un proyecto para la organización </w:t>
      </w:r>
      <w:r>
        <w:t xml:space="preserve">documental </w:t>
      </w:r>
      <w:r w:rsidR="00EB3BC0">
        <w:t>de un archivo del área operativa</w:t>
      </w:r>
      <w:r>
        <w:t xml:space="preserve">, </w:t>
      </w:r>
      <w:r w:rsidR="00EB3BC0">
        <w:t>que consistió en la depuración de expedientes de trabajo relacionado</w:t>
      </w:r>
      <w:r>
        <w:t>s</w:t>
      </w:r>
      <w:r w:rsidR="00EB3BC0">
        <w:t xml:space="preserve"> con proyectos de legalización finalizados</w:t>
      </w:r>
      <w:r w:rsidR="00B11ADD">
        <w:t>, para garantizar la conservación de documentos necesarios y útiles en la institución.</w:t>
      </w:r>
    </w:p>
    <w:p w14:paraId="1862463A" w14:textId="5721B74C" w:rsidR="002E19C8" w:rsidRDefault="002E19C8" w:rsidP="002E19C8">
      <w:r w:rsidRPr="007E737E">
        <w:t xml:space="preserve">La </w:t>
      </w:r>
      <w:r>
        <w:t>depuración</w:t>
      </w:r>
      <w:r w:rsidRPr="007E737E">
        <w:t xml:space="preserve"> consistió en separar los documentos originales</w:t>
      </w:r>
      <w:r w:rsidR="00D850EA">
        <w:t xml:space="preserve">, </w:t>
      </w:r>
      <w:r w:rsidRPr="007E737E">
        <w:t xml:space="preserve">integrarlos en </w:t>
      </w:r>
      <w:r>
        <w:t xml:space="preserve">su respectivo </w:t>
      </w:r>
      <w:r w:rsidRPr="007E737E">
        <w:t xml:space="preserve">expediente del Archivo </w:t>
      </w:r>
      <w:r>
        <w:t>Central</w:t>
      </w:r>
      <w:r w:rsidR="00D850EA">
        <w:t xml:space="preserve"> y </w:t>
      </w:r>
      <w:r w:rsidRPr="007E737E">
        <w:t>eliminar los duplicados.</w:t>
      </w:r>
    </w:p>
    <w:p w14:paraId="53D6B208" w14:textId="5AD7D6BD" w:rsidR="00042317" w:rsidRDefault="00C36C98" w:rsidP="00FB6AB7">
      <w:r>
        <w:t xml:space="preserve">Para llevar a cabo </w:t>
      </w:r>
      <w:r w:rsidR="00300165">
        <w:t xml:space="preserve">esta </w:t>
      </w:r>
      <w:r>
        <w:t>actividad, el Oficial GDA solicitó a la Administración la contratación por servicios profesionales de</w:t>
      </w:r>
      <w:r w:rsidR="00042317" w:rsidRPr="00042317">
        <w:t>l archivista Gerardo Romero</w:t>
      </w:r>
      <w:r>
        <w:t xml:space="preserve">, quien </w:t>
      </w:r>
      <w:r w:rsidR="00805256">
        <w:t xml:space="preserve">con apoyo del personal de la UGDA </w:t>
      </w:r>
      <w:r>
        <w:t xml:space="preserve">realizó </w:t>
      </w:r>
      <w:r w:rsidR="00042317" w:rsidRPr="00042317">
        <w:t>la revisión</w:t>
      </w:r>
      <w:r w:rsidR="004812FE">
        <w:t xml:space="preserve">, levantamiento de inventario, </w:t>
      </w:r>
      <w:r w:rsidR="00042317" w:rsidRPr="00042317">
        <w:t xml:space="preserve">depuración </w:t>
      </w:r>
      <w:r w:rsidR="004812FE">
        <w:t xml:space="preserve">y organización </w:t>
      </w:r>
      <w:r w:rsidR="00042317" w:rsidRPr="00042317">
        <w:t xml:space="preserve">de </w:t>
      </w:r>
      <w:r w:rsidR="00596CCD">
        <w:t xml:space="preserve">casi 1,000 </w:t>
      </w:r>
      <w:r w:rsidR="00042317" w:rsidRPr="00042317">
        <w:t xml:space="preserve">expedientes de trabajo </w:t>
      </w:r>
      <w:r w:rsidR="00596CCD">
        <w:t>producidos por las unidades operativas</w:t>
      </w:r>
      <w:r w:rsidR="00042317" w:rsidRPr="00042317">
        <w:t>.</w:t>
      </w:r>
    </w:p>
    <w:p w14:paraId="763BB355" w14:textId="2D76E67A" w:rsidR="00FB6AB7" w:rsidRDefault="00FB6AB7" w:rsidP="00FB6AB7">
      <w:pPr>
        <w:jc w:val="center"/>
      </w:pPr>
      <w:r>
        <w:rPr>
          <w:noProof/>
        </w:rPr>
        <w:drawing>
          <wp:inline distT="0" distB="0" distL="0" distR="0" wp14:anchorId="17F47504" wp14:editId="1839D9FF">
            <wp:extent cx="1871207" cy="1404000"/>
            <wp:effectExtent l="23812" t="14288" r="20003" b="20002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1207" cy="140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6CC04F" wp14:editId="194A2CA6">
            <wp:extent cx="2495059" cy="1872000"/>
            <wp:effectExtent l="19050" t="19050" r="19685" b="139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059" cy="18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34DD0">
        <w:rPr>
          <w:noProof/>
        </w:rPr>
        <w:drawing>
          <wp:inline distT="0" distB="0" distL="0" distR="0" wp14:anchorId="66B3C6A0" wp14:editId="125460A2">
            <wp:extent cx="1871203" cy="1404000"/>
            <wp:effectExtent l="23812" t="14288" r="20003" b="20002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1203" cy="140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2E1837" w14:textId="1A72A8F4" w:rsidR="0095602E" w:rsidRPr="00C126B6" w:rsidRDefault="0095602E" w:rsidP="00C126B6">
      <w:pPr>
        <w:rPr>
          <w:b/>
          <w:bCs/>
        </w:rPr>
      </w:pPr>
      <w:r w:rsidRPr="00C126B6">
        <w:rPr>
          <w:b/>
          <w:bCs/>
        </w:rPr>
        <w:t>4.</w:t>
      </w:r>
      <w:r w:rsidR="003927F6" w:rsidRPr="00C126B6">
        <w:rPr>
          <w:b/>
          <w:bCs/>
        </w:rPr>
        <w:t>2</w:t>
      </w:r>
      <w:r w:rsidRPr="00C126B6">
        <w:rPr>
          <w:b/>
          <w:bCs/>
        </w:rPr>
        <w:t xml:space="preserve"> Informe copia de archivos digitales de Mediciones /Ingeniería</w:t>
      </w:r>
    </w:p>
    <w:p w14:paraId="7163D52A" w14:textId="49D69F77" w:rsidR="0095602E" w:rsidRDefault="0095602E" w:rsidP="0095602E">
      <w:r>
        <w:t xml:space="preserve">Oficial GDA elaboró y remitió por correo electrónico a la Gerente de Operaciones y a los respectivos jefes de unidades, </w:t>
      </w:r>
      <w:r w:rsidR="007B7C0E">
        <w:t xml:space="preserve">informes mensuales sobre </w:t>
      </w:r>
      <w:r w:rsidRPr="009E0C1C">
        <w:t xml:space="preserve">la copia de archivos digitales </w:t>
      </w:r>
      <w:r>
        <w:t xml:space="preserve">de Ingeniería y Mediciones </w:t>
      </w:r>
      <w:r w:rsidRPr="009E0C1C">
        <w:t>en la unidad de red “I:”</w:t>
      </w:r>
      <w:r>
        <w:t>, de acuerdo a indicadores de gestión del Sistema de Legalización.</w:t>
      </w:r>
    </w:p>
    <w:p w14:paraId="637938AC" w14:textId="5BBF9E49" w:rsidR="004A32AD" w:rsidRPr="00C126B6" w:rsidRDefault="004A32AD" w:rsidP="00C126B6">
      <w:pPr>
        <w:rPr>
          <w:b/>
          <w:bCs/>
        </w:rPr>
      </w:pPr>
      <w:r w:rsidRPr="00C126B6">
        <w:rPr>
          <w:b/>
          <w:bCs/>
        </w:rPr>
        <w:t xml:space="preserve">4.3. Digitación de fichas y escaneo de planos de infraestructura MINEDUCYT </w:t>
      </w:r>
    </w:p>
    <w:p w14:paraId="48577B77" w14:textId="635CC529" w:rsidR="004A32AD" w:rsidRDefault="006278A5" w:rsidP="004A32AD">
      <w:r>
        <w:t>Oficial GDA apoyó a la Gerencia de Operaciones en la d</w:t>
      </w:r>
      <w:r w:rsidR="004A32AD" w:rsidRPr="00F43873">
        <w:t xml:space="preserve">igitación de fichas de infraestructura en el sistema informático proporcionado por la Secretaría de Innovación y </w:t>
      </w:r>
      <w:r>
        <w:t xml:space="preserve">en el </w:t>
      </w:r>
      <w:r w:rsidR="004A32AD" w:rsidRPr="00F43873">
        <w:t>escaneo de planos de infraestructura</w:t>
      </w:r>
      <w:r>
        <w:t>, correspondiente a centros educativos del Ministerio de Educación.</w:t>
      </w:r>
    </w:p>
    <w:p w14:paraId="7904B21F" w14:textId="3E8CE650" w:rsidR="001965A2" w:rsidRDefault="00795624" w:rsidP="004A32AD">
      <w:pPr>
        <w:rPr>
          <w:b/>
          <w:bCs/>
        </w:rPr>
      </w:pPr>
      <w:r w:rsidRPr="00C126B6">
        <w:rPr>
          <w:b/>
          <w:bCs/>
        </w:rPr>
        <w:t>4.</w:t>
      </w:r>
      <w:r>
        <w:rPr>
          <w:b/>
          <w:bCs/>
        </w:rPr>
        <w:t>4</w:t>
      </w:r>
      <w:r w:rsidRPr="00C126B6">
        <w:rPr>
          <w:b/>
          <w:bCs/>
        </w:rPr>
        <w:t xml:space="preserve">. </w:t>
      </w:r>
      <w:r w:rsidRPr="00795624">
        <w:rPr>
          <w:b/>
          <w:bCs/>
        </w:rPr>
        <w:t>Transferencia documental de escrituras originales</w:t>
      </w:r>
    </w:p>
    <w:p w14:paraId="3E6C6E31" w14:textId="7C072CD0" w:rsidR="00795624" w:rsidRDefault="00795624" w:rsidP="004A32AD">
      <w:r>
        <w:t>Por instrucciones de la Dirección Ejecutiva</w:t>
      </w:r>
      <w:r>
        <w:t>, l</w:t>
      </w:r>
      <w:r w:rsidRPr="00795624">
        <w:t xml:space="preserve">a Unidad Registral realizó la transferencia documental de escrituras originales pendientes de entregar a sus titulares hacia </w:t>
      </w:r>
      <w:r w:rsidR="00DF0ED0">
        <w:t>el Archivo Central</w:t>
      </w:r>
      <w:r>
        <w:t xml:space="preserve">, </w:t>
      </w:r>
      <w:r>
        <w:t>con el objeto de mantener un archivo pasivo de escrituras antiguas</w:t>
      </w:r>
      <w:r w:rsidR="00DF0ED0">
        <w:t>.</w:t>
      </w:r>
    </w:p>
    <w:p w14:paraId="25CDCDEA" w14:textId="2644D116" w:rsidR="00DF0ED0" w:rsidRPr="00050F1B" w:rsidRDefault="00DF0ED0" w:rsidP="004A32AD">
      <w:r>
        <w:t xml:space="preserve">La UGDA levantó el inventario de </w:t>
      </w:r>
      <w:r w:rsidR="00C02664">
        <w:t>140</w:t>
      </w:r>
      <w:r w:rsidR="00C77BF1">
        <w:t xml:space="preserve"> escrituras </w:t>
      </w:r>
      <w:r>
        <w:t>correspondiente a los años 2003-2018</w:t>
      </w:r>
      <w:r w:rsidR="00525431">
        <w:t xml:space="preserve"> </w:t>
      </w:r>
      <w:r w:rsidR="00C02664">
        <w:t xml:space="preserve">de proyectos de comunidades e in </w:t>
      </w:r>
      <w:proofErr w:type="spellStart"/>
      <w:r w:rsidR="00C02664">
        <w:t>situs</w:t>
      </w:r>
      <w:proofErr w:type="spellEnd"/>
      <w:r w:rsidR="00C02664">
        <w:t>, y recibió</w:t>
      </w:r>
      <w:r w:rsidR="00C02664">
        <w:t xml:space="preserve"> </w:t>
      </w:r>
      <w:r w:rsidR="00C02664" w:rsidRPr="004F6C9C">
        <w:t>197 escrituras del programa Reconstrucción</w:t>
      </w:r>
      <w:r w:rsidR="00C02664">
        <w:t>.</w:t>
      </w:r>
    </w:p>
    <w:p w14:paraId="05C155F9" w14:textId="536DD025" w:rsidR="00FC789E" w:rsidRDefault="00FB6AB7" w:rsidP="00434184">
      <w:pPr>
        <w:pStyle w:val="Ttulo1"/>
      </w:pPr>
      <w:bookmarkStart w:id="6" w:name="_Toc92105761"/>
      <w:r w:rsidRPr="00B610CA">
        <w:lastRenderedPageBreak/>
        <w:t>5</w:t>
      </w:r>
      <w:r w:rsidR="00E21AF2" w:rsidRPr="00B610CA">
        <w:t xml:space="preserve">. </w:t>
      </w:r>
      <w:r w:rsidR="00FC789E" w:rsidRPr="00B610CA">
        <w:t>Resumen del</w:t>
      </w:r>
      <w:r w:rsidR="00FC789E" w:rsidRPr="00FC789E">
        <w:t xml:space="preserve"> cumplimiento del Plan de Trabajo 202</w:t>
      </w:r>
      <w:r w:rsidR="00E21AF2">
        <w:t>1</w:t>
      </w:r>
      <w:bookmarkEnd w:id="6"/>
    </w:p>
    <w:p w14:paraId="6F39AA5D" w14:textId="6495CA15" w:rsidR="00FC789E" w:rsidRDefault="00FC789E" w:rsidP="00FC789E">
      <w:r w:rsidRPr="00FC789E">
        <w:t>La siguiente tabla muestra las actividades planificadas del año 202</w:t>
      </w:r>
      <w:r w:rsidR="00E21AF2">
        <w:t>1</w:t>
      </w:r>
      <w:r w:rsidRPr="00FC789E">
        <w:t xml:space="preserve"> y su porcentaje de cumplimiento: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28"/>
        <w:gridCol w:w="1416"/>
        <w:gridCol w:w="850"/>
        <w:gridCol w:w="1133"/>
        <w:gridCol w:w="852"/>
        <w:gridCol w:w="992"/>
        <w:gridCol w:w="2553"/>
      </w:tblGrid>
      <w:tr w:rsidR="00E21AF2" w:rsidRPr="00805934" w14:paraId="09563CB4" w14:textId="77777777" w:rsidTr="0029073B">
        <w:trPr>
          <w:trHeight w:val="555"/>
          <w:tblHeader/>
        </w:trPr>
        <w:tc>
          <w:tcPr>
            <w:tcW w:w="147" w:type="pct"/>
            <w:shd w:val="clear" w:color="auto" w:fill="BDD6EE" w:themeFill="accent1" w:themeFillTint="66"/>
            <w:vAlign w:val="center"/>
            <w:hideMark/>
          </w:tcPr>
          <w:p w14:paraId="105A71C9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751" w:type="pct"/>
            <w:shd w:val="clear" w:color="auto" w:fill="BDD6EE" w:themeFill="accent1" w:themeFillTint="66"/>
            <w:vAlign w:val="center"/>
          </w:tcPr>
          <w:p w14:paraId="78CBF0E0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Objetivo</w:t>
            </w:r>
          </w:p>
        </w:tc>
        <w:tc>
          <w:tcPr>
            <w:tcW w:w="745" w:type="pct"/>
            <w:shd w:val="clear" w:color="auto" w:fill="BDD6EE" w:themeFill="accent1" w:themeFillTint="66"/>
            <w:vAlign w:val="center"/>
            <w:hideMark/>
          </w:tcPr>
          <w:p w14:paraId="42E4BECE" w14:textId="7D40E08F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Meta de </w:t>
            </w:r>
            <w:r w:rsidR="00563B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 UGDA</w:t>
            </w:r>
          </w:p>
        </w:tc>
        <w:tc>
          <w:tcPr>
            <w:tcW w:w="447" w:type="pct"/>
            <w:shd w:val="clear" w:color="auto" w:fill="BDD6EE" w:themeFill="accent1" w:themeFillTint="66"/>
            <w:vAlign w:val="center"/>
          </w:tcPr>
          <w:p w14:paraId="5C78C15F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Unidad de Medida</w:t>
            </w:r>
          </w:p>
        </w:tc>
        <w:tc>
          <w:tcPr>
            <w:tcW w:w="596" w:type="pct"/>
            <w:shd w:val="clear" w:color="auto" w:fill="BDD6EE" w:themeFill="accent1" w:themeFillTint="66"/>
            <w:vAlign w:val="center"/>
          </w:tcPr>
          <w:p w14:paraId="1F9F3FDE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Resultado </w:t>
            </w:r>
          </w:p>
          <w:p w14:paraId="3B61DFC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esperado</w:t>
            </w:r>
          </w:p>
        </w:tc>
        <w:tc>
          <w:tcPr>
            <w:tcW w:w="448" w:type="pct"/>
            <w:shd w:val="clear" w:color="auto" w:fill="BDD6EE" w:themeFill="accent1" w:themeFillTint="66"/>
            <w:vAlign w:val="center"/>
            <w:hideMark/>
          </w:tcPr>
          <w:p w14:paraId="34D26448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522" w:type="pct"/>
            <w:shd w:val="clear" w:color="auto" w:fill="BDD6EE" w:themeFill="accent1" w:themeFillTint="66"/>
            <w:vAlign w:val="center"/>
          </w:tcPr>
          <w:p w14:paraId="065DDE39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0593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1343" w:type="pct"/>
            <w:shd w:val="clear" w:color="auto" w:fill="FFF2CC" w:themeFill="accent4" w:themeFillTint="33"/>
            <w:vAlign w:val="center"/>
          </w:tcPr>
          <w:p w14:paraId="5A22EFCC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Comentarios</w:t>
            </w:r>
          </w:p>
        </w:tc>
      </w:tr>
      <w:tr w:rsidR="00E21AF2" w:rsidRPr="00805934" w14:paraId="448A6311" w14:textId="77777777" w:rsidTr="00E21AF2">
        <w:trPr>
          <w:trHeight w:val="1164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4C6385D4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751" w:type="pct"/>
            <w:vMerge w:val="restart"/>
            <w:vAlign w:val="center"/>
          </w:tcPr>
          <w:p w14:paraId="2111F7F3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6A143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Elaborar y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gestionar</w:t>
            </w:r>
            <w:r w:rsidRPr="006A143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la aprobación de normativas de gestión documental y archivos para garantizar eficiencia y seguridad en las actuaciones del personal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en cuanto al manejo de sus archivos.</w:t>
            </w:r>
          </w:p>
        </w:tc>
        <w:tc>
          <w:tcPr>
            <w:tcW w:w="745" w:type="pct"/>
            <w:shd w:val="clear" w:color="auto" w:fill="auto"/>
          </w:tcPr>
          <w:p w14:paraId="4961E843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a. Gestionar la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revisión y 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aprobación del Manual de Organización de los Archivos de Gestión con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el Gerente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8"/>
              </w:rPr>
              <w:t>Admvo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Financiero y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8"/>
              </w:rPr>
              <w:t>Director Ejecutivo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447" w:type="pct"/>
            <w:vAlign w:val="center"/>
          </w:tcPr>
          <w:p w14:paraId="4C183B04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Documento</w:t>
            </w:r>
          </w:p>
        </w:tc>
        <w:tc>
          <w:tcPr>
            <w:tcW w:w="596" w:type="pct"/>
            <w:vAlign w:val="center"/>
          </w:tcPr>
          <w:p w14:paraId="589CD8C6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Normativas de gestión documental aprobadas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4351958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1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normativa aprobada</w:t>
            </w:r>
          </w:p>
        </w:tc>
        <w:tc>
          <w:tcPr>
            <w:tcW w:w="522" w:type="pct"/>
            <w:vAlign w:val="center"/>
          </w:tcPr>
          <w:p w14:paraId="541A10A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6CA47827" w14:textId="42920A78" w:rsidR="00FC789E" w:rsidRDefault="006E545B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50%.</w:t>
            </w:r>
          </w:p>
          <w:p w14:paraId="06FD7551" w14:textId="37E6AB34" w:rsidR="006E545B" w:rsidRPr="00805934" w:rsidRDefault="006E545B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El manual fue revisado y corregido por el Gerente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8"/>
              </w:rPr>
              <w:t>Admvo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8"/>
              </w:rPr>
              <w:t>. Financiero</w:t>
            </w:r>
            <w:r w:rsidR="006872DE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</w:t>
            </w:r>
          </w:p>
        </w:tc>
      </w:tr>
      <w:tr w:rsidR="00E21AF2" w:rsidRPr="00805934" w14:paraId="28843F17" w14:textId="77777777" w:rsidTr="00E21AF2">
        <w:trPr>
          <w:trHeight w:val="486"/>
        </w:trPr>
        <w:tc>
          <w:tcPr>
            <w:tcW w:w="147" w:type="pct"/>
            <w:vMerge/>
            <w:shd w:val="clear" w:color="auto" w:fill="auto"/>
            <w:vAlign w:val="center"/>
          </w:tcPr>
          <w:p w14:paraId="0C075753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51" w:type="pct"/>
            <w:vMerge/>
          </w:tcPr>
          <w:p w14:paraId="10ADBDF5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14:paraId="745D1952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b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Elaborar tres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procedimientos de la UGDA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y Archivo Central.</w:t>
            </w:r>
          </w:p>
        </w:tc>
        <w:tc>
          <w:tcPr>
            <w:tcW w:w="447" w:type="pct"/>
            <w:vAlign w:val="center"/>
          </w:tcPr>
          <w:p w14:paraId="32A15D4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Procedimiento</w:t>
            </w:r>
          </w:p>
        </w:tc>
        <w:tc>
          <w:tcPr>
            <w:tcW w:w="596" w:type="pct"/>
            <w:vAlign w:val="center"/>
          </w:tcPr>
          <w:p w14:paraId="7383EAEB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P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rocedimientos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la UGDA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6D824D2" w14:textId="17F7014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3 procedimientos</w:t>
            </w:r>
          </w:p>
        </w:tc>
        <w:tc>
          <w:tcPr>
            <w:tcW w:w="522" w:type="pct"/>
            <w:vAlign w:val="center"/>
          </w:tcPr>
          <w:p w14:paraId="4D09520C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3E11F778" w14:textId="3667F0BA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799D7451" w14:textId="361E16E1" w:rsidR="00FC789E" w:rsidRPr="00805934" w:rsidRDefault="008803E7" w:rsidP="006E545B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3 </w:t>
            </w:r>
            <w:r w:rsidR="006E545B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procedimientos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elaborados </w:t>
            </w:r>
            <w:r w:rsidR="00410D18">
              <w:rPr>
                <w:rFonts w:ascii="Calibri" w:hAnsi="Calibri" w:cs="Calibri"/>
                <w:color w:val="000000"/>
                <w:sz w:val="16"/>
                <w:szCs w:val="18"/>
              </w:rPr>
              <w:t>de la UGDA y Archivo Central.</w:t>
            </w:r>
          </w:p>
        </w:tc>
      </w:tr>
      <w:tr w:rsidR="00E21AF2" w:rsidRPr="00805934" w14:paraId="4763BDE4" w14:textId="77777777" w:rsidTr="00E21AF2">
        <w:trPr>
          <w:trHeight w:val="887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74750BFA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751" w:type="pct"/>
            <w:vMerge w:val="restart"/>
            <w:vAlign w:val="center"/>
          </w:tcPr>
          <w:p w14:paraId="49595F9E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7F2168">
              <w:rPr>
                <w:rFonts w:ascii="Calibri" w:hAnsi="Calibri" w:cs="Calibri"/>
                <w:color w:val="000000"/>
                <w:sz w:val="16"/>
                <w:szCs w:val="18"/>
              </w:rPr>
              <w:t>Establecer un sistema funcional de clasificación de documentos mediante la creación o actualización de instrumentos archivísticos del proceso de identificación documental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14:paraId="04B61C86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a.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Solicitar al Comité de Identificación Documental la revisión y aprobación de los instrumentos archivísticos.</w:t>
            </w:r>
          </w:p>
        </w:tc>
        <w:tc>
          <w:tcPr>
            <w:tcW w:w="447" w:type="pct"/>
            <w:vAlign w:val="center"/>
          </w:tcPr>
          <w:p w14:paraId="5970F846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Documento</w:t>
            </w:r>
          </w:p>
        </w:tc>
        <w:tc>
          <w:tcPr>
            <w:tcW w:w="596" w:type="pct"/>
            <w:vAlign w:val="center"/>
          </w:tcPr>
          <w:p w14:paraId="5DF18D17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Repertorios de tipos y ser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ies documentales de cada unidad aprobados por Comité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6BE884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19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repertorios</w:t>
            </w:r>
          </w:p>
        </w:tc>
        <w:tc>
          <w:tcPr>
            <w:tcW w:w="522" w:type="pct"/>
            <w:vAlign w:val="center"/>
          </w:tcPr>
          <w:p w14:paraId="267E7B89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Jorge Callejas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y Comité de Identificación</w:t>
            </w:r>
          </w:p>
        </w:tc>
        <w:tc>
          <w:tcPr>
            <w:tcW w:w="1343" w:type="pct"/>
          </w:tcPr>
          <w:p w14:paraId="7AC4A5B8" w14:textId="6654916C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5D5600A6" w14:textId="71D7AEA5" w:rsidR="00FC789E" w:rsidRPr="00805934" w:rsidRDefault="00975AE2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Las series documentales más importantes han sido aprobadas por las jefaturas. Con </w:t>
            </w:r>
            <w:r w:rsidR="007E28BD">
              <w:rPr>
                <w:rFonts w:ascii="Calibri" w:hAnsi="Calibri" w:cs="Calibri"/>
                <w:color w:val="000000"/>
                <w:sz w:val="16"/>
                <w:szCs w:val="18"/>
              </w:rPr>
              <w:t>esta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información se elaboró el </w:t>
            </w:r>
            <w:r w:rsidR="009B7C29">
              <w:rPr>
                <w:rFonts w:ascii="Calibri" w:hAnsi="Calibri" w:cs="Calibri"/>
                <w:color w:val="000000"/>
                <w:sz w:val="16"/>
                <w:szCs w:val="18"/>
              </w:rPr>
              <w:t>Cuadro de Clasificación Documental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</w:tr>
      <w:tr w:rsidR="00E21AF2" w:rsidRPr="00805934" w14:paraId="203BF7E2" w14:textId="77777777" w:rsidTr="00E21AF2">
        <w:trPr>
          <w:trHeight w:val="887"/>
        </w:trPr>
        <w:tc>
          <w:tcPr>
            <w:tcW w:w="147" w:type="pct"/>
            <w:vMerge/>
            <w:shd w:val="clear" w:color="auto" w:fill="auto"/>
            <w:vAlign w:val="center"/>
          </w:tcPr>
          <w:p w14:paraId="5878A8A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51" w:type="pct"/>
            <w:vMerge/>
            <w:vAlign w:val="center"/>
          </w:tcPr>
          <w:p w14:paraId="27EAB376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14:paraId="71F37075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b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Gestionar la aprobación y publicación del 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Cuadro de Cl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asificación de Documentos (CCD).</w:t>
            </w:r>
          </w:p>
        </w:tc>
        <w:tc>
          <w:tcPr>
            <w:tcW w:w="447" w:type="pct"/>
            <w:vAlign w:val="center"/>
          </w:tcPr>
          <w:p w14:paraId="232E3A5B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Documento</w:t>
            </w:r>
          </w:p>
        </w:tc>
        <w:tc>
          <w:tcPr>
            <w:tcW w:w="596" w:type="pct"/>
            <w:vAlign w:val="center"/>
          </w:tcPr>
          <w:p w14:paraId="3F8186A8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Cuadro de Clasificación Documental completo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y publicado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717AD73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1 CCD</w:t>
            </w:r>
          </w:p>
        </w:tc>
        <w:tc>
          <w:tcPr>
            <w:tcW w:w="522" w:type="pct"/>
            <w:vAlign w:val="center"/>
          </w:tcPr>
          <w:p w14:paraId="12660D7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2478F43B" w14:textId="7EEECCE9" w:rsidR="00CE56EB" w:rsidRDefault="00CE56EB" w:rsidP="00CE56EB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70203FC9" w14:textId="15F95AD8" w:rsidR="00FC789E" w:rsidRPr="00805934" w:rsidRDefault="009B7C29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Cuadro de Clasificación Documental </w:t>
            </w:r>
            <w:r w:rsidR="000C36C7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presentado y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aprobado por el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8"/>
              </w:rPr>
              <w:t>Director Ejecutivo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</w:tr>
      <w:tr w:rsidR="00E21AF2" w:rsidRPr="00805934" w14:paraId="3D6CDDB9" w14:textId="77777777" w:rsidTr="00E21AF2">
        <w:trPr>
          <w:trHeight w:val="887"/>
        </w:trPr>
        <w:tc>
          <w:tcPr>
            <w:tcW w:w="147" w:type="pct"/>
            <w:shd w:val="clear" w:color="auto" w:fill="auto"/>
            <w:vAlign w:val="center"/>
          </w:tcPr>
          <w:p w14:paraId="37A1684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751" w:type="pct"/>
            <w:vAlign w:val="center"/>
          </w:tcPr>
          <w:p w14:paraId="462B2B96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FE40B3">
              <w:rPr>
                <w:rFonts w:ascii="Calibri" w:hAnsi="Calibri" w:cs="Calibri"/>
                <w:color w:val="000000"/>
                <w:sz w:val="16"/>
                <w:szCs w:val="18"/>
              </w:rPr>
              <w:t>Iniciar el proceso institucional de valoración y selección de documentos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14:paraId="0133FCA0" w14:textId="77777777" w:rsidR="00FC789E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Convocar al Comité Institucional de Selección y Eliminación de Documentos (CISED) y brindarles una capacitación. Iniciar la valoración de series documentales.</w:t>
            </w:r>
          </w:p>
        </w:tc>
        <w:tc>
          <w:tcPr>
            <w:tcW w:w="447" w:type="pct"/>
            <w:vAlign w:val="center"/>
          </w:tcPr>
          <w:p w14:paraId="426F4584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Formulario de Valoración Documental</w:t>
            </w:r>
          </w:p>
        </w:tc>
        <w:tc>
          <w:tcPr>
            <w:tcW w:w="596" w:type="pct"/>
            <w:vAlign w:val="center"/>
          </w:tcPr>
          <w:p w14:paraId="41CAA60E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Formularios de Valoración aprobados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65148DF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3 formularios</w:t>
            </w:r>
          </w:p>
        </w:tc>
        <w:tc>
          <w:tcPr>
            <w:tcW w:w="522" w:type="pct"/>
            <w:vAlign w:val="center"/>
          </w:tcPr>
          <w:p w14:paraId="47654810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Jorge Callejas y CISED</w:t>
            </w:r>
          </w:p>
        </w:tc>
        <w:tc>
          <w:tcPr>
            <w:tcW w:w="1343" w:type="pct"/>
          </w:tcPr>
          <w:p w14:paraId="0EEADED7" w14:textId="6628CD16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138A585F" w14:textId="7AE94984" w:rsidR="00FC789E" w:rsidRDefault="00BF3883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CISED inició funciones y aprobó </w:t>
            </w:r>
            <w:r w:rsidR="00842BED">
              <w:rPr>
                <w:rFonts w:ascii="Calibri" w:hAnsi="Calibri" w:cs="Calibri"/>
                <w:color w:val="000000"/>
                <w:sz w:val="16"/>
                <w:szCs w:val="18"/>
              </w:rPr>
              <w:t>1</w:t>
            </w:r>
            <w:r w:rsidR="00F657D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0 formularios de valoración y dos tablas de plazos correspondiente a las </w:t>
            </w:r>
            <w:r w:rsidR="00CB6999">
              <w:rPr>
                <w:rFonts w:ascii="Calibri" w:hAnsi="Calibri" w:cs="Calibri"/>
                <w:color w:val="000000"/>
                <w:sz w:val="16"/>
                <w:szCs w:val="18"/>
              </w:rPr>
              <w:t>u</w:t>
            </w:r>
            <w:r w:rsidR="00F657D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nidades </w:t>
            </w:r>
            <w:r w:rsidR="00CB6999">
              <w:rPr>
                <w:rFonts w:ascii="Calibri" w:hAnsi="Calibri" w:cs="Calibri"/>
                <w:color w:val="000000"/>
                <w:sz w:val="16"/>
                <w:szCs w:val="18"/>
              </w:rPr>
              <w:t>de Transporte y Administración (UACI).</w:t>
            </w:r>
          </w:p>
        </w:tc>
      </w:tr>
      <w:tr w:rsidR="00E21AF2" w:rsidRPr="00805934" w14:paraId="3F0F805B" w14:textId="77777777" w:rsidTr="00E21AF2">
        <w:trPr>
          <w:trHeight w:val="887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1482D84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751" w:type="pct"/>
            <w:vMerge w:val="restart"/>
            <w:vAlign w:val="center"/>
          </w:tcPr>
          <w:p w14:paraId="7AB0D07F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FB0BA5">
              <w:rPr>
                <w:rFonts w:ascii="Calibri" w:hAnsi="Calibri" w:cs="Calibri"/>
                <w:color w:val="000000"/>
                <w:sz w:val="16"/>
                <w:szCs w:val="18"/>
              </w:rPr>
              <w:t>Promover en el personal la gestión eficiente de los documentos y archivos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14:paraId="6C3B7FC3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a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Solicitar la actualización de inventarios de documentos a las unidades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administrativas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y brindarles asesoría.</w:t>
            </w:r>
          </w:p>
        </w:tc>
        <w:tc>
          <w:tcPr>
            <w:tcW w:w="447" w:type="pct"/>
            <w:vAlign w:val="center"/>
          </w:tcPr>
          <w:p w14:paraId="41A13DC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Inventario</w:t>
            </w:r>
          </w:p>
        </w:tc>
        <w:tc>
          <w:tcPr>
            <w:tcW w:w="596" w:type="pct"/>
            <w:vAlign w:val="center"/>
          </w:tcPr>
          <w:p w14:paraId="61CB97F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Inventarios documentales actualizados de cada unidad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administrativa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A92B48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20 inventarios documentales</w:t>
            </w:r>
          </w:p>
        </w:tc>
        <w:tc>
          <w:tcPr>
            <w:tcW w:w="522" w:type="pct"/>
            <w:vAlign w:val="center"/>
          </w:tcPr>
          <w:p w14:paraId="492577CA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 en coordinación con jefaturas</w:t>
            </w:r>
          </w:p>
        </w:tc>
        <w:tc>
          <w:tcPr>
            <w:tcW w:w="1343" w:type="pct"/>
          </w:tcPr>
          <w:p w14:paraId="03DDDA7A" w14:textId="5FEC7160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3D714FCF" w14:textId="22BF81F0" w:rsidR="00FC789E" w:rsidRPr="00805934" w:rsidRDefault="00221895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Jefaturas entregaron sus inventarios según formato </w:t>
            </w:r>
            <w:r w:rsidR="00291017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aprobado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por la UGDA.</w:t>
            </w:r>
          </w:p>
        </w:tc>
      </w:tr>
      <w:tr w:rsidR="00E21AF2" w:rsidRPr="00805934" w14:paraId="3754B3C5" w14:textId="77777777" w:rsidTr="00E21AF2">
        <w:trPr>
          <w:trHeight w:val="659"/>
        </w:trPr>
        <w:tc>
          <w:tcPr>
            <w:tcW w:w="147" w:type="pct"/>
            <w:vMerge/>
            <w:shd w:val="clear" w:color="auto" w:fill="auto"/>
            <w:vAlign w:val="center"/>
          </w:tcPr>
          <w:p w14:paraId="50BBF9D3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51" w:type="pct"/>
            <w:vMerge/>
            <w:vAlign w:val="center"/>
          </w:tcPr>
          <w:p w14:paraId="566BFA87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14:paraId="0776F5F2" w14:textId="77777777" w:rsidR="00FC789E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b. Preparar una capacitación sobre las normativas de gestión documental y archivos para el personal del ILP.</w:t>
            </w:r>
          </w:p>
        </w:tc>
        <w:tc>
          <w:tcPr>
            <w:tcW w:w="447" w:type="pct"/>
            <w:vAlign w:val="center"/>
          </w:tcPr>
          <w:p w14:paraId="79C603C7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Presentación PowerPoint</w:t>
            </w:r>
          </w:p>
        </w:tc>
        <w:tc>
          <w:tcPr>
            <w:tcW w:w="596" w:type="pct"/>
            <w:vAlign w:val="center"/>
          </w:tcPr>
          <w:p w14:paraId="3C8BD258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Presentación y material para capacitar al personal del ILP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B1146EB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1 presentación</w:t>
            </w:r>
          </w:p>
        </w:tc>
        <w:tc>
          <w:tcPr>
            <w:tcW w:w="522" w:type="pct"/>
            <w:vAlign w:val="center"/>
          </w:tcPr>
          <w:p w14:paraId="40DA941E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41DC72D3" w14:textId="77777777" w:rsidR="00AA0117" w:rsidRDefault="00AA0117" w:rsidP="00AA0117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Porcentaje de cumplimiento: 100%.</w:t>
            </w:r>
          </w:p>
          <w:p w14:paraId="1C710836" w14:textId="2C6E2C4A" w:rsidR="00FC789E" w:rsidRDefault="009109A0" w:rsidP="008F634B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Presentación PowerPoint elaborad</w:t>
            </w:r>
            <w:r w:rsidR="00022A17">
              <w:rPr>
                <w:rFonts w:ascii="Calibri" w:hAnsi="Calibri" w:cs="Calibri"/>
                <w:color w:val="000000"/>
                <w:sz w:val="16"/>
                <w:szCs w:val="18"/>
              </w:rPr>
              <w:t>a.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</w:p>
        </w:tc>
      </w:tr>
      <w:tr w:rsidR="00E21AF2" w:rsidRPr="00805934" w14:paraId="1B9237AD" w14:textId="77777777" w:rsidTr="00E21AF2">
        <w:trPr>
          <w:trHeight w:val="659"/>
        </w:trPr>
        <w:tc>
          <w:tcPr>
            <w:tcW w:w="147" w:type="pct"/>
            <w:vMerge/>
            <w:shd w:val="clear" w:color="auto" w:fill="auto"/>
            <w:vAlign w:val="center"/>
          </w:tcPr>
          <w:p w14:paraId="4781503A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51" w:type="pct"/>
            <w:vMerge/>
            <w:vAlign w:val="center"/>
          </w:tcPr>
          <w:p w14:paraId="46EF9BBC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14:paraId="71364CE4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c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</w:t>
            </w:r>
            <w:r w:rsidRPr="00A4278C">
              <w:rPr>
                <w:rFonts w:ascii="Calibri" w:hAnsi="Calibri" w:cs="Calibri"/>
                <w:color w:val="000000"/>
                <w:sz w:val="16"/>
                <w:szCs w:val="18"/>
              </w:rPr>
              <w:t>Socializar</w:t>
            </w:r>
            <w:r w:rsidRPr="00597D05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las normativas de gestión documental y </w:t>
            </w:r>
            <w:r w:rsidRPr="00597D05"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archivos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597D05">
              <w:rPr>
                <w:rFonts w:ascii="Calibri" w:hAnsi="Calibri" w:cs="Calibri"/>
                <w:color w:val="000000"/>
                <w:sz w:val="16"/>
                <w:szCs w:val="18"/>
              </w:rPr>
              <w:t>con el personal del ILP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447" w:type="pct"/>
            <w:vAlign w:val="center"/>
          </w:tcPr>
          <w:p w14:paraId="4B30BF9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Capacitación</w:t>
            </w:r>
          </w:p>
        </w:tc>
        <w:tc>
          <w:tcPr>
            <w:tcW w:w="596" w:type="pct"/>
            <w:vAlign w:val="center"/>
          </w:tcPr>
          <w:p w14:paraId="2833BC62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  <w:highlight w:val="yellow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Sensibilización del personal sobre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normativas de gestión documental y archivos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3CEC6FA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1 capacitación</w:t>
            </w:r>
          </w:p>
        </w:tc>
        <w:tc>
          <w:tcPr>
            <w:tcW w:w="522" w:type="pct"/>
            <w:vAlign w:val="center"/>
          </w:tcPr>
          <w:p w14:paraId="0EB45AB0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Jorge Callejas, personal </w:t>
            </w:r>
            <w:proofErr w:type="spellStart"/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admvo</w:t>
            </w:r>
            <w:proofErr w:type="spellEnd"/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y 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operativo</w:t>
            </w:r>
          </w:p>
        </w:tc>
        <w:tc>
          <w:tcPr>
            <w:tcW w:w="1343" w:type="pct"/>
          </w:tcPr>
          <w:p w14:paraId="18A90091" w14:textId="3B258DD7" w:rsidR="00291017" w:rsidRDefault="00291017" w:rsidP="00291017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Porcentaje de cumplimiento: 0%.</w:t>
            </w:r>
          </w:p>
          <w:p w14:paraId="3807BAB3" w14:textId="62DA1234" w:rsidR="00FC789E" w:rsidRPr="00805934" w:rsidRDefault="007A5976" w:rsidP="00022A17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7A5976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Debido a la pandemia y los protocolos de bioseguridad como el </w:t>
            </w:r>
            <w:r w:rsidRPr="007A5976"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distanciamiento social, no se pudieron dar capacitaciones al personal del ILP.</w:t>
            </w:r>
          </w:p>
        </w:tc>
      </w:tr>
      <w:tr w:rsidR="00E21AF2" w:rsidRPr="00805934" w14:paraId="09A004FC" w14:textId="77777777" w:rsidTr="00E21AF2">
        <w:trPr>
          <w:cantSplit/>
          <w:trHeight w:val="418"/>
        </w:trPr>
        <w:tc>
          <w:tcPr>
            <w:tcW w:w="147" w:type="pct"/>
            <w:vMerge w:val="restart"/>
            <w:shd w:val="clear" w:color="auto" w:fill="auto"/>
            <w:vAlign w:val="center"/>
          </w:tcPr>
          <w:p w14:paraId="536EA8BC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lastRenderedPageBreak/>
              <w:t>5</w:t>
            </w:r>
          </w:p>
        </w:tc>
        <w:tc>
          <w:tcPr>
            <w:tcW w:w="751" w:type="pct"/>
            <w:vMerge w:val="restart"/>
            <w:vAlign w:val="center"/>
          </w:tcPr>
          <w:p w14:paraId="574C19AC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304182">
              <w:rPr>
                <w:rFonts w:ascii="Calibri" w:hAnsi="Calibri" w:cs="Calibri"/>
                <w:color w:val="000000"/>
                <w:sz w:val="16"/>
                <w:szCs w:val="18"/>
              </w:rPr>
              <w:t>Desarrollar los procesos técnicos archivísticos en el Archivo Especializado de Expedientes de Legalización y Archivo Central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14:paraId="1D81D279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a. Recepción, control de calidad y organización de los documentos de indicadores recibidos de las unidades operativas y posterior actualización de la información en el Sistema de Legalización.</w:t>
            </w:r>
          </w:p>
          <w:p w14:paraId="18743085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C761983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Tabla de documentos de indicadores recibidos en el archivo y actualizados en el Sistema de Legalización</w:t>
            </w:r>
          </w:p>
        </w:tc>
        <w:tc>
          <w:tcPr>
            <w:tcW w:w="596" w:type="pct"/>
            <w:vAlign w:val="center"/>
          </w:tcPr>
          <w:p w14:paraId="19BD7D1A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En los Informes mensuales de la UGDA: tabla con los documentos de indicadores recibidos y actualizados en el Sistema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74FF00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12 tablas</w:t>
            </w:r>
          </w:p>
        </w:tc>
        <w:tc>
          <w:tcPr>
            <w:tcW w:w="522" w:type="pct"/>
            <w:vAlign w:val="center"/>
          </w:tcPr>
          <w:p w14:paraId="44677173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Evelin Abarca,</w:t>
            </w:r>
          </w:p>
          <w:p w14:paraId="4F78296F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3D05415A" w14:textId="27DD8629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4FDA6D4D" w14:textId="609DF64F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</w:tr>
      <w:tr w:rsidR="00E21AF2" w:rsidRPr="00805934" w14:paraId="6CDE560E" w14:textId="77777777" w:rsidTr="00E21AF2">
        <w:trPr>
          <w:trHeight w:val="836"/>
        </w:trPr>
        <w:tc>
          <w:tcPr>
            <w:tcW w:w="147" w:type="pct"/>
            <w:vMerge/>
            <w:shd w:val="clear" w:color="auto" w:fill="auto"/>
            <w:vAlign w:val="center"/>
          </w:tcPr>
          <w:p w14:paraId="5AEBDB23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51" w:type="pct"/>
            <w:vMerge/>
            <w:vAlign w:val="center"/>
          </w:tcPr>
          <w:p w14:paraId="2542B245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745" w:type="pct"/>
            <w:shd w:val="clear" w:color="auto" w:fill="auto"/>
          </w:tcPr>
          <w:p w14:paraId="0ABDD1C5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b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. Revisión,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inventario, ordenación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y conservación de expedientes de Calificaciones de Interés Social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(INTERNAS).</w:t>
            </w:r>
          </w:p>
        </w:tc>
        <w:tc>
          <w:tcPr>
            <w:tcW w:w="447" w:type="pct"/>
            <w:vAlign w:val="center"/>
          </w:tcPr>
          <w:p w14:paraId="2F2517BB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Inventario</w:t>
            </w:r>
          </w:p>
        </w:tc>
        <w:tc>
          <w:tcPr>
            <w:tcW w:w="596" w:type="pct"/>
            <w:vAlign w:val="center"/>
          </w:tcPr>
          <w:p w14:paraId="3D0C3E5F" w14:textId="0254BC14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Expedientes </w:t>
            </w:r>
            <w:r w:rsidR="00245FAC">
              <w:rPr>
                <w:rFonts w:ascii="Calibri" w:hAnsi="Calibri" w:cs="Calibri"/>
                <w:color w:val="000000"/>
                <w:sz w:val="16"/>
                <w:szCs w:val="18"/>
              </w:rPr>
              <w:t>de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Calificaciones de Interés Social organizados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9C18966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1 inventario</w:t>
            </w:r>
          </w:p>
        </w:tc>
        <w:tc>
          <w:tcPr>
            <w:tcW w:w="522" w:type="pct"/>
            <w:vAlign w:val="center"/>
          </w:tcPr>
          <w:p w14:paraId="30C0BB16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Evelin Abarca</w:t>
            </w:r>
          </w:p>
        </w:tc>
        <w:tc>
          <w:tcPr>
            <w:tcW w:w="1343" w:type="pct"/>
          </w:tcPr>
          <w:p w14:paraId="4805B879" w14:textId="643163B1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6CD61B33" w14:textId="625DEC90" w:rsidR="00FC789E" w:rsidRPr="00805934" w:rsidRDefault="001A5A52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Actividad completada.</w:t>
            </w:r>
          </w:p>
        </w:tc>
      </w:tr>
      <w:tr w:rsidR="00E21AF2" w:rsidRPr="00805934" w14:paraId="4FF5AB54" w14:textId="77777777" w:rsidTr="00E21AF2">
        <w:trPr>
          <w:trHeight w:val="910"/>
        </w:trPr>
        <w:tc>
          <w:tcPr>
            <w:tcW w:w="147" w:type="pct"/>
            <w:shd w:val="clear" w:color="auto" w:fill="auto"/>
            <w:vAlign w:val="center"/>
          </w:tcPr>
          <w:p w14:paraId="289851E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6</w:t>
            </w:r>
          </w:p>
        </w:tc>
        <w:tc>
          <w:tcPr>
            <w:tcW w:w="751" w:type="pct"/>
            <w:vAlign w:val="center"/>
          </w:tcPr>
          <w:p w14:paraId="768A8CF0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Formación del personal de la UGDA en materia de gestión documental y archivística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14:paraId="3C4DCFB8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Recibir cursos y tall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eres que promueva el IAIP o AGN.</w:t>
            </w:r>
          </w:p>
        </w:tc>
        <w:tc>
          <w:tcPr>
            <w:tcW w:w="447" w:type="pct"/>
            <w:vAlign w:val="center"/>
          </w:tcPr>
          <w:p w14:paraId="10269B7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Capacitación</w:t>
            </w:r>
          </w:p>
        </w:tc>
        <w:tc>
          <w:tcPr>
            <w:tcW w:w="596" w:type="pct"/>
            <w:vAlign w:val="center"/>
          </w:tcPr>
          <w:p w14:paraId="3427D57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Capacitaciones en archivística y gestión documental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735F665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Según invitación o disponibilidad</w:t>
            </w:r>
          </w:p>
        </w:tc>
        <w:tc>
          <w:tcPr>
            <w:tcW w:w="522" w:type="pct"/>
            <w:vAlign w:val="center"/>
          </w:tcPr>
          <w:p w14:paraId="6C3A86A9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Evelin Abarca,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72FFE615" w14:textId="6E62D2B6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1C4CF8E8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</w:tr>
      <w:tr w:rsidR="00E21AF2" w:rsidRPr="00805934" w14:paraId="22D059AB" w14:textId="77777777" w:rsidTr="00E21AF2">
        <w:trPr>
          <w:trHeight w:val="726"/>
        </w:trPr>
        <w:tc>
          <w:tcPr>
            <w:tcW w:w="147" w:type="pct"/>
            <w:shd w:val="clear" w:color="auto" w:fill="auto"/>
            <w:vAlign w:val="center"/>
          </w:tcPr>
          <w:p w14:paraId="1EBAA78F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7</w:t>
            </w:r>
          </w:p>
        </w:tc>
        <w:tc>
          <w:tcPr>
            <w:tcW w:w="751" w:type="pct"/>
            <w:vAlign w:val="center"/>
          </w:tcPr>
          <w:p w14:paraId="79BADDF4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Informes y </w:t>
            </w:r>
          </w:p>
          <w:p w14:paraId="10E1E503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Evaluaciones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745" w:type="pct"/>
            <w:shd w:val="clear" w:color="auto" w:fill="auto"/>
          </w:tcPr>
          <w:p w14:paraId="451B51DF" w14:textId="77777777" w:rsidR="00FC789E" w:rsidRPr="00805934" w:rsidRDefault="00FC789E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Elaborar informes mensuales de avan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ces de implementación del SIGDA e informe anual en diciembre.</w:t>
            </w:r>
          </w:p>
        </w:tc>
        <w:tc>
          <w:tcPr>
            <w:tcW w:w="447" w:type="pct"/>
            <w:vAlign w:val="center"/>
          </w:tcPr>
          <w:p w14:paraId="4420B12D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Informe</w:t>
            </w:r>
          </w:p>
        </w:tc>
        <w:tc>
          <w:tcPr>
            <w:tcW w:w="596" w:type="pct"/>
            <w:vAlign w:val="center"/>
          </w:tcPr>
          <w:p w14:paraId="3539EB08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Informe mensual UGDA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/ resumen anual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9FA6A07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22" w:type="pct"/>
            <w:vAlign w:val="center"/>
          </w:tcPr>
          <w:p w14:paraId="66C23308" w14:textId="77777777" w:rsidR="00FC789E" w:rsidRPr="00805934" w:rsidRDefault="00FC789E" w:rsidP="00016224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05934">
              <w:rPr>
                <w:rFonts w:ascii="Calibri" w:hAnsi="Calibri" w:cs="Calibri"/>
                <w:color w:val="000000"/>
                <w:sz w:val="16"/>
                <w:szCs w:val="18"/>
              </w:rPr>
              <w:t>Jorge Callejas</w:t>
            </w:r>
          </w:p>
        </w:tc>
        <w:tc>
          <w:tcPr>
            <w:tcW w:w="1343" w:type="pct"/>
          </w:tcPr>
          <w:p w14:paraId="289A6CD4" w14:textId="2D0579F1" w:rsidR="001E6165" w:rsidRDefault="001E6165" w:rsidP="001E6165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Porcentaje </w:t>
            </w:r>
            <w:r w:rsidR="007561FA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16"/>
                <w:szCs w:val="18"/>
              </w:rPr>
              <w:t>cumplimiento: 100%.</w:t>
            </w:r>
          </w:p>
          <w:p w14:paraId="432CA55B" w14:textId="17A748B6" w:rsidR="00FC789E" w:rsidRPr="00805934" w:rsidRDefault="001505A6" w:rsidP="00016224">
            <w:pPr>
              <w:spacing w:after="0"/>
              <w:jc w:val="left"/>
              <w:rPr>
                <w:rFonts w:ascii="Calibri" w:hAnsi="Calibri" w:cs="Calibri"/>
                <w:color w:val="000000"/>
                <w:sz w:val="16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</w:rPr>
              <w:t>12 informes elaborados y entregados a la Gerencia Administrativa Financiera.</w:t>
            </w:r>
          </w:p>
        </w:tc>
      </w:tr>
    </w:tbl>
    <w:p w14:paraId="0E832A52" w14:textId="77777777" w:rsidR="00FC789E" w:rsidRPr="00FC789E" w:rsidRDefault="00FC789E" w:rsidP="00FC789E"/>
    <w:p w14:paraId="37138D97" w14:textId="32859E91" w:rsidR="000E24F3" w:rsidRDefault="004C6ACB" w:rsidP="000E24F3">
      <w:pPr>
        <w:pStyle w:val="Ttulo1"/>
      </w:pPr>
      <w:bookmarkStart w:id="7" w:name="_Toc92105762"/>
      <w:r>
        <w:t>6</w:t>
      </w:r>
      <w:r w:rsidR="00512BF0">
        <w:t xml:space="preserve">. </w:t>
      </w:r>
      <w:r w:rsidR="000E24F3">
        <w:t>Archivo Central</w:t>
      </w:r>
      <w:bookmarkEnd w:id="7"/>
    </w:p>
    <w:p w14:paraId="042B9F3E" w14:textId="64F82C0B" w:rsidR="000639DC" w:rsidRDefault="000E24F3" w:rsidP="000E24F3">
      <w:r>
        <w:t xml:space="preserve">Las siguientes actividades fueron desempeñadas por </w:t>
      </w:r>
      <w:r w:rsidR="003603DC">
        <w:t>personal de la UGDA</w:t>
      </w:r>
      <w:r w:rsidR="00601D16">
        <w:t>,</w:t>
      </w:r>
      <w:r w:rsidR="003603DC">
        <w:t xml:space="preserve"> </w:t>
      </w:r>
      <w:r w:rsidR="00650F51">
        <w:t xml:space="preserve">Evelin </w:t>
      </w:r>
      <w:r w:rsidR="000C26BB">
        <w:t>Abarca y Jorge Callejas</w:t>
      </w:r>
      <w:r w:rsidR="00291038">
        <w:t>:</w:t>
      </w:r>
    </w:p>
    <w:p w14:paraId="1888C8A5" w14:textId="6941274B" w:rsidR="00FA07DF" w:rsidRDefault="003B61BC" w:rsidP="0002537B">
      <w:pPr>
        <w:pStyle w:val="Prrafodelista"/>
        <w:numPr>
          <w:ilvl w:val="0"/>
          <w:numId w:val="24"/>
        </w:numPr>
      </w:pPr>
      <w:r>
        <w:t xml:space="preserve">Control de calidad </w:t>
      </w:r>
      <w:r w:rsidR="006751A3">
        <w:t>de los</w:t>
      </w:r>
      <w:r>
        <w:t xml:space="preserve"> documentos indicadores recibidos </w:t>
      </w:r>
      <w:r w:rsidR="006751A3">
        <w:t xml:space="preserve">en el Archivo, </w:t>
      </w:r>
      <w:r>
        <w:t xml:space="preserve">y </w:t>
      </w:r>
      <w:r w:rsidR="00085FA2">
        <w:t>registro</w:t>
      </w:r>
      <w:r w:rsidR="00AE188E">
        <w:t xml:space="preserve"> </w:t>
      </w:r>
      <w:r w:rsidR="00256105">
        <w:t xml:space="preserve">de </w:t>
      </w:r>
      <w:r w:rsidR="006751A3">
        <w:t xml:space="preserve">la </w:t>
      </w:r>
      <w:r w:rsidR="00A92A10">
        <w:t xml:space="preserve">recepción </w:t>
      </w:r>
      <w:r w:rsidR="00256105">
        <w:t xml:space="preserve">en </w:t>
      </w:r>
      <w:r>
        <w:t>el Sistema de Legalización.</w:t>
      </w:r>
    </w:p>
    <w:p w14:paraId="5286217B" w14:textId="5E15160F" w:rsidR="00DF1D03" w:rsidRDefault="00700AEF" w:rsidP="0002537B">
      <w:pPr>
        <w:pStyle w:val="Prrafodelista"/>
        <w:numPr>
          <w:ilvl w:val="0"/>
          <w:numId w:val="24"/>
        </w:numPr>
      </w:pPr>
      <w:r>
        <w:t>Revisión, c</w:t>
      </w:r>
      <w:r w:rsidR="00A76E8D">
        <w:t>lasificación</w:t>
      </w:r>
      <w:r w:rsidR="003A6D7A">
        <w:t>, ordenación</w:t>
      </w:r>
      <w:r w:rsidR="00A76E8D">
        <w:t xml:space="preserve"> y resguardo de los documentos remitidos al Arc</w:t>
      </w:r>
      <w:r w:rsidR="00A27AB9">
        <w:t xml:space="preserve">hivo </w:t>
      </w:r>
      <w:r w:rsidR="00A76E8D">
        <w:t xml:space="preserve">por las </w:t>
      </w:r>
      <w:r w:rsidR="006D0AE8">
        <w:t>u</w:t>
      </w:r>
      <w:r w:rsidR="00A76E8D">
        <w:t xml:space="preserve">nidades </w:t>
      </w:r>
      <w:r w:rsidR="006D0AE8">
        <w:t>o</w:t>
      </w:r>
      <w:r w:rsidR="00A76E8D">
        <w:t>perativas</w:t>
      </w:r>
      <w:r w:rsidR="00F350AD">
        <w:t xml:space="preserve"> </w:t>
      </w:r>
      <w:r w:rsidR="0055106F">
        <w:t>en</w:t>
      </w:r>
      <w:r w:rsidR="00F350AD">
        <w:t xml:space="preserve"> los expedientes de legalización.</w:t>
      </w:r>
    </w:p>
    <w:p w14:paraId="7EBF46B8" w14:textId="586A23EB" w:rsidR="002707BB" w:rsidRDefault="002707BB" w:rsidP="00D41E20">
      <w:pPr>
        <w:pStyle w:val="Prrafodelista"/>
        <w:numPr>
          <w:ilvl w:val="0"/>
          <w:numId w:val="24"/>
        </w:numPr>
      </w:pPr>
      <w:r>
        <w:t>Revisión de documentos de indicadores pendientes de recibir en el Archivo, según Sistema.</w:t>
      </w:r>
      <w:r w:rsidR="00047836">
        <w:t xml:space="preserve"> La información se remite por email a la Gerencia y unidades operativas para seguimiento.</w:t>
      </w:r>
    </w:p>
    <w:p w14:paraId="0B08F549" w14:textId="77777777" w:rsidR="00217F30" w:rsidRDefault="007C23F5" w:rsidP="0002537B">
      <w:pPr>
        <w:pStyle w:val="Prrafodelista"/>
        <w:numPr>
          <w:ilvl w:val="0"/>
          <w:numId w:val="24"/>
        </w:numPr>
      </w:pPr>
      <w:r>
        <w:t xml:space="preserve">Creación </w:t>
      </w:r>
      <w:r w:rsidR="00472B77">
        <w:t xml:space="preserve">de </w:t>
      </w:r>
      <w:r w:rsidR="00BA6CCB">
        <w:t>carpetas</w:t>
      </w:r>
      <w:r w:rsidR="00A76E8D">
        <w:t xml:space="preserve"> para </w:t>
      </w:r>
      <w:r>
        <w:t>e</w:t>
      </w:r>
      <w:r w:rsidR="00A76E8D">
        <w:t xml:space="preserve">xpedientes de </w:t>
      </w:r>
      <w:r>
        <w:t>n</w:t>
      </w:r>
      <w:r w:rsidR="00A76E8D">
        <w:t xml:space="preserve">uevo </w:t>
      </w:r>
      <w:r>
        <w:t>i</w:t>
      </w:r>
      <w:r w:rsidR="00A76E8D">
        <w:t>ngreso</w:t>
      </w:r>
      <w:r w:rsidR="00DC30C0">
        <w:t>.</w:t>
      </w:r>
    </w:p>
    <w:p w14:paraId="71B6AF7C" w14:textId="77777777" w:rsidR="004D1E53" w:rsidRDefault="001765A2" w:rsidP="003972A7">
      <w:pPr>
        <w:pStyle w:val="Prrafodelista"/>
        <w:numPr>
          <w:ilvl w:val="0"/>
          <w:numId w:val="24"/>
        </w:numPr>
      </w:pPr>
      <w:r>
        <w:lastRenderedPageBreak/>
        <w:t xml:space="preserve">Atención a las consultas </w:t>
      </w:r>
      <w:r w:rsidR="00FF0092">
        <w:t>y</w:t>
      </w:r>
      <w:r w:rsidR="00FA07DF">
        <w:t xml:space="preserve"> préstamos </w:t>
      </w:r>
      <w:r>
        <w:t xml:space="preserve">de </w:t>
      </w:r>
      <w:r w:rsidR="00FA07DF">
        <w:t>expedientes</w:t>
      </w:r>
      <w:r w:rsidR="00FF0092">
        <w:t>/documentos</w:t>
      </w:r>
      <w:r w:rsidR="00FA07DF">
        <w:t xml:space="preserve"> </w:t>
      </w:r>
      <w:r>
        <w:t>solicitados</w:t>
      </w:r>
      <w:r w:rsidR="00FA07DF">
        <w:t xml:space="preserve"> por </w:t>
      </w:r>
      <w:r w:rsidR="00EA250F">
        <w:t>el personal</w:t>
      </w:r>
      <w:r w:rsidR="00182C4B">
        <w:t xml:space="preserve"> del ILP</w:t>
      </w:r>
      <w:r w:rsidR="00FA07DF">
        <w:t>.</w:t>
      </w:r>
    </w:p>
    <w:p w14:paraId="08770A35" w14:textId="001DA76C" w:rsidR="00225041" w:rsidRDefault="005C10D6" w:rsidP="008D71DD">
      <w:pPr>
        <w:pStyle w:val="Prrafodelista"/>
        <w:numPr>
          <w:ilvl w:val="0"/>
          <w:numId w:val="24"/>
        </w:numPr>
      </w:pPr>
      <w:r>
        <w:t xml:space="preserve">Actualización de </w:t>
      </w:r>
      <w:r w:rsidR="008D71DD" w:rsidRPr="008D71DD">
        <w:t xml:space="preserve">inventario de expedientes </w:t>
      </w:r>
      <w:r w:rsidR="00A67E18">
        <w:t xml:space="preserve">o unidades documentales </w:t>
      </w:r>
      <w:r w:rsidR="008D71DD" w:rsidRPr="008D71DD">
        <w:t xml:space="preserve">que no </w:t>
      </w:r>
      <w:r w:rsidR="000C2605">
        <w:t>han sido inventariad</w:t>
      </w:r>
      <w:r w:rsidR="0090761D">
        <w:t>a</w:t>
      </w:r>
      <w:r w:rsidR="000C2605">
        <w:t>s</w:t>
      </w:r>
      <w:r w:rsidR="008D71DD" w:rsidRPr="008D71DD">
        <w:t>.</w:t>
      </w:r>
    </w:p>
    <w:p w14:paraId="304F5C21" w14:textId="77777777" w:rsidR="00315BD0" w:rsidRDefault="006422FC" w:rsidP="00533055">
      <w:pPr>
        <w:spacing w:after="0" w:line="240" w:lineRule="auto"/>
        <w:jc w:val="center"/>
        <w:rPr>
          <w:b/>
        </w:rPr>
      </w:pPr>
      <w:r>
        <w:rPr>
          <w:b/>
        </w:rPr>
        <w:t xml:space="preserve">INFORME DE RECEPCIÓN </w:t>
      </w:r>
      <w:r w:rsidR="002B7FF3" w:rsidRPr="00533055">
        <w:rPr>
          <w:b/>
        </w:rPr>
        <w:t xml:space="preserve">DE INDICADORES </w:t>
      </w:r>
      <w:r w:rsidR="005F3D79" w:rsidRPr="00533055">
        <w:rPr>
          <w:b/>
        </w:rPr>
        <w:t>E</w:t>
      </w:r>
      <w:r w:rsidR="00A95821">
        <w:rPr>
          <w:b/>
        </w:rPr>
        <w:t xml:space="preserve">N </w:t>
      </w:r>
      <w:r w:rsidR="00315BD0">
        <w:rPr>
          <w:b/>
        </w:rPr>
        <w:t>EL ARCHIVO</w:t>
      </w:r>
    </w:p>
    <w:p w14:paraId="7F9448B5" w14:textId="3BE1206E" w:rsidR="008C20E7" w:rsidRDefault="006422FC" w:rsidP="00533055">
      <w:pPr>
        <w:spacing w:after="0" w:line="240" w:lineRule="auto"/>
        <w:jc w:val="center"/>
        <w:rPr>
          <w:b/>
        </w:rPr>
      </w:pPr>
      <w:r>
        <w:rPr>
          <w:b/>
        </w:rPr>
        <w:t>DICIEMBRE</w:t>
      </w:r>
      <w:r w:rsidR="005F3D79" w:rsidRPr="00533055">
        <w:rPr>
          <w:b/>
        </w:rPr>
        <w:t xml:space="preserve"> </w:t>
      </w:r>
      <w:r w:rsidR="00F66EB1">
        <w:rPr>
          <w:b/>
        </w:rPr>
        <w:t>202</w:t>
      </w:r>
      <w:r w:rsidR="00CB794B">
        <w:rPr>
          <w:b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5"/>
        <w:gridCol w:w="5975"/>
        <w:gridCol w:w="1007"/>
      </w:tblGrid>
      <w:tr w:rsidR="00E55253" w:rsidRPr="00E55253" w14:paraId="0D22C1A4" w14:textId="77777777" w:rsidTr="00E55253">
        <w:trPr>
          <w:trHeight w:val="255"/>
          <w:tblHeader/>
        </w:trPr>
        <w:tc>
          <w:tcPr>
            <w:tcW w:w="2355" w:type="dxa"/>
            <w:noWrap/>
            <w:vAlign w:val="center"/>
            <w:hideMark/>
          </w:tcPr>
          <w:p w14:paraId="0CC953D0" w14:textId="1E5DF8EA" w:rsidR="00E55253" w:rsidRPr="00E55253" w:rsidRDefault="00E55253" w:rsidP="00E55253">
            <w:pPr>
              <w:jc w:val="center"/>
              <w:rPr>
                <w:b/>
                <w:bCs/>
              </w:rPr>
            </w:pPr>
            <w:r w:rsidRPr="00E55253">
              <w:rPr>
                <w:b/>
                <w:bCs/>
              </w:rPr>
              <w:t>PROGRAMA</w:t>
            </w:r>
          </w:p>
        </w:tc>
        <w:tc>
          <w:tcPr>
            <w:tcW w:w="5975" w:type="dxa"/>
            <w:noWrap/>
            <w:vAlign w:val="center"/>
            <w:hideMark/>
          </w:tcPr>
          <w:p w14:paraId="22A11061" w14:textId="522F35B1" w:rsidR="00E55253" w:rsidRPr="00E55253" w:rsidRDefault="00E55253" w:rsidP="00E55253">
            <w:pPr>
              <w:jc w:val="center"/>
              <w:rPr>
                <w:b/>
                <w:bCs/>
              </w:rPr>
            </w:pPr>
            <w:r w:rsidRPr="00E55253">
              <w:rPr>
                <w:b/>
                <w:bCs/>
              </w:rPr>
              <w:t>INDICADOR</w:t>
            </w:r>
          </w:p>
        </w:tc>
        <w:tc>
          <w:tcPr>
            <w:tcW w:w="1007" w:type="dxa"/>
            <w:noWrap/>
            <w:vAlign w:val="center"/>
            <w:hideMark/>
          </w:tcPr>
          <w:p w14:paraId="17FE2D76" w14:textId="3F75355C" w:rsidR="00E55253" w:rsidRPr="00E55253" w:rsidRDefault="00E55253" w:rsidP="00E55253">
            <w:pPr>
              <w:jc w:val="center"/>
              <w:rPr>
                <w:b/>
                <w:bCs/>
              </w:rPr>
            </w:pPr>
            <w:r w:rsidRPr="00E55253">
              <w:rPr>
                <w:b/>
                <w:bCs/>
              </w:rPr>
              <w:t>TOTAL</w:t>
            </w:r>
          </w:p>
        </w:tc>
      </w:tr>
      <w:tr w:rsidR="00E55253" w:rsidRPr="00E55253" w14:paraId="56D65489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096B65C8" w14:textId="77777777" w:rsidR="00E55253" w:rsidRPr="00E55253" w:rsidRDefault="00E55253">
            <w:r w:rsidRPr="00E55253">
              <w:t xml:space="preserve">Convenio El Mozote </w:t>
            </w:r>
            <w:proofErr w:type="spellStart"/>
            <w:r w:rsidRPr="00E55253">
              <w:t>MiVi</w:t>
            </w:r>
            <w:proofErr w:type="spellEnd"/>
          </w:p>
        </w:tc>
        <w:tc>
          <w:tcPr>
            <w:tcW w:w="5975" w:type="dxa"/>
            <w:noWrap/>
            <w:hideMark/>
          </w:tcPr>
          <w:p w14:paraId="782C5BC8" w14:textId="77777777" w:rsidR="00E55253" w:rsidRPr="00E55253" w:rsidRDefault="00E55253">
            <w:r w:rsidRPr="00E55253">
              <w:t>11. Rev. y Resol. Plano Perímetro A.P./ Validación y Emisión</w:t>
            </w:r>
          </w:p>
        </w:tc>
        <w:tc>
          <w:tcPr>
            <w:tcW w:w="1007" w:type="dxa"/>
            <w:noWrap/>
            <w:vAlign w:val="center"/>
            <w:hideMark/>
          </w:tcPr>
          <w:p w14:paraId="58C9F55A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470B1DA8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7775F99D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03F5E0D1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0ABE713E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6436C49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107D9079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3C1C2EA6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20367517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72A03315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42037B6" w14:textId="77777777" w:rsidR="00E55253" w:rsidRPr="00E55253" w:rsidRDefault="00E55253" w:rsidP="00E55253">
            <w:r w:rsidRPr="00E55253">
              <w:t>Convenio Familias Sostenibles 2020</w:t>
            </w:r>
          </w:p>
        </w:tc>
        <w:tc>
          <w:tcPr>
            <w:tcW w:w="5975" w:type="dxa"/>
            <w:noWrap/>
            <w:hideMark/>
          </w:tcPr>
          <w:p w14:paraId="030601B6" w14:textId="77777777" w:rsidR="00E55253" w:rsidRPr="00E55253" w:rsidRDefault="00E55253">
            <w:r w:rsidRPr="00E55253">
              <w:t>07. Procesamiento y Elaboración de Planos</w:t>
            </w:r>
          </w:p>
        </w:tc>
        <w:tc>
          <w:tcPr>
            <w:tcW w:w="1007" w:type="dxa"/>
            <w:noWrap/>
            <w:vAlign w:val="center"/>
            <w:hideMark/>
          </w:tcPr>
          <w:p w14:paraId="187C4643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755BC826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06D4AD0F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27FFD8D0" w14:textId="77777777" w:rsidR="00E55253" w:rsidRPr="00E55253" w:rsidRDefault="00E55253">
            <w:r w:rsidRPr="00E55253">
              <w:t>17. Mantenimiento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1D2D7E87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69909CF4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D1A421A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5366D9A7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2BB8BF53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695A92F8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6BE2399E" w14:textId="77777777" w:rsidR="00E55253" w:rsidRPr="00E55253" w:rsidRDefault="00E55253" w:rsidP="00E55253">
            <w:r w:rsidRPr="00E55253">
              <w:t>Convenio Familias Sostenibles-FONAVIPO</w:t>
            </w:r>
          </w:p>
        </w:tc>
        <w:tc>
          <w:tcPr>
            <w:tcW w:w="5975" w:type="dxa"/>
            <w:noWrap/>
            <w:hideMark/>
          </w:tcPr>
          <w:p w14:paraId="60C961B3" w14:textId="77777777" w:rsidR="00E55253" w:rsidRPr="00E55253" w:rsidRDefault="00E55253">
            <w:r w:rsidRPr="00E55253">
              <w:t>11. Rev. y Resol. Plano Perímetro A.P./ Validación y Emisión</w:t>
            </w:r>
          </w:p>
        </w:tc>
        <w:tc>
          <w:tcPr>
            <w:tcW w:w="1007" w:type="dxa"/>
            <w:noWrap/>
            <w:vAlign w:val="center"/>
            <w:hideMark/>
          </w:tcPr>
          <w:p w14:paraId="28B6013F" w14:textId="77777777" w:rsidR="00E55253" w:rsidRPr="00E55253" w:rsidRDefault="00E55253" w:rsidP="00E55253">
            <w:pPr>
              <w:jc w:val="center"/>
            </w:pPr>
            <w:r w:rsidRPr="00E55253">
              <w:t>4</w:t>
            </w:r>
          </w:p>
        </w:tc>
      </w:tr>
      <w:tr w:rsidR="00E55253" w:rsidRPr="00E55253" w14:paraId="350A0A6A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2C52011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6F6BFC32" w14:textId="77777777" w:rsidR="00E55253" w:rsidRPr="00E55253" w:rsidRDefault="00E55253">
            <w:r w:rsidRPr="00E55253">
              <w:t>12. Elaboración de Descripciones Técnicas</w:t>
            </w:r>
          </w:p>
        </w:tc>
        <w:tc>
          <w:tcPr>
            <w:tcW w:w="1007" w:type="dxa"/>
            <w:noWrap/>
            <w:vAlign w:val="center"/>
            <w:hideMark/>
          </w:tcPr>
          <w:p w14:paraId="1CB70A12" w14:textId="77777777" w:rsidR="00E55253" w:rsidRPr="00E55253" w:rsidRDefault="00E55253" w:rsidP="00E55253">
            <w:pPr>
              <w:jc w:val="center"/>
            </w:pPr>
            <w:r w:rsidRPr="00E55253">
              <w:t>2</w:t>
            </w:r>
          </w:p>
        </w:tc>
      </w:tr>
      <w:tr w:rsidR="00E55253" w:rsidRPr="00E55253" w14:paraId="2D5961C6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D3E4EFC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3A690884" w14:textId="77777777" w:rsidR="00E55253" w:rsidRPr="00E55253" w:rsidRDefault="00E55253">
            <w:r w:rsidRPr="00E55253">
              <w:t>13. Escrituración de Actos Previos</w:t>
            </w:r>
          </w:p>
        </w:tc>
        <w:tc>
          <w:tcPr>
            <w:tcW w:w="1007" w:type="dxa"/>
            <w:noWrap/>
            <w:vAlign w:val="center"/>
            <w:hideMark/>
          </w:tcPr>
          <w:p w14:paraId="6A788A2A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111DE879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908ADB6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3CFD1594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5431AF46" w14:textId="77777777" w:rsidR="00E55253" w:rsidRPr="00E55253" w:rsidRDefault="00E55253" w:rsidP="00E55253">
            <w:pPr>
              <w:jc w:val="center"/>
            </w:pPr>
            <w:r w:rsidRPr="00E55253">
              <w:t>4</w:t>
            </w:r>
          </w:p>
        </w:tc>
      </w:tr>
      <w:tr w:rsidR="00E55253" w:rsidRPr="00E55253" w14:paraId="670E232C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436C2DD8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282780AD" w14:textId="77777777" w:rsidR="00E55253" w:rsidRPr="00E55253" w:rsidRDefault="00E55253">
            <w:r w:rsidRPr="00E55253">
              <w:t>17. Mantenimiento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0E803216" w14:textId="77777777" w:rsidR="00E55253" w:rsidRPr="00E55253" w:rsidRDefault="00E55253" w:rsidP="00E55253">
            <w:pPr>
              <w:jc w:val="center"/>
            </w:pPr>
            <w:r w:rsidRPr="00E55253">
              <w:t>71</w:t>
            </w:r>
          </w:p>
        </w:tc>
      </w:tr>
      <w:tr w:rsidR="00E55253" w:rsidRPr="00E55253" w14:paraId="73CCC6AB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4683D22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4DFDF547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22B779EA" w14:textId="77777777" w:rsidR="00E55253" w:rsidRPr="00E55253" w:rsidRDefault="00E55253" w:rsidP="00E55253">
            <w:pPr>
              <w:jc w:val="center"/>
            </w:pPr>
            <w:r w:rsidRPr="00E55253">
              <w:t>7</w:t>
            </w:r>
          </w:p>
        </w:tc>
      </w:tr>
      <w:tr w:rsidR="00E55253" w:rsidRPr="00E55253" w14:paraId="01B985A9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11EE84F6" w14:textId="77777777" w:rsidR="00E55253" w:rsidRPr="00E55253" w:rsidRDefault="00E55253" w:rsidP="00E55253">
            <w:r w:rsidRPr="00E55253">
              <w:t>Convenio FOSAFFI</w:t>
            </w:r>
          </w:p>
        </w:tc>
        <w:tc>
          <w:tcPr>
            <w:tcW w:w="5975" w:type="dxa"/>
            <w:noWrap/>
            <w:hideMark/>
          </w:tcPr>
          <w:p w14:paraId="066F8825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7FC69E72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3B2E50A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45495CD1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2A7A8F27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3AD291C0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7E41E4C5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7AD8478A" w14:textId="77777777" w:rsidR="00E55253" w:rsidRPr="00E55253" w:rsidRDefault="00E55253" w:rsidP="00E55253">
            <w:r w:rsidRPr="00E55253">
              <w:t xml:space="preserve">Convenio </w:t>
            </w:r>
            <w:proofErr w:type="spellStart"/>
            <w:r w:rsidRPr="00E55253">
              <w:t>Fundasal</w:t>
            </w:r>
            <w:proofErr w:type="spellEnd"/>
          </w:p>
        </w:tc>
        <w:tc>
          <w:tcPr>
            <w:tcW w:w="5975" w:type="dxa"/>
            <w:noWrap/>
            <w:hideMark/>
          </w:tcPr>
          <w:p w14:paraId="563D8087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10789D94" w14:textId="77777777" w:rsidR="00E55253" w:rsidRPr="00E55253" w:rsidRDefault="00E55253" w:rsidP="00E55253">
            <w:pPr>
              <w:jc w:val="center"/>
            </w:pPr>
            <w:r w:rsidRPr="00E55253">
              <w:t>2</w:t>
            </w:r>
          </w:p>
        </w:tc>
      </w:tr>
      <w:tr w:rsidR="00E55253" w:rsidRPr="00E55253" w14:paraId="7A8C7D44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40F247A3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29B30B9D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54D13FE1" w14:textId="77777777" w:rsidR="00E55253" w:rsidRPr="00E55253" w:rsidRDefault="00E55253" w:rsidP="00E55253">
            <w:pPr>
              <w:jc w:val="center"/>
            </w:pPr>
            <w:r w:rsidRPr="00E55253">
              <w:t>2</w:t>
            </w:r>
          </w:p>
        </w:tc>
      </w:tr>
      <w:tr w:rsidR="00E55253" w:rsidRPr="00E55253" w14:paraId="49D851FB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7AAE946F" w14:textId="77777777" w:rsidR="00E55253" w:rsidRPr="00E55253" w:rsidRDefault="00E55253" w:rsidP="00E55253">
            <w:r w:rsidRPr="00E55253">
              <w:t>Convenio MINEDUCYT</w:t>
            </w:r>
          </w:p>
        </w:tc>
        <w:tc>
          <w:tcPr>
            <w:tcW w:w="5975" w:type="dxa"/>
            <w:noWrap/>
            <w:hideMark/>
          </w:tcPr>
          <w:p w14:paraId="1681548C" w14:textId="1A83922E" w:rsidR="00E55253" w:rsidRPr="00E55253" w:rsidRDefault="00E55253">
            <w:r w:rsidRPr="00E55253">
              <w:t>01. Investigación Registral y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7A9539D3" w14:textId="77777777" w:rsidR="00E55253" w:rsidRPr="00E55253" w:rsidRDefault="00E55253" w:rsidP="00E55253">
            <w:pPr>
              <w:jc w:val="center"/>
            </w:pPr>
            <w:r w:rsidRPr="00E55253">
              <w:t>11</w:t>
            </w:r>
          </w:p>
        </w:tc>
      </w:tr>
      <w:tr w:rsidR="00E55253" w:rsidRPr="00E55253" w14:paraId="457179AC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0ACDED9E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19217B4D" w14:textId="77777777" w:rsidR="00E55253" w:rsidRPr="00E55253" w:rsidRDefault="00E55253">
            <w:r w:rsidRPr="00E55253">
              <w:t>02. Inspección Técnica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3483F597" w14:textId="77777777" w:rsidR="00E55253" w:rsidRPr="00E55253" w:rsidRDefault="00E55253" w:rsidP="00E55253">
            <w:pPr>
              <w:jc w:val="center"/>
            </w:pPr>
            <w:r w:rsidRPr="00E55253">
              <w:t>4</w:t>
            </w:r>
          </w:p>
        </w:tc>
      </w:tr>
      <w:tr w:rsidR="00E55253" w:rsidRPr="00E55253" w14:paraId="4708320E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D5590D4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46A1EA95" w14:textId="77777777" w:rsidR="00E55253" w:rsidRPr="00E55253" w:rsidRDefault="00E55253">
            <w:r w:rsidRPr="00E55253">
              <w:t>05. Informe Final del Diagnóstico / Calificación Jurídica</w:t>
            </w:r>
          </w:p>
        </w:tc>
        <w:tc>
          <w:tcPr>
            <w:tcW w:w="1007" w:type="dxa"/>
            <w:noWrap/>
            <w:vAlign w:val="center"/>
            <w:hideMark/>
          </w:tcPr>
          <w:p w14:paraId="4CB1409A" w14:textId="77777777" w:rsidR="00E55253" w:rsidRPr="00E55253" w:rsidRDefault="00E55253" w:rsidP="00E55253">
            <w:pPr>
              <w:jc w:val="center"/>
            </w:pPr>
            <w:r w:rsidRPr="00E55253">
              <w:t>22</w:t>
            </w:r>
          </w:p>
        </w:tc>
      </w:tr>
      <w:tr w:rsidR="00E55253" w:rsidRPr="00E55253" w14:paraId="57DD82D4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0752252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48B27875" w14:textId="77777777" w:rsidR="00E55253" w:rsidRPr="00E55253" w:rsidRDefault="00E55253">
            <w:r w:rsidRPr="00E55253">
              <w:t>07. Procesamiento y Elaboración de Planos</w:t>
            </w:r>
          </w:p>
        </w:tc>
        <w:tc>
          <w:tcPr>
            <w:tcW w:w="1007" w:type="dxa"/>
            <w:noWrap/>
            <w:vAlign w:val="center"/>
            <w:hideMark/>
          </w:tcPr>
          <w:p w14:paraId="01C40416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6DD24EBE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67F0D9C1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1DDEB0AF" w14:textId="77777777" w:rsidR="00E55253" w:rsidRPr="00E55253" w:rsidRDefault="00E55253">
            <w:r w:rsidRPr="00E55253">
              <w:t>08. Aprobación Técnica de Planos</w:t>
            </w:r>
          </w:p>
        </w:tc>
        <w:tc>
          <w:tcPr>
            <w:tcW w:w="1007" w:type="dxa"/>
            <w:noWrap/>
            <w:vAlign w:val="center"/>
            <w:hideMark/>
          </w:tcPr>
          <w:p w14:paraId="032CEED0" w14:textId="77777777" w:rsidR="00E55253" w:rsidRPr="00E55253" w:rsidRDefault="00E55253" w:rsidP="00E55253">
            <w:pPr>
              <w:jc w:val="center"/>
            </w:pPr>
            <w:r w:rsidRPr="00E55253">
              <w:t>52</w:t>
            </w:r>
          </w:p>
        </w:tc>
      </w:tr>
      <w:tr w:rsidR="00E55253" w:rsidRPr="00E55253" w14:paraId="7F737D30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3823BD2C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4E1D0BFD" w14:textId="77777777" w:rsidR="00E55253" w:rsidRPr="00E55253" w:rsidRDefault="00E55253">
            <w:r w:rsidRPr="00E55253">
              <w:t>11. Rev. y Resol. Plano Perímetro A.P./ Validación y Emisión</w:t>
            </w:r>
          </w:p>
        </w:tc>
        <w:tc>
          <w:tcPr>
            <w:tcW w:w="1007" w:type="dxa"/>
            <w:noWrap/>
            <w:vAlign w:val="center"/>
            <w:hideMark/>
          </w:tcPr>
          <w:p w14:paraId="4B61BBEE" w14:textId="77777777" w:rsidR="00E55253" w:rsidRPr="00E55253" w:rsidRDefault="00E55253" w:rsidP="00E55253">
            <w:pPr>
              <w:jc w:val="center"/>
            </w:pPr>
            <w:r w:rsidRPr="00E55253">
              <w:t>8</w:t>
            </w:r>
          </w:p>
        </w:tc>
      </w:tr>
      <w:tr w:rsidR="00E55253" w:rsidRPr="00E55253" w14:paraId="30954C0D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0C969194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075B870D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5D58BE9C" w14:textId="77777777" w:rsidR="00E55253" w:rsidRPr="00E55253" w:rsidRDefault="00E55253" w:rsidP="00E55253">
            <w:pPr>
              <w:jc w:val="center"/>
            </w:pPr>
            <w:r w:rsidRPr="00E55253">
              <w:t>13</w:t>
            </w:r>
          </w:p>
        </w:tc>
      </w:tr>
      <w:tr w:rsidR="00E55253" w:rsidRPr="00E55253" w14:paraId="6DC43D78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6A935F58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32BD9DE4" w14:textId="77777777" w:rsidR="00E55253" w:rsidRPr="00E55253" w:rsidRDefault="00E55253">
            <w:r w:rsidRPr="00E55253">
              <w:t>17. Mantenimiento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2F5F1563" w14:textId="77777777" w:rsidR="00E55253" w:rsidRPr="00E55253" w:rsidRDefault="00E55253" w:rsidP="00E55253">
            <w:pPr>
              <w:jc w:val="center"/>
            </w:pPr>
            <w:r w:rsidRPr="00E55253">
              <w:t>5</w:t>
            </w:r>
          </w:p>
        </w:tc>
      </w:tr>
      <w:tr w:rsidR="00E55253" w:rsidRPr="00E55253" w14:paraId="5CC41BAD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1C7721E0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215B5CD4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4904EB4F" w14:textId="77777777" w:rsidR="00E55253" w:rsidRPr="00E55253" w:rsidRDefault="00E55253" w:rsidP="00E55253">
            <w:pPr>
              <w:jc w:val="center"/>
            </w:pPr>
            <w:r w:rsidRPr="00E55253">
              <w:t>19</w:t>
            </w:r>
          </w:p>
        </w:tc>
      </w:tr>
      <w:tr w:rsidR="00E55253" w:rsidRPr="00E55253" w14:paraId="16ADCE4B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6A669DDA" w14:textId="77777777" w:rsidR="00E55253" w:rsidRPr="00E55253" w:rsidRDefault="00E55253" w:rsidP="00E55253">
            <w:r w:rsidRPr="00E55253">
              <w:t>Legalización Institucional</w:t>
            </w:r>
          </w:p>
        </w:tc>
        <w:tc>
          <w:tcPr>
            <w:tcW w:w="5975" w:type="dxa"/>
            <w:noWrap/>
            <w:hideMark/>
          </w:tcPr>
          <w:p w14:paraId="7DC2A482" w14:textId="77777777" w:rsidR="00E55253" w:rsidRPr="00E55253" w:rsidRDefault="00E55253">
            <w:r w:rsidRPr="00E55253">
              <w:t>05. Informe Final del Diagnóstico / Calificación Jurídica</w:t>
            </w:r>
          </w:p>
        </w:tc>
        <w:tc>
          <w:tcPr>
            <w:tcW w:w="1007" w:type="dxa"/>
            <w:noWrap/>
            <w:vAlign w:val="center"/>
            <w:hideMark/>
          </w:tcPr>
          <w:p w14:paraId="2F2E1A25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477A143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4CFC659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51F91986" w14:textId="77777777" w:rsidR="00E55253" w:rsidRPr="00E55253" w:rsidRDefault="00E55253">
            <w:r w:rsidRPr="00E55253">
              <w:t>13. Escrituración de Actos Previos</w:t>
            </w:r>
          </w:p>
        </w:tc>
        <w:tc>
          <w:tcPr>
            <w:tcW w:w="1007" w:type="dxa"/>
            <w:noWrap/>
            <w:vAlign w:val="center"/>
            <w:hideMark/>
          </w:tcPr>
          <w:p w14:paraId="5C5517AC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038030F8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3165C5E4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28657BBE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5848FF8A" w14:textId="77777777" w:rsidR="00E55253" w:rsidRPr="00E55253" w:rsidRDefault="00E55253" w:rsidP="00E55253">
            <w:pPr>
              <w:jc w:val="center"/>
            </w:pPr>
            <w:r w:rsidRPr="00E55253">
              <w:t>44</w:t>
            </w:r>
          </w:p>
        </w:tc>
      </w:tr>
      <w:tr w:rsidR="00E55253" w:rsidRPr="00E55253" w14:paraId="5324E080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67E359C8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17F836A2" w14:textId="77777777" w:rsidR="00E55253" w:rsidRPr="00E55253" w:rsidRDefault="00E55253">
            <w:r w:rsidRPr="00E55253">
              <w:t>17. Mantenimiento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2854AAB0" w14:textId="77777777" w:rsidR="00E55253" w:rsidRPr="00E55253" w:rsidRDefault="00E55253" w:rsidP="00E55253">
            <w:pPr>
              <w:jc w:val="center"/>
            </w:pPr>
            <w:r w:rsidRPr="00E55253">
              <w:t>43</w:t>
            </w:r>
          </w:p>
        </w:tc>
      </w:tr>
      <w:tr w:rsidR="00E55253" w:rsidRPr="00E55253" w14:paraId="7A80B2D8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48C5820A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5C1A96EB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031C94AF" w14:textId="77777777" w:rsidR="00E55253" w:rsidRPr="00E55253" w:rsidRDefault="00E55253" w:rsidP="00E55253">
            <w:pPr>
              <w:jc w:val="center"/>
            </w:pPr>
            <w:r w:rsidRPr="00E55253">
              <w:t>84</w:t>
            </w:r>
          </w:p>
        </w:tc>
      </w:tr>
      <w:tr w:rsidR="00E55253" w:rsidRPr="00E55253" w14:paraId="168CAC7E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365A0E4B" w14:textId="77777777" w:rsidR="00E55253" w:rsidRPr="00E55253" w:rsidRDefault="00E55253" w:rsidP="00E55253">
            <w:r w:rsidRPr="00E55253">
              <w:t xml:space="preserve">Legalización Institucional </w:t>
            </w:r>
            <w:proofErr w:type="spellStart"/>
            <w:r w:rsidRPr="00E55253">
              <w:t>MiVi</w:t>
            </w:r>
            <w:proofErr w:type="spellEnd"/>
          </w:p>
        </w:tc>
        <w:tc>
          <w:tcPr>
            <w:tcW w:w="5975" w:type="dxa"/>
            <w:noWrap/>
            <w:hideMark/>
          </w:tcPr>
          <w:p w14:paraId="37E32D89" w14:textId="77777777" w:rsidR="00E55253" w:rsidRPr="00E55253" w:rsidRDefault="00E55253">
            <w:r w:rsidRPr="00E55253">
              <w:t>01. Diagnóstico de Campo / Ficha Jurídica</w:t>
            </w:r>
          </w:p>
        </w:tc>
        <w:tc>
          <w:tcPr>
            <w:tcW w:w="1007" w:type="dxa"/>
            <w:noWrap/>
            <w:vAlign w:val="center"/>
            <w:hideMark/>
          </w:tcPr>
          <w:p w14:paraId="2156B5E4" w14:textId="77777777" w:rsidR="00E55253" w:rsidRPr="00E55253" w:rsidRDefault="00E55253" w:rsidP="00E55253">
            <w:pPr>
              <w:jc w:val="center"/>
            </w:pPr>
            <w:r w:rsidRPr="00E55253">
              <w:t>3</w:t>
            </w:r>
          </w:p>
        </w:tc>
      </w:tr>
      <w:tr w:rsidR="00E55253" w:rsidRPr="00E55253" w14:paraId="0C8ED05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DC22E3F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0D7503E0" w14:textId="77777777" w:rsidR="00E55253" w:rsidRPr="00E55253" w:rsidRDefault="00E55253">
            <w:r w:rsidRPr="00E55253">
              <w:t>02. Inspección Técnica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5D226BCF" w14:textId="77777777" w:rsidR="00E55253" w:rsidRPr="00E55253" w:rsidRDefault="00E55253" w:rsidP="00E55253">
            <w:pPr>
              <w:jc w:val="center"/>
            </w:pPr>
            <w:r w:rsidRPr="00E55253">
              <w:t>2</w:t>
            </w:r>
          </w:p>
        </w:tc>
      </w:tr>
      <w:tr w:rsidR="00E55253" w:rsidRPr="00E55253" w14:paraId="56E0C0E5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DDAB7BF" w14:textId="77777777" w:rsidR="00E55253" w:rsidRPr="00E55253" w:rsidRDefault="00E55253" w:rsidP="00E55253">
            <w:r w:rsidRPr="00E55253">
              <w:lastRenderedPageBreak/>
              <w:t> </w:t>
            </w:r>
          </w:p>
        </w:tc>
        <w:tc>
          <w:tcPr>
            <w:tcW w:w="5975" w:type="dxa"/>
            <w:noWrap/>
            <w:hideMark/>
          </w:tcPr>
          <w:p w14:paraId="2AC8120C" w14:textId="77777777" w:rsidR="00E55253" w:rsidRPr="00E55253" w:rsidRDefault="00E55253">
            <w:r w:rsidRPr="00E55253">
              <w:t>05. Informe Final del Diagnóstico / Calificación Jurídica</w:t>
            </w:r>
          </w:p>
        </w:tc>
        <w:tc>
          <w:tcPr>
            <w:tcW w:w="1007" w:type="dxa"/>
            <w:noWrap/>
            <w:vAlign w:val="center"/>
            <w:hideMark/>
          </w:tcPr>
          <w:p w14:paraId="58693345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442DBF62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07550170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6324DCE8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183BAB77" w14:textId="77777777" w:rsidR="00E55253" w:rsidRPr="00E55253" w:rsidRDefault="00E55253" w:rsidP="00E55253">
            <w:pPr>
              <w:jc w:val="center"/>
            </w:pPr>
            <w:r w:rsidRPr="00E55253">
              <w:t>8</w:t>
            </w:r>
          </w:p>
        </w:tc>
      </w:tr>
      <w:tr w:rsidR="00E55253" w:rsidRPr="00E55253" w14:paraId="1FBDE51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A13F38F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5A73906F" w14:textId="77777777" w:rsidR="00E55253" w:rsidRPr="00E55253" w:rsidRDefault="00E55253">
            <w:r w:rsidRPr="00E55253">
              <w:t>17. Mantenimiento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1E78EA36" w14:textId="77777777" w:rsidR="00E55253" w:rsidRPr="00E55253" w:rsidRDefault="00E55253" w:rsidP="00E55253">
            <w:pPr>
              <w:jc w:val="center"/>
            </w:pPr>
            <w:r w:rsidRPr="00E55253">
              <w:t>7</w:t>
            </w:r>
          </w:p>
        </w:tc>
      </w:tr>
      <w:tr w:rsidR="00E55253" w:rsidRPr="00E55253" w14:paraId="1FDA9D5F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309BA01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3731A9BB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07493DF5" w14:textId="77777777" w:rsidR="00E55253" w:rsidRPr="00E55253" w:rsidRDefault="00E55253" w:rsidP="00E55253">
            <w:pPr>
              <w:jc w:val="center"/>
            </w:pPr>
            <w:r w:rsidRPr="00E55253">
              <w:t>8</w:t>
            </w:r>
          </w:p>
        </w:tc>
      </w:tr>
      <w:tr w:rsidR="00E55253" w:rsidRPr="00E55253" w14:paraId="32EC3FD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0D41649" w14:textId="77777777" w:rsidR="00E55253" w:rsidRPr="00E55253" w:rsidRDefault="00E55253" w:rsidP="00E55253">
            <w:r w:rsidRPr="00E55253">
              <w:t>Plan Control Territorial</w:t>
            </w:r>
          </w:p>
        </w:tc>
        <w:tc>
          <w:tcPr>
            <w:tcW w:w="5975" w:type="dxa"/>
            <w:noWrap/>
            <w:hideMark/>
          </w:tcPr>
          <w:p w14:paraId="0367C105" w14:textId="77777777" w:rsidR="00E55253" w:rsidRPr="00E55253" w:rsidRDefault="00E55253">
            <w:r w:rsidRPr="00E55253">
              <w:t>02. Inspección Técnica Catastral</w:t>
            </w:r>
          </w:p>
        </w:tc>
        <w:tc>
          <w:tcPr>
            <w:tcW w:w="1007" w:type="dxa"/>
            <w:noWrap/>
            <w:vAlign w:val="center"/>
            <w:hideMark/>
          </w:tcPr>
          <w:p w14:paraId="3E648FC5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1D9ACA18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2C595187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799973A4" w14:textId="77777777" w:rsidR="00E55253" w:rsidRPr="00E55253" w:rsidRDefault="00E55253">
            <w:r w:rsidRPr="00E55253">
              <w:t>03. Análisis Jurídicos</w:t>
            </w:r>
          </w:p>
        </w:tc>
        <w:tc>
          <w:tcPr>
            <w:tcW w:w="1007" w:type="dxa"/>
            <w:noWrap/>
            <w:vAlign w:val="center"/>
            <w:hideMark/>
          </w:tcPr>
          <w:p w14:paraId="0EF66559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7E5BB9F7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647CE7D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1BC96E19" w14:textId="77777777" w:rsidR="00E55253" w:rsidRPr="00E55253" w:rsidRDefault="00E55253">
            <w:r w:rsidRPr="00E55253">
              <w:t>04. Estudios Registrales</w:t>
            </w:r>
          </w:p>
        </w:tc>
        <w:tc>
          <w:tcPr>
            <w:tcW w:w="1007" w:type="dxa"/>
            <w:noWrap/>
            <w:vAlign w:val="center"/>
            <w:hideMark/>
          </w:tcPr>
          <w:p w14:paraId="19918303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6383DB25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1FFA3B8F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5DCB961E" w14:textId="77777777" w:rsidR="00E55253" w:rsidRPr="00E55253" w:rsidRDefault="00E55253">
            <w:r w:rsidRPr="00E55253">
              <w:t>05. Informe Final del Diagnóstico / Calificación Jurídica</w:t>
            </w:r>
          </w:p>
        </w:tc>
        <w:tc>
          <w:tcPr>
            <w:tcW w:w="1007" w:type="dxa"/>
            <w:noWrap/>
            <w:vAlign w:val="center"/>
            <w:hideMark/>
          </w:tcPr>
          <w:p w14:paraId="664AED70" w14:textId="77777777" w:rsidR="00E55253" w:rsidRPr="00E55253" w:rsidRDefault="00E55253" w:rsidP="00E55253">
            <w:pPr>
              <w:jc w:val="center"/>
            </w:pPr>
            <w:r w:rsidRPr="00E55253">
              <w:t>1</w:t>
            </w:r>
          </w:p>
        </w:tc>
      </w:tr>
      <w:tr w:rsidR="00E55253" w:rsidRPr="00E55253" w14:paraId="28D6BEA1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47B0523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0E8102BC" w14:textId="77777777" w:rsidR="00E55253" w:rsidRPr="00E55253" w:rsidRDefault="00E55253">
            <w:r w:rsidRPr="00E55253">
              <w:t>07. Procesamiento y Elaboración de Planos</w:t>
            </w:r>
          </w:p>
        </w:tc>
        <w:tc>
          <w:tcPr>
            <w:tcW w:w="1007" w:type="dxa"/>
            <w:noWrap/>
            <w:vAlign w:val="center"/>
            <w:hideMark/>
          </w:tcPr>
          <w:p w14:paraId="065292CF" w14:textId="77777777" w:rsidR="00E55253" w:rsidRPr="00E55253" w:rsidRDefault="00E55253" w:rsidP="00E55253">
            <w:pPr>
              <w:jc w:val="center"/>
            </w:pPr>
            <w:r w:rsidRPr="00E55253">
              <w:t>4</w:t>
            </w:r>
          </w:p>
        </w:tc>
      </w:tr>
      <w:tr w:rsidR="00E55253" w:rsidRPr="00E55253" w14:paraId="5E2F6B02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15BFF81" w14:textId="77777777" w:rsidR="00E55253" w:rsidRPr="00E55253" w:rsidRDefault="00E55253" w:rsidP="00E55253">
            <w:r w:rsidRPr="00E55253">
              <w:t>Reasentamiento Familias en Riesgo FONAVIPO-ILP Eta</w:t>
            </w:r>
          </w:p>
        </w:tc>
        <w:tc>
          <w:tcPr>
            <w:tcW w:w="5975" w:type="dxa"/>
            <w:noWrap/>
            <w:hideMark/>
          </w:tcPr>
          <w:p w14:paraId="5165C99C" w14:textId="77777777" w:rsidR="00E55253" w:rsidRPr="00E55253" w:rsidRDefault="00E55253">
            <w:r w:rsidRPr="00E55253">
              <w:t>16. Escrituración Individual</w:t>
            </w:r>
          </w:p>
        </w:tc>
        <w:tc>
          <w:tcPr>
            <w:tcW w:w="1007" w:type="dxa"/>
            <w:noWrap/>
            <w:vAlign w:val="center"/>
            <w:hideMark/>
          </w:tcPr>
          <w:p w14:paraId="48F44608" w14:textId="77777777" w:rsidR="00E55253" w:rsidRPr="00E55253" w:rsidRDefault="00E55253" w:rsidP="00E55253">
            <w:pPr>
              <w:jc w:val="center"/>
            </w:pPr>
            <w:r w:rsidRPr="00E55253">
              <w:t>6</w:t>
            </w:r>
          </w:p>
        </w:tc>
      </w:tr>
      <w:tr w:rsidR="00E55253" w:rsidRPr="00E55253" w14:paraId="4EE9B224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5C291E37" w14:textId="77777777" w:rsidR="00E55253" w:rsidRPr="00E55253" w:rsidRDefault="00E55253" w:rsidP="00E55253">
            <w:r w:rsidRPr="00E55253">
              <w:t> </w:t>
            </w:r>
          </w:p>
        </w:tc>
        <w:tc>
          <w:tcPr>
            <w:tcW w:w="5975" w:type="dxa"/>
            <w:noWrap/>
            <w:hideMark/>
          </w:tcPr>
          <w:p w14:paraId="307912CD" w14:textId="77777777" w:rsidR="00E55253" w:rsidRPr="00E55253" w:rsidRDefault="00E55253">
            <w:r w:rsidRPr="00E55253">
              <w:t>18. Inscripción de Documentos</w:t>
            </w:r>
          </w:p>
        </w:tc>
        <w:tc>
          <w:tcPr>
            <w:tcW w:w="1007" w:type="dxa"/>
            <w:noWrap/>
            <w:vAlign w:val="center"/>
            <w:hideMark/>
          </w:tcPr>
          <w:p w14:paraId="2FD30EC0" w14:textId="77777777" w:rsidR="00E55253" w:rsidRPr="00E55253" w:rsidRDefault="00E55253" w:rsidP="00E55253">
            <w:pPr>
              <w:jc w:val="center"/>
            </w:pPr>
            <w:r w:rsidRPr="00E55253">
              <w:t>6</w:t>
            </w:r>
          </w:p>
        </w:tc>
      </w:tr>
      <w:tr w:rsidR="00E55253" w:rsidRPr="00E55253" w14:paraId="0AAD7CF3" w14:textId="77777777" w:rsidTr="00E55253">
        <w:trPr>
          <w:trHeight w:val="255"/>
        </w:trPr>
        <w:tc>
          <w:tcPr>
            <w:tcW w:w="2355" w:type="dxa"/>
            <w:noWrap/>
            <w:hideMark/>
          </w:tcPr>
          <w:p w14:paraId="7663F979" w14:textId="2AD9A614" w:rsidR="00E55253" w:rsidRPr="00E55253" w:rsidRDefault="00E55253" w:rsidP="00E55253"/>
        </w:tc>
        <w:tc>
          <w:tcPr>
            <w:tcW w:w="5975" w:type="dxa"/>
            <w:noWrap/>
            <w:vAlign w:val="center"/>
            <w:hideMark/>
          </w:tcPr>
          <w:p w14:paraId="74669476" w14:textId="1A4FD321" w:rsidR="00E55253" w:rsidRPr="00E55253" w:rsidRDefault="00E55253" w:rsidP="00E55253">
            <w:pPr>
              <w:jc w:val="right"/>
              <w:rPr>
                <w:b/>
                <w:bCs/>
              </w:rPr>
            </w:pPr>
            <w:r w:rsidRPr="00E55253">
              <w:rPr>
                <w:b/>
                <w:bCs/>
              </w:rPr>
              <w:t> </w:t>
            </w:r>
            <w:proofErr w:type="gramStart"/>
            <w:r w:rsidR="0098691F" w:rsidRPr="00E55253">
              <w:rPr>
                <w:b/>
                <w:bCs/>
              </w:rPr>
              <w:t>TOTAL</w:t>
            </w:r>
            <w:proofErr w:type="gramEnd"/>
            <w:r w:rsidR="0098691F" w:rsidRPr="00E55253">
              <w:rPr>
                <w:b/>
                <w:bCs/>
              </w:rPr>
              <w:t xml:space="preserve"> GENERAL</w:t>
            </w:r>
          </w:p>
        </w:tc>
        <w:tc>
          <w:tcPr>
            <w:tcW w:w="1007" w:type="dxa"/>
            <w:noWrap/>
            <w:vAlign w:val="center"/>
            <w:hideMark/>
          </w:tcPr>
          <w:p w14:paraId="1E5A564D" w14:textId="77777777" w:rsidR="00E55253" w:rsidRPr="00E55253" w:rsidRDefault="00E55253" w:rsidP="00E55253">
            <w:pPr>
              <w:jc w:val="center"/>
              <w:rPr>
                <w:b/>
                <w:bCs/>
              </w:rPr>
            </w:pPr>
            <w:r w:rsidRPr="00E55253">
              <w:rPr>
                <w:b/>
                <w:bCs/>
              </w:rPr>
              <w:t>458</w:t>
            </w:r>
          </w:p>
        </w:tc>
      </w:tr>
    </w:tbl>
    <w:p w14:paraId="1E328665" w14:textId="77777777" w:rsidR="00AE4582" w:rsidRPr="00991071" w:rsidRDefault="00AE4582" w:rsidP="00790746"/>
    <w:sectPr w:rsidR="00AE4582" w:rsidRPr="00991071" w:rsidSect="002E54FF">
      <w:headerReference w:type="default" r:id="rId15"/>
      <w:footerReference w:type="default" r:id="rId16"/>
      <w:pgSz w:w="12240" w:h="15840" w:code="1"/>
      <w:pgMar w:top="1814" w:right="1418" w:bottom="1418" w:left="1701" w:header="851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CEFF" w14:textId="77777777" w:rsidR="0053536D" w:rsidRDefault="0053536D" w:rsidP="00046EAD">
      <w:pPr>
        <w:spacing w:after="0" w:line="240" w:lineRule="auto"/>
      </w:pPr>
      <w:r>
        <w:separator/>
      </w:r>
    </w:p>
  </w:endnote>
  <w:endnote w:type="continuationSeparator" w:id="0">
    <w:p w14:paraId="787AB264" w14:textId="77777777" w:rsidR="0053536D" w:rsidRDefault="0053536D" w:rsidP="0004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93DA" w14:textId="1700137B" w:rsidR="003972A7" w:rsidRDefault="003972A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  <w:lang w:val="es-ES"/>
      </w:rPr>
      <w:t>Página</w:t>
    </w:r>
    <w:r>
      <w:rPr>
        <w:color w:val="8496B0" w:themeColor="text2" w:themeTint="99"/>
        <w:szCs w:val="24"/>
        <w:lang w:val="es-ES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861411" w:rsidRPr="00861411">
      <w:rPr>
        <w:noProof/>
        <w:color w:val="323E4F" w:themeColor="text2" w:themeShade="BF"/>
        <w:szCs w:val="24"/>
        <w:lang w:val="es-ES"/>
      </w:rPr>
      <w:t>4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  <w:lang w:val="es-ES"/>
      </w:rPr>
      <w:t xml:space="preserve"> | </w:t>
    </w:r>
    <w:r>
      <w:rPr>
        <w:color w:val="323E4F" w:themeColor="text2" w:themeShade="BF"/>
        <w:szCs w:val="24"/>
        <w:lang w:val="es-ES"/>
      </w:rPr>
      <w:fldChar w:fldCharType="begin"/>
    </w:r>
    <w:r>
      <w:rPr>
        <w:color w:val="323E4F" w:themeColor="text2" w:themeShade="BF"/>
        <w:szCs w:val="24"/>
        <w:lang w:val="es-ES"/>
      </w:rPr>
      <w:instrText xml:space="preserve"> SECTIONPAGES  \* Arabic  \* MERGEFORMAT </w:instrText>
    </w:r>
    <w:r>
      <w:rPr>
        <w:color w:val="323E4F" w:themeColor="text2" w:themeShade="BF"/>
        <w:szCs w:val="24"/>
        <w:lang w:val="es-ES"/>
      </w:rPr>
      <w:fldChar w:fldCharType="separate"/>
    </w:r>
    <w:r w:rsidR="00304D97">
      <w:rPr>
        <w:noProof/>
        <w:color w:val="323E4F" w:themeColor="text2" w:themeShade="BF"/>
        <w:szCs w:val="24"/>
        <w:lang w:val="es-ES"/>
      </w:rPr>
      <w:t>9</w:t>
    </w:r>
    <w:r>
      <w:rPr>
        <w:color w:val="323E4F" w:themeColor="text2" w:themeShade="BF"/>
        <w:szCs w:val="24"/>
        <w:lang w:val="es-ES"/>
      </w:rPr>
      <w:fldChar w:fldCharType="end"/>
    </w:r>
  </w:p>
  <w:p w14:paraId="2E5AC094" w14:textId="77777777" w:rsidR="003972A7" w:rsidRDefault="00397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E25E" w14:textId="77777777" w:rsidR="0053536D" w:rsidRDefault="0053536D" w:rsidP="00046EAD">
      <w:pPr>
        <w:spacing w:after="0" w:line="240" w:lineRule="auto"/>
      </w:pPr>
      <w:r>
        <w:separator/>
      </w:r>
    </w:p>
  </w:footnote>
  <w:footnote w:type="continuationSeparator" w:id="0">
    <w:p w14:paraId="6364C35E" w14:textId="77777777" w:rsidR="0053536D" w:rsidRDefault="0053536D" w:rsidP="0004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EADF" w14:textId="7212584E" w:rsidR="00262693" w:rsidRDefault="00346BB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29CED" wp14:editId="6DEA6612">
          <wp:simplePos x="0" y="0"/>
          <wp:positionH relativeFrom="column">
            <wp:posOffset>635</wp:posOffset>
          </wp:positionH>
          <wp:positionV relativeFrom="paragraph">
            <wp:posOffset>-53671</wp:posOffset>
          </wp:positionV>
          <wp:extent cx="1637542" cy="595878"/>
          <wp:effectExtent l="0" t="0" r="127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542" cy="595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C66"/>
    <w:multiLevelType w:val="hybridMultilevel"/>
    <w:tmpl w:val="4DB0A962"/>
    <w:lvl w:ilvl="0" w:tplc="CDB2E5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5EB6"/>
    <w:multiLevelType w:val="hybridMultilevel"/>
    <w:tmpl w:val="01989452"/>
    <w:lvl w:ilvl="0" w:tplc="F8BE1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4003"/>
    <w:multiLevelType w:val="hybridMultilevel"/>
    <w:tmpl w:val="483ED6F0"/>
    <w:lvl w:ilvl="0" w:tplc="B94AC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3083A"/>
    <w:multiLevelType w:val="hybridMultilevel"/>
    <w:tmpl w:val="5CB4F39A"/>
    <w:lvl w:ilvl="0" w:tplc="E35242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D042D"/>
    <w:multiLevelType w:val="hybridMultilevel"/>
    <w:tmpl w:val="A61C1FD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823"/>
    <w:multiLevelType w:val="hybridMultilevel"/>
    <w:tmpl w:val="A46EA6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6EA4"/>
    <w:multiLevelType w:val="hybridMultilevel"/>
    <w:tmpl w:val="1E9CA3D2"/>
    <w:lvl w:ilvl="0" w:tplc="C5CEF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54AD5"/>
    <w:multiLevelType w:val="hybridMultilevel"/>
    <w:tmpl w:val="1BDC1D3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568"/>
    <w:multiLevelType w:val="hybridMultilevel"/>
    <w:tmpl w:val="0474501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3D20"/>
    <w:multiLevelType w:val="multilevel"/>
    <w:tmpl w:val="A9106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57762C"/>
    <w:multiLevelType w:val="hybridMultilevel"/>
    <w:tmpl w:val="D4E61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82AA7"/>
    <w:multiLevelType w:val="hybridMultilevel"/>
    <w:tmpl w:val="3CECAA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67BD6"/>
    <w:multiLevelType w:val="hybridMultilevel"/>
    <w:tmpl w:val="4B08E5D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18F"/>
    <w:multiLevelType w:val="hybridMultilevel"/>
    <w:tmpl w:val="98BE2F6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28A2"/>
    <w:multiLevelType w:val="hybridMultilevel"/>
    <w:tmpl w:val="063C75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81C36"/>
    <w:multiLevelType w:val="hybridMultilevel"/>
    <w:tmpl w:val="028878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20D4E"/>
    <w:multiLevelType w:val="hybridMultilevel"/>
    <w:tmpl w:val="1814126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E35A5"/>
    <w:multiLevelType w:val="hybridMultilevel"/>
    <w:tmpl w:val="60867BCE"/>
    <w:lvl w:ilvl="0" w:tplc="1812A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DEE8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4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E4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6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C6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2C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CC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87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151351"/>
    <w:multiLevelType w:val="hybridMultilevel"/>
    <w:tmpl w:val="5DC236B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107914"/>
    <w:multiLevelType w:val="hybridMultilevel"/>
    <w:tmpl w:val="8B781C82"/>
    <w:lvl w:ilvl="0" w:tplc="F8D6C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B1AD7"/>
    <w:multiLevelType w:val="hybridMultilevel"/>
    <w:tmpl w:val="38DA5B8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4C35"/>
    <w:multiLevelType w:val="hybridMultilevel"/>
    <w:tmpl w:val="7F3CA03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4E4899"/>
    <w:multiLevelType w:val="hybridMultilevel"/>
    <w:tmpl w:val="ACA852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D0FCD"/>
    <w:multiLevelType w:val="multilevel"/>
    <w:tmpl w:val="B5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2D6953"/>
    <w:multiLevelType w:val="hybridMultilevel"/>
    <w:tmpl w:val="E9D09034"/>
    <w:lvl w:ilvl="0" w:tplc="7E1C9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EDF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89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EA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8F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0D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22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01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6A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E02090"/>
    <w:multiLevelType w:val="hybridMultilevel"/>
    <w:tmpl w:val="DC681C4E"/>
    <w:lvl w:ilvl="0" w:tplc="B94AC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C3B48"/>
    <w:multiLevelType w:val="hybridMultilevel"/>
    <w:tmpl w:val="0074BF7E"/>
    <w:lvl w:ilvl="0" w:tplc="B94AC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81491"/>
    <w:multiLevelType w:val="hybridMultilevel"/>
    <w:tmpl w:val="8BB62E46"/>
    <w:lvl w:ilvl="0" w:tplc="B94AC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13AF1"/>
    <w:multiLevelType w:val="hybridMultilevel"/>
    <w:tmpl w:val="EE98E5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27E5E"/>
    <w:multiLevelType w:val="hybridMultilevel"/>
    <w:tmpl w:val="6E5632FE"/>
    <w:lvl w:ilvl="0" w:tplc="A3CC6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92190"/>
    <w:multiLevelType w:val="hybridMultilevel"/>
    <w:tmpl w:val="700C1E7C"/>
    <w:lvl w:ilvl="0" w:tplc="B94AC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7085A"/>
    <w:multiLevelType w:val="multilevel"/>
    <w:tmpl w:val="2C54D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00D6D91"/>
    <w:multiLevelType w:val="hybridMultilevel"/>
    <w:tmpl w:val="945401F4"/>
    <w:lvl w:ilvl="0" w:tplc="40BCFE3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92B1B"/>
    <w:multiLevelType w:val="hybridMultilevel"/>
    <w:tmpl w:val="CC7688DC"/>
    <w:lvl w:ilvl="0" w:tplc="440A0017">
      <w:start w:val="1"/>
      <w:numFmt w:val="lowerLetter"/>
      <w:lvlText w:val="%1)"/>
      <w:lvlJc w:val="left"/>
      <w:pPr>
        <w:ind w:left="830" w:hanging="360"/>
      </w:pPr>
    </w:lvl>
    <w:lvl w:ilvl="1" w:tplc="440A0019" w:tentative="1">
      <w:start w:val="1"/>
      <w:numFmt w:val="lowerLetter"/>
      <w:lvlText w:val="%2."/>
      <w:lvlJc w:val="left"/>
      <w:pPr>
        <w:ind w:left="1550" w:hanging="360"/>
      </w:pPr>
    </w:lvl>
    <w:lvl w:ilvl="2" w:tplc="440A001B" w:tentative="1">
      <w:start w:val="1"/>
      <w:numFmt w:val="lowerRoman"/>
      <w:lvlText w:val="%3."/>
      <w:lvlJc w:val="right"/>
      <w:pPr>
        <w:ind w:left="2270" w:hanging="180"/>
      </w:pPr>
    </w:lvl>
    <w:lvl w:ilvl="3" w:tplc="440A000F" w:tentative="1">
      <w:start w:val="1"/>
      <w:numFmt w:val="decimal"/>
      <w:lvlText w:val="%4."/>
      <w:lvlJc w:val="left"/>
      <w:pPr>
        <w:ind w:left="2990" w:hanging="360"/>
      </w:pPr>
    </w:lvl>
    <w:lvl w:ilvl="4" w:tplc="440A0019" w:tentative="1">
      <w:start w:val="1"/>
      <w:numFmt w:val="lowerLetter"/>
      <w:lvlText w:val="%5."/>
      <w:lvlJc w:val="left"/>
      <w:pPr>
        <w:ind w:left="3710" w:hanging="360"/>
      </w:pPr>
    </w:lvl>
    <w:lvl w:ilvl="5" w:tplc="440A001B" w:tentative="1">
      <w:start w:val="1"/>
      <w:numFmt w:val="lowerRoman"/>
      <w:lvlText w:val="%6."/>
      <w:lvlJc w:val="right"/>
      <w:pPr>
        <w:ind w:left="4430" w:hanging="180"/>
      </w:pPr>
    </w:lvl>
    <w:lvl w:ilvl="6" w:tplc="440A000F" w:tentative="1">
      <w:start w:val="1"/>
      <w:numFmt w:val="decimal"/>
      <w:lvlText w:val="%7."/>
      <w:lvlJc w:val="left"/>
      <w:pPr>
        <w:ind w:left="5150" w:hanging="360"/>
      </w:pPr>
    </w:lvl>
    <w:lvl w:ilvl="7" w:tplc="440A0019" w:tentative="1">
      <w:start w:val="1"/>
      <w:numFmt w:val="lowerLetter"/>
      <w:lvlText w:val="%8."/>
      <w:lvlJc w:val="left"/>
      <w:pPr>
        <w:ind w:left="5870" w:hanging="360"/>
      </w:pPr>
    </w:lvl>
    <w:lvl w:ilvl="8" w:tplc="440A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4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13"/>
  </w:num>
  <w:num w:numId="10">
    <w:abstractNumId w:val="14"/>
  </w:num>
  <w:num w:numId="11">
    <w:abstractNumId w:val="22"/>
  </w:num>
  <w:num w:numId="12">
    <w:abstractNumId w:val="15"/>
  </w:num>
  <w:num w:numId="13">
    <w:abstractNumId w:val="5"/>
  </w:num>
  <w:num w:numId="14">
    <w:abstractNumId w:val="11"/>
  </w:num>
  <w:num w:numId="15">
    <w:abstractNumId w:val="0"/>
  </w:num>
  <w:num w:numId="16">
    <w:abstractNumId w:val="25"/>
  </w:num>
  <w:num w:numId="17">
    <w:abstractNumId w:val="30"/>
  </w:num>
  <w:num w:numId="18">
    <w:abstractNumId w:val="21"/>
  </w:num>
  <w:num w:numId="19">
    <w:abstractNumId w:val="9"/>
  </w:num>
  <w:num w:numId="20">
    <w:abstractNumId w:val="31"/>
  </w:num>
  <w:num w:numId="21">
    <w:abstractNumId w:val="17"/>
  </w:num>
  <w:num w:numId="22">
    <w:abstractNumId w:val="24"/>
  </w:num>
  <w:num w:numId="23">
    <w:abstractNumId w:val="6"/>
  </w:num>
  <w:num w:numId="24">
    <w:abstractNumId w:val="29"/>
  </w:num>
  <w:num w:numId="25">
    <w:abstractNumId w:val="32"/>
  </w:num>
  <w:num w:numId="26">
    <w:abstractNumId w:val="10"/>
  </w:num>
  <w:num w:numId="27">
    <w:abstractNumId w:val="19"/>
  </w:num>
  <w:num w:numId="28">
    <w:abstractNumId w:val="27"/>
  </w:num>
  <w:num w:numId="29">
    <w:abstractNumId w:val="18"/>
  </w:num>
  <w:num w:numId="30">
    <w:abstractNumId w:val="23"/>
  </w:num>
  <w:num w:numId="31">
    <w:abstractNumId w:val="3"/>
  </w:num>
  <w:num w:numId="32">
    <w:abstractNumId w:val="20"/>
  </w:num>
  <w:num w:numId="33">
    <w:abstractNumId w:val="3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205"/>
    <w:rsid w:val="00000B8F"/>
    <w:rsid w:val="00000C97"/>
    <w:rsid w:val="00000CA3"/>
    <w:rsid w:val="000013C8"/>
    <w:rsid w:val="000015BE"/>
    <w:rsid w:val="00001646"/>
    <w:rsid w:val="00001D5C"/>
    <w:rsid w:val="00001FC1"/>
    <w:rsid w:val="0000242C"/>
    <w:rsid w:val="00003C7D"/>
    <w:rsid w:val="00004868"/>
    <w:rsid w:val="00004AFF"/>
    <w:rsid w:val="00004F60"/>
    <w:rsid w:val="00005499"/>
    <w:rsid w:val="000059AE"/>
    <w:rsid w:val="00006153"/>
    <w:rsid w:val="000067B2"/>
    <w:rsid w:val="00006882"/>
    <w:rsid w:val="000075B8"/>
    <w:rsid w:val="000076F2"/>
    <w:rsid w:val="0000772E"/>
    <w:rsid w:val="00010212"/>
    <w:rsid w:val="0001098D"/>
    <w:rsid w:val="00010A4D"/>
    <w:rsid w:val="0001111D"/>
    <w:rsid w:val="000111BE"/>
    <w:rsid w:val="0001163E"/>
    <w:rsid w:val="00011804"/>
    <w:rsid w:val="00011D6F"/>
    <w:rsid w:val="00011F2E"/>
    <w:rsid w:val="000127BF"/>
    <w:rsid w:val="00012DBD"/>
    <w:rsid w:val="0001318C"/>
    <w:rsid w:val="0001439E"/>
    <w:rsid w:val="00014DF0"/>
    <w:rsid w:val="00015111"/>
    <w:rsid w:val="000151F6"/>
    <w:rsid w:val="00015372"/>
    <w:rsid w:val="00015B23"/>
    <w:rsid w:val="000161C4"/>
    <w:rsid w:val="00016F55"/>
    <w:rsid w:val="00016FFC"/>
    <w:rsid w:val="000176E4"/>
    <w:rsid w:val="0001795C"/>
    <w:rsid w:val="00017A08"/>
    <w:rsid w:val="00017BBA"/>
    <w:rsid w:val="00017C5E"/>
    <w:rsid w:val="000203AE"/>
    <w:rsid w:val="00020788"/>
    <w:rsid w:val="00020F55"/>
    <w:rsid w:val="000217ED"/>
    <w:rsid w:val="00021CB9"/>
    <w:rsid w:val="00022556"/>
    <w:rsid w:val="00022560"/>
    <w:rsid w:val="00022A17"/>
    <w:rsid w:val="000230AA"/>
    <w:rsid w:val="00023741"/>
    <w:rsid w:val="0002396B"/>
    <w:rsid w:val="000248A3"/>
    <w:rsid w:val="000249C2"/>
    <w:rsid w:val="00024CB6"/>
    <w:rsid w:val="00025318"/>
    <w:rsid w:val="0002537B"/>
    <w:rsid w:val="00026668"/>
    <w:rsid w:val="000269C2"/>
    <w:rsid w:val="00027ED9"/>
    <w:rsid w:val="00027FAB"/>
    <w:rsid w:val="00027FB0"/>
    <w:rsid w:val="00030093"/>
    <w:rsid w:val="00030156"/>
    <w:rsid w:val="00030616"/>
    <w:rsid w:val="00030FA3"/>
    <w:rsid w:val="000310F9"/>
    <w:rsid w:val="00031229"/>
    <w:rsid w:val="00031259"/>
    <w:rsid w:val="00031ED3"/>
    <w:rsid w:val="00032777"/>
    <w:rsid w:val="00032B0D"/>
    <w:rsid w:val="00033E40"/>
    <w:rsid w:val="00034274"/>
    <w:rsid w:val="00034548"/>
    <w:rsid w:val="000345F2"/>
    <w:rsid w:val="0003471C"/>
    <w:rsid w:val="00034EF4"/>
    <w:rsid w:val="000352BF"/>
    <w:rsid w:val="000353D7"/>
    <w:rsid w:val="00035B68"/>
    <w:rsid w:val="000360F8"/>
    <w:rsid w:val="000364DD"/>
    <w:rsid w:val="00036A92"/>
    <w:rsid w:val="00036E99"/>
    <w:rsid w:val="00040736"/>
    <w:rsid w:val="00040B26"/>
    <w:rsid w:val="00040C2E"/>
    <w:rsid w:val="00040C96"/>
    <w:rsid w:val="00041044"/>
    <w:rsid w:val="00041083"/>
    <w:rsid w:val="00041132"/>
    <w:rsid w:val="000416DF"/>
    <w:rsid w:val="00041774"/>
    <w:rsid w:val="00041F54"/>
    <w:rsid w:val="00042317"/>
    <w:rsid w:val="000431F6"/>
    <w:rsid w:val="0004332E"/>
    <w:rsid w:val="00043AE7"/>
    <w:rsid w:val="00043EBD"/>
    <w:rsid w:val="000449DC"/>
    <w:rsid w:val="00044D44"/>
    <w:rsid w:val="00044E1E"/>
    <w:rsid w:val="00044F2D"/>
    <w:rsid w:val="0004591B"/>
    <w:rsid w:val="000459E4"/>
    <w:rsid w:val="00045BC3"/>
    <w:rsid w:val="00046105"/>
    <w:rsid w:val="000468BB"/>
    <w:rsid w:val="000468FF"/>
    <w:rsid w:val="00046EAD"/>
    <w:rsid w:val="00046F39"/>
    <w:rsid w:val="00046F43"/>
    <w:rsid w:val="000477A8"/>
    <w:rsid w:val="000477FC"/>
    <w:rsid w:val="00047836"/>
    <w:rsid w:val="00047B12"/>
    <w:rsid w:val="00047D1A"/>
    <w:rsid w:val="000501C4"/>
    <w:rsid w:val="00050478"/>
    <w:rsid w:val="00050E05"/>
    <w:rsid w:val="00050F1B"/>
    <w:rsid w:val="0005150A"/>
    <w:rsid w:val="0005289E"/>
    <w:rsid w:val="000528B4"/>
    <w:rsid w:val="00052CE0"/>
    <w:rsid w:val="00053228"/>
    <w:rsid w:val="000537CF"/>
    <w:rsid w:val="000538CD"/>
    <w:rsid w:val="00053E1E"/>
    <w:rsid w:val="00053FB6"/>
    <w:rsid w:val="000541BD"/>
    <w:rsid w:val="00054B22"/>
    <w:rsid w:val="00054DB4"/>
    <w:rsid w:val="00054EF5"/>
    <w:rsid w:val="00054F28"/>
    <w:rsid w:val="000558F2"/>
    <w:rsid w:val="00055E81"/>
    <w:rsid w:val="000565DA"/>
    <w:rsid w:val="00056BA8"/>
    <w:rsid w:val="00056C45"/>
    <w:rsid w:val="000575C9"/>
    <w:rsid w:val="000575F9"/>
    <w:rsid w:val="0006003B"/>
    <w:rsid w:val="000602B7"/>
    <w:rsid w:val="000603B0"/>
    <w:rsid w:val="00060912"/>
    <w:rsid w:val="00060B94"/>
    <w:rsid w:val="00060FF3"/>
    <w:rsid w:val="00061A91"/>
    <w:rsid w:val="00062092"/>
    <w:rsid w:val="00062347"/>
    <w:rsid w:val="000626B4"/>
    <w:rsid w:val="00062CEA"/>
    <w:rsid w:val="00063264"/>
    <w:rsid w:val="000639DC"/>
    <w:rsid w:val="00063D16"/>
    <w:rsid w:val="000645D2"/>
    <w:rsid w:val="000645EC"/>
    <w:rsid w:val="0006461A"/>
    <w:rsid w:val="0006549F"/>
    <w:rsid w:val="0006570A"/>
    <w:rsid w:val="0006572B"/>
    <w:rsid w:val="00065A89"/>
    <w:rsid w:val="00065CB4"/>
    <w:rsid w:val="00065D7B"/>
    <w:rsid w:val="0006617D"/>
    <w:rsid w:val="000668B0"/>
    <w:rsid w:val="00066937"/>
    <w:rsid w:val="000670BB"/>
    <w:rsid w:val="000672DA"/>
    <w:rsid w:val="0006736C"/>
    <w:rsid w:val="000673D6"/>
    <w:rsid w:val="00067A05"/>
    <w:rsid w:val="000705FD"/>
    <w:rsid w:val="000714A2"/>
    <w:rsid w:val="000714BB"/>
    <w:rsid w:val="00071BF4"/>
    <w:rsid w:val="00071BFC"/>
    <w:rsid w:val="00071E46"/>
    <w:rsid w:val="000720A7"/>
    <w:rsid w:val="00072333"/>
    <w:rsid w:val="0007261E"/>
    <w:rsid w:val="0007343D"/>
    <w:rsid w:val="00073BD1"/>
    <w:rsid w:val="00074843"/>
    <w:rsid w:val="0007489B"/>
    <w:rsid w:val="00074AF7"/>
    <w:rsid w:val="00074BBC"/>
    <w:rsid w:val="0007505F"/>
    <w:rsid w:val="00075A27"/>
    <w:rsid w:val="0007671D"/>
    <w:rsid w:val="00076937"/>
    <w:rsid w:val="00076B5B"/>
    <w:rsid w:val="00076CCB"/>
    <w:rsid w:val="00076D19"/>
    <w:rsid w:val="000770DB"/>
    <w:rsid w:val="000771C3"/>
    <w:rsid w:val="00077CFF"/>
    <w:rsid w:val="0008060F"/>
    <w:rsid w:val="0008073E"/>
    <w:rsid w:val="000809F7"/>
    <w:rsid w:val="00080D0D"/>
    <w:rsid w:val="00080D3A"/>
    <w:rsid w:val="00080F5F"/>
    <w:rsid w:val="00081B2C"/>
    <w:rsid w:val="00081B6B"/>
    <w:rsid w:val="0008232E"/>
    <w:rsid w:val="0008237B"/>
    <w:rsid w:val="00082BAC"/>
    <w:rsid w:val="00082CCF"/>
    <w:rsid w:val="00083391"/>
    <w:rsid w:val="0008370A"/>
    <w:rsid w:val="00083E5F"/>
    <w:rsid w:val="0008455E"/>
    <w:rsid w:val="000846E4"/>
    <w:rsid w:val="00084723"/>
    <w:rsid w:val="0008484F"/>
    <w:rsid w:val="00084883"/>
    <w:rsid w:val="0008499E"/>
    <w:rsid w:val="00084A2B"/>
    <w:rsid w:val="00084A4E"/>
    <w:rsid w:val="00085183"/>
    <w:rsid w:val="00085FA2"/>
    <w:rsid w:val="00086168"/>
    <w:rsid w:val="0008663F"/>
    <w:rsid w:val="00086727"/>
    <w:rsid w:val="00086AB0"/>
    <w:rsid w:val="000871D3"/>
    <w:rsid w:val="000872A5"/>
    <w:rsid w:val="000876F7"/>
    <w:rsid w:val="0008796C"/>
    <w:rsid w:val="000879B2"/>
    <w:rsid w:val="00087FDC"/>
    <w:rsid w:val="000903D5"/>
    <w:rsid w:val="0009190C"/>
    <w:rsid w:val="00091971"/>
    <w:rsid w:val="000919C9"/>
    <w:rsid w:val="00092768"/>
    <w:rsid w:val="000934C4"/>
    <w:rsid w:val="000937AE"/>
    <w:rsid w:val="00093856"/>
    <w:rsid w:val="00093A40"/>
    <w:rsid w:val="00093BD1"/>
    <w:rsid w:val="000945B5"/>
    <w:rsid w:val="00094632"/>
    <w:rsid w:val="00094816"/>
    <w:rsid w:val="00094FB2"/>
    <w:rsid w:val="00095570"/>
    <w:rsid w:val="000956AF"/>
    <w:rsid w:val="00095FE6"/>
    <w:rsid w:val="0009646F"/>
    <w:rsid w:val="00096D25"/>
    <w:rsid w:val="00096D96"/>
    <w:rsid w:val="00096FB6"/>
    <w:rsid w:val="00097086"/>
    <w:rsid w:val="0009758F"/>
    <w:rsid w:val="00097667"/>
    <w:rsid w:val="0009778E"/>
    <w:rsid w:val="0009780F"/>
    <w:rsid w:val="00097D12"/>
    <w:rsid w:val="00097D29"/>
    <w:rsid w:val="000A117C"/>
    <w:rsid w:val="000A14F1"/>
    <w:rsid w:val="000A160E"/>
    <w:rsid w:val="000A21FA"/>
    <w:rsid w:val="000A27EA"/>
    <w:rsid w:val="000A2F0E"/>
    <w:rsid w:val="000A317B"/>
    <w:rsid w:val="000A378F"/>
    <w:rsid w:val="000A3914"/>
    <w:rsid w:val="000A3A82"/>
    <w:rsid w:val="000A41CB"/>
    <w:rsid w:val="000A455A"/>
    <w:rsid w:val="000A4614"/>
    <w:rsid w:val="000A4856"/>
    <w:rsid w:val="000A4C5D"/>
    <w:rsid w:val="000A5165"/>
    <w:rsid w:val="000A5C97"/>
    <w:rsid w:val="000A6AF3"/>
    <w:rsid w:val="000A6D3A"/>
    <w:rsid w:val="000A6DF0"/>
    <w:rsid w:val="000A73F4"/>
    <w:rsid w:val="000A78B7"/>
    <w:rsid w:val="000A79DB"/>
    <w:rsid w:val="000A7AFC"/>
    <w:rsid w:val="000A7E2E"/>
    <w:rsid w:val="000B0398"/>
    <w:rsid w:val="000B0760"/>
    <w:rsid w:val="000B1125"/>
    <w:rsid w:val="000B1AF1"/>
    <w:rsid w:val="000B2419"/>
    <w:rsid w:val="000B28EB"/>
    <w:rsid w:val="000B415F"/>
    <w:rsid w:val="000B429A"/>
    <w:rsid w:val="000B42CC"/>
    <w:rsid w:val="000B4326"/>
    <w:rsid w:val="000B45A2"/>
    <w:rsid w:val="000B460B"/>
    <w:rsid w:val="000B4B61"/>
    <w:rsid w:val="000B4D8C"/>
    <w:rsid w:val="000B4DA5"/>
    <w:rsid w:val="000B55DC"/>
    <w:rsid w:val="000B56EE"/>
    <w:rsid w:val="000B60E0"/>
    <w:rsid w:val="000C0491"/>
    <w:rsid w:val="000C0604"/>
    <w:rsid w:val="000C1032"/>
    <w:rsid w:val="000C169A"/>
    <w:rsid w:val="000C1915"/>
    <w:rsid w:val="000C2106"/>
    <w:rsid w:val="000C248F"/>
    <w:rsid w:val="000C2605"/>
    <w:rsid w:val="000C26AE"/>
    <w:rsid w:val="000C26BB"/>
    <w:rsid w:val="000C2DA1"/>
    <w:rsid w:val="000C300D"/>
    <w:rsid w:val="000C32A2"/>
    <w:rsid w:val="000C3531"/>
    <w:rsid w:val="000C36C7"/>
    <w:rsid w:val="000C39C3"/>
    <w:rsid w:val="000C3EA3"/>
    <w:rsid w:val="000C413A"/>
    <w:rsid w:val="000C497A"/>
    <w:rsid w:val="000C503D"/>
    <w:rsid w:val="000C5279"/>
    <w:rsid w:val="000C5314"/>
    <w:rsid w:val="000C5527"/>
    <w:rsid w:val="000C5C70"/>
    <w:rsid w:val="000C67BB"/>
    <w:rsid w:val="000C7347"/>
    <w:rsid w:val="000D0814"/>
    <w:rsid w:val="000D0E4A"/>
    <w:rsid w:val="000D13EB"/>
    <w:rsid w:val="000D19C2"/>
    <w:rsid w:val="000D1AFF"/>
    <w:rsid w:val="000D2290"/>
    <w:rsid w:val="000D26B0"/>
    <w:rsid w:val="000D27DE"/>
    <w:rsid w:val="000D360A"/>
    <w:rsid w:val="000D3B98"/>
    <w:rsid w:val="000D4663"/>
    <w:rsid w:val="000D46FF"/>
    <w:rsid w:val="000D56C1"/>
    <w:rsid w:val="000D5C3C"/>
    <w:rsid w:val="000D67AC"/>
    <w:rsid w:val="000D67DC"/>
    <w:rsid w:val="000D6826"/>
    <w:rsid w:val="000D6CD1"/>
    <w:rsid w:val="000D7ECA"/>
    <w:rsid w:val="000D7F83"/>
    <w:rsid w:val="000D7FAF"/>
    <w:rsid w:val="000E1457"/>
    <w:rsid w:val="000E21A0"/>
    <w:rsid w:val="000E239C"/>
    <w:rsid w:val="000E24F3"/>
    <w:rsid w:val="000E2A67"/>
    <w:rsid w:val="000E33AE"/>
    <w:rsid w:val="000E3497"/>
    <w:rsid w:val="000E34F7"/>
    <w:rsid w:val="000E3AF5"/>
    <w:rsid w:val="000E3DA8"/>
    <w:rsid w:val="000E3EB9"/>
    <w:rsid w:val="000E421C"/>
    <w:rsid w:val="000E46D1"/>
    <w:rsid w:val="000E6054"/>
    <w:rsid w:val="000E60DD"/>
    <w:rsid w:val="000E610A"/>
    <w:rsid w:val="000E6258"/>
    <w:rsid w:val="000E64D7"/>
    <w:rsid w:val="000E70C5"/>
    <w:rsid w:val="000E72F7"/>
    <w:rsid w:val="000E753F"/>
    <w:rsid w:val="000E7C10"/>
    <w:rsid w:val="000E7D17"/>
    <w:rsid w:val="000E7E32"/>
    <w:rsid w:val="000F008E"/>
    <w:rsid w:val="000F116B"/>
    <w:rsid w:val="000F12CD"/>
    <w:rsid w:val="000F1759"/>
    <w:rsid w:val="000F18FB"/>
    <w:rsid w:val="000F19B8"/>
    <w:rsid w:val="000F24DA"/>
    <w:rsid w:val="000F2530"/>
    <w:rsid w:val="000F394A"/>
    <w:rsid w:val="000F3F83"/>
    <w:rsid w:val="000F4554"/>
    <w:rsid w:val="000F4569"/>
    <w:rsid w:val="000F5714"/>
    <w:rsid w:val="000F5978"/>
    <w:rsid w:val="000F5D22"/>
    <w:rsid w:val="000F6026"/>
    <w:rsid w:val="000F6064"/>
    <w:rsid w:val="000F64BD"/>
    <w:rsid w:val="000F6BC0"/>
    <w:rsid w:val="000F6CB7"/>
    <w:rsid w:val="000F6EEC"/>
    <w:rsid w:val="000F6FBB"/>
    <w:rsid w:val="000F6FE9"/>
    <w:rsid w:val="000F799E"/>
    <w:rsid w:val="000F7E8B"/>
    <w:rsid w:val="0010112F"/>
    <w:rsid w:val="00101F3F"/>
    <w:rsid w:val="00101F4D"/>
    <w:rsid w:val="00101FD2"/>
    <w:rsid w:val="00102ACC"/>
    <w:rsid w:val="0010316E"/>
    <w:rsid w:val="001035FE"/>
    <w:rsid w:val="001038C1"/>
    <w:rsid w:val="001042B3"/>
    <w:rsid w:val="00105DE2"/>
    <w:rsid w:val="00105EDE"/>
    <w:rsid w:val="0010633E"/>
    <w:rsid w:val="001068EA"/>
    <w:rsid w:val="00106C7A"/>
    <w:rsid w:val="00107640"/>
    <w:rsid w:val="00107B63"/>
    <w:rsid w:val="00110054"/>
    <w:rsid w:val="00111111"/>
    <w:rsid w:val="00111B73"/>
    <w:rsid w:val="001120AF"/>
    <w:rsid w:val="001122C7"/>
    <w:rsid w:val="00112559"/>
    <w:rsid w:val="0011281D"/>
    <w:rsid w:val="00112AAF"/>
    <w:rsid w:val="00112E11"/>
    <w:rsid w:val="00112F5C"/>
    <w:rsid w:val="00112FE4"/>
    <w:rsid w:val="00113664"/>
    <w:rsid w:val="00113857"/>
    <w:rsid w:val="00113B6F"/>
    <w:rsid w:val="001143A8"/>
    <w:rsid w:val="0011488F"/>
    <w:rsid w:val="00115988"/>
    <w:rsid w:val="00115A79"/>
    <w:rsid w:val="0011665C"/>
    <w:rsid w:val="00116B3D"/>
    <w:rsid w:val="00116EF2"/>
    <w:rsid w:val="00117151"/>
    <w:rsid w:val="00117525"/>
    <w:rsid w:val="001177C8"/>
    <w:rsid w:val="00117B12"/>
    <w:rsid w:val="00117D54"/>
    <w:rsid w:val="001210EA"/>
    <w:rsid w:val="001213FF"/>
    <w:rsid w:val="00121DE6"/>
    <w:rsid w:val="00122819"/>
    <w:rsid w:val="001228C8"/>
    <w:rsid w:val="001234F0"/>
    <w:rsid w:val="0012388A"/>
    <w:rsid w:val="00123B10"/>
    <w:rsid w:val="00123B40"/>
    <w:rsid w:val="00123C70"/>
    <w:rsid w:val="00124FA3"/>
    <w:rsid w:val="00125009"/>
    <w:rsid w:val="001261CB"/>
    <w:rsid w:val="0012707C"/>
    <w:rsid w:val="001272D3"/>
    <w:rsid w:val="00127489"/>
    <w:rsid w:val="001276E4"/>
    <w:rsid w:val="00127B05"/>
    <w:rsid w:val="0013015B"/>
    <w:rsid w:val="00130311"/>
    <w:rsid w:val="00130AF4"/>
    <w:rsid w:val="00130E1D"/>
    <w:rsid w:val="00131D2F"/>
    <w:rsid w:val="0013210B"/>
    <w:rsid w:val="001324DD"/>
    <w:rsid w:val="00132AAB"/>
    <w:rsid w:val="00132DEB"/>
    <w:rsid w:val="00132F46"/>
    <w:rsid w:val="00132F65"/>
    <w:rsid w:val="00133588"/>
    <w:rsid w:val="00133724"/>
    <w:rsid w:val="00133B69"/>
    <w:rsid w:val="00133F91"/>
    <w:rsid w:val="0013429B"/>
    <w:rsid w:val="00134713"/>
    <w:rsid w:val="00134E0F"/>
    <w:rsid w:val="00135258"/>
    <w:rsid w:val="001354FD"/>
    <w:rsid w:val="00135A01"/>
    <w:rsid w:val="001362C8"/>
    <w:rsid w:val="00136595"/>
    <w:rsid w:val="00137597"/>
    <w:rsid w:val="001379E2"/>
    <w:rsid w:val="00137B3B"/>
    <w:rsid w:val="00140158"/>
    <w:rsid w:val="001405B3"/>
    <w:rsid w:val="001409CF"/>
    <w:rsid w:val="00140E8C"/>
    <w:rsid w:val="0014105E"/>
    <w:rsid w:val="001412D4"/>
    <w:rsid w:val="00142CED"/>
    <w:rsid w:val="00144510"/>
    <w:rsid w:val="00144B2A"/>
    <w:rsid w:val="00144C50"/>
    <w:rsid w:val="00145F12"/>
    <w:rsid w:val="00146297"/>
    <w:rsid w:val="00146AF4"/>
    <w:rsid w:val="00146C04"/>
    <w:rsid w:val="0014771C"/>
    <w:rsid w:val="001501EA"/>
    <w:rsid w:val="001505A6"/>
    <w:rsid w:val="00150852"/>
    <w:rsid w:val="001509BD"/>
    <w:rsid w:val="00150CC2"/>
    <w:rsid w:val="00151B89"/>
    <w:rsid w:val="00152087"/>
    <w:rsid w:val="00152E57"/>
    <w:rsid w:val="001530DD"/>
    <w:rsid w:val="00153FC0"/>
    <w:rsid w:val="00154799"/>
    <w:rsid w:val="001549BD"/>
    <w:rsid w:val="00154A97"/>
    <w:rsid w:val="00154F49"/>
    <w:rsid w:val="00155482"/>
    <w:rsid w:val="001557D6"/>
    <w:rsid w:val="001558AF"/>
    <w:rsid w:val="00155B3B"/>
    <w:rsid w:val="00155EE3"/>
    <w:rsid w:val="00156227"/>
    <w:rsid w:val="0015732C"/>
    <w:rsid w:val="00157483"/>
    <w:rsid w:val="00157539"/>
    <w:rsid w:val="00160229"/>
    <w:rsid w:val="001609B2"/>
    <w:rsid w:val="00160C2D"/>
    <w:rsid w:val="00160FE6"/>
    <w:rsid w:val="00161306"/>
    <w:rsid w:val="00161D75"/>
    <w:rsid w:val="00162478"/>
    <w:rsid w:val="00162569"/>
    <w:rsid w:val="00162672"/>
    <w:rsid w:val="0016373A"/>
    <w:rsid w:val="0016378B"/>
    <w:rsid w:val="00163793"/>
    <w:rsid w:val="00163BF4"/>
    <w:rsid w:val="00163C70"/>
    <w:rsid w:val="00164217"/>
    <w:rsid w:val="001648BB"/>
    <w:rsid w:val="00164B35"/>
    <w:rsid w:val="00164B71"/>
    <w:rsid w:val="00165015"/>
    <w:rsid w:val="0016590E"/>
    <w:rsid w:val="00165B9F"/>
    <w:rsid w:val="001662CF"/>
    <w:rsid w:val="00166B85"/>
    <w:rsid w:val="0016796A"/>
    <w:rsid w:val="001679FA"/>
    <w:rsid w:val="001705B9"/>
    <w:rsid w:val="0017135D"/>
    <w:rsid w:val="0017177F"/>
    <w:rsid w:val="00171AFB"/>
    <w:rsid w:val="0017246C"/>
    <w:rsid w:val="00172C24"/>
    <w:rsid w:val="00172DEE"/>
    <w:rsid w:val="00173140"/>
    <w:rsid w:val="00174817"/>
    <w:rsid w:val="00174C57"/>
    <w:rsid w:val="00174D88"/>
    <w:rsid w:val="00175420"/>
    <w:rsid w:val="00176017"/>
    <w:rsid w:val="0017601B"/>
    <w:rsid w:val="001765A2"/>
    <w:rsid w:val="00176DA5"/>
    <w:rsid w:val="00177C0D"/>
    <w:rsid w:val="0018077C"/>
    <w:rsid w:val="00180B90"/>
    <w:rsid w:val="00180FA0"/>
    <w:rsid w:val="00181137"/>
    <w:rsid w:val="00181736"/>
    <w:rsid w:val="001817A4"/>
    <w:rsid w:val="00182732"/>
    <w:rsid w:val="00182889"/>
    <w:rsid w:val="00182C21"/>
    <w:rsid w:val="00182C4B"/>
    <w:rsid w:val="0018312E"/>
    <w:rsid w:val="001835B0"/>
    <w:rsid w:val="00183F6F"/>
    <w:rsid w:val="001841DD"/>
    <w:rsid w:val="00184205"/>
    <w:rsid w:val="00184738"/>
    <w:rsid w:val="00184933"/>
    <w:rsid w:val="001857A7"/>
    <w:rsid w:val="001859F6"/>
    <w:rsid w:val="001866B0"/>
    <w:rsid w:val="00186FB7"/>
    <w:rsid w:val="0018706F"/>
    <w:rsid w:val="0018713D"/>
    <w:rsid w:val="0018730B"/>
    <w:rsid w:val="0018742C"/>
    <w:rsid w:val="00187F6A"/>
    <w:rsid w:val="0019027E"/>
    <w:rsid w:val="00191060"/>
    <w:rsid w:val="00191880"/>
    <w:rsid w:val="00191B85"/>
    <w:rsid w:val="00191D3F"/>
    <w:rsid w:val="001920C6"/>
    <w:rsid w:val="00192D78"/>
    <w:rsid w:val="00193C63"/>
    <w:rsid w:val="001948F4"/>
    <w:rsid w:val="00194A6F"/>
    <w:rsid w:val="00194C45"/>
    <w:rsid w:val="00195115"/>
    <w:rsid w:val="001955F5"/>
    <w:rsid w:val="001958D2"/>
    <w:rsid w:val="00195904"/>
    <w:rsid w:val="00196136"/>
    <w:rsid w:val="001965A2"/>
    <w:rsid w:val="001965DA"/>
    <w:rsid w:val="00196E1D"/>
    <w:rsid w:val="0019768D"/>
    <w:rsid w:val="00197DDE"/>
    <w:rsid w:val="00197DE7"/>
    <w:rsid w:val="00197F0D"/>
    <w:rsid w:val="001A0D29"/>
    <w:rsid w:val="001A0E41"/>
    <w:rsid w:val="001A1041"/>
    <w:rsid w:val="001A15B3"/>
    <w:rsid w:val="001A1BC1"/>
    <w:rsid w:val="001A20C7"/>
    <w:rsid w:val="001A2A70"/>
    <w:rsid w:val="001A2B78"/>
    <w:rsid w:val="001A330C"/>
    <w:rsid w:val="001A34AA"/>
    <w:rsid w:val="001A3DDE"/>
    <w:rsid w:val="001A4328"/>
    <w:rsid w:val="001A4760"/>
    <w:rsid w:val="001A4EAB"/>
    <w:rsid w:val="001A50B3"/>
    <w:rsid w:val="001A5A52"/>
    <w:rsid w:val="001A5B3E"/>
    <w:rsid w:val="001A5C7D"/>
    <w:rsid w:val="001A64C8"/>
    <w:rsid w:val="001A6D60"/>
    <w:rsid w:val="001A6EA7"/>
    <w:rsid w:val="001A7013"/>
    <w:rsid w:val="001A753C"/>
    <w:rsid w:val="001A7B9D"/>
    <w:rsid w:val="001A7C5E"/>
    <w:rsid w:val="001B05FC"/>
    <w:rsid w:val="001B0861"/>
    <w:rsid w:val="001B0968"/>
    <w:rsid w:val="001B0CEF"/>
    <w:rsid w:val="001B0E2C"/>
    <w:rsid w:val="001B0EE0"/>
    <w:rsid w:val="001B1795"/>
    <w:rsid w:val="001B1972"/>
    <w:rsid w:val="001B1AF0"/>
    <w:rsid w:val="001B1AF9"/>
    <w:rsid w:val="001B2172"/>
    <w:rsid w:val="001B234A"/>
    <w:rsid w:val="001B326E"/>
    <w:rsid w:val="001B3358"/>
    <w:rsid w:val="001B3A4F"/>
    <w:rsid w:val="001B3FD8"/>
    <w:rsid w:val="001B488F"/>
    <w:rsid w:val="001B4BCC"/>
    <w:rsid w:val="001B57AB"/>
    <w:rsid w:val="001B5EFC"/>
    <w:rsid w:val="001B6179"/>
    <w:rsid w:val="001B685D"/>
    <w:rsid w:val="001B685F"/>
    <w:rsid w:val="001B68D7"/>
    <w:rsid w:val="001B6E5C"/>
    <w:rsid w:val="001B720B"/>
    <w:rsid w:val="001B72C6"/>
    <w:rsid w:val="001B7C5E"/>
    <w:rsid w:val="001C05CB"/>
    <w:rsid w:val="001C061C"/>
    <w:rsid w:val="001C0BBF"/>
    <w:rsid w:val="001C1268"/>
    <w:rsid w:val="001C19EF"/>
    <w:rsid w:val="001C1BAF"/>
    <w:rsid w:val="001C1CC7"/>
    <w:rsid w:val="001C2311"/>
    <w:rsid w:val="001C2322"/>
    <w:rsid w:val="001C2E82"/>
    <w:rsid w:val="001C2F31"/>
    <w:rsid w:val="001C3A9C"/>
    <w:rsid w:val="001C42AF"/>
    <w:rsid w:val="001C43CE"/>
    <w:rsid w:val="001C4C51"/>
    <w:rsid w:val="001C4CB2"/>
    <w:rsid w:val="001C4DB0"/>
    <w:rsid w:val="001C53B6"/>
    <w:rsid w:val="001C54C2"/>
    <w:rsid w:val="001C6024"/>
    <w:rsid w:val="001C69F6"/>
    <w:rsid w:val="001C7CC2"/>
    <w:rsid w:val="001C7FC6"/>
    <w:rsid w:val="001D0322"/>
    <w:rsid w:val="001D04F7"/>
    <w:rsid w:val="001D0A6C"/>
    <w:rsid w:val="001D0F8C"/>
    <w:rsid w:val="001D1619"/>
    <w:rsid w:val="001D1821"/>
    <w:rsid w:val="001D1D25"/>
    <w:rsid w:val="001D1E4E"/>
    <w:rsid w:val="001D22A4"/>
    <w:rsid w:val="001D3095"/>
    <w:rsid w:val="001D31E8"/>
    <w:rsid w:val="001D32EE"/>
    <w:rsid w:val="001D38C9"/>
    <w:rsid w:val="001D41FE"/>
    <w:rsid w:val="001D424B"/>
    <w:rsid w:val="001D4E05"/>
    <w:rsid w:val="001D54A5"/>
    <w:rsid w:val="001D5BDE"/>
    <w:rsid w:val="001D5F00"/>
    <w:rsid w:val="001D64D2"/>
    <w:rsid w:val="001D654D"/>
    <w:rsid w:val="001D7436"/>
    <w:rsid w:val="001D7C91"/>
    <w:rsid w:val="001D7D80"/>
    <w:rsid w:val="001D7FA8"/>
    <w:rsid w:val="001E1599"/>
    <w:rsid w:val="001E1FE9"/>
    <w:rsid w:val="001E223B"/>
    <w:rsid w:val="001E2825"/>
    <w:rsid w:val="001E29BD"/>
    <w:rsid w:val="001E3379"/>
    <w:rsid w:val="001E3B18"/>
    <w:rsid w:val="001E3D04"/>
    <w:rsid w:val="001E4183"/>
    <w:rsid w:val="001E4FC3"/>
    <w:rsid w:val="001E5377"/>
    <w:rsid w:val="001E53FE"/>
    <w:rsid w:val="001E6165"/>
    <w:rsid w:val="001E63EB"/>
    <w:rsid w:val="001E6B85"/>
    <w:rsid w:val="001E7638"/>
    <w:rsid w:val="001E7CEB"/>
    <w:rsid w:val="001F028C"/>
    <w:rsid w:val="001F0311"/>
    <w:rsid w:val="001F06EC"/>
    <w:rsid w:val="001F0830"/>
    <w:rsid w:val="001F0934"/>
    <w:rsid w:val="001F0B3B"/>
    <w:rsid w:val="001F0EB6"/>
    <w:rsid w:val="001F1487"/>
    <w:rsid w:val="001F16F6"/>
    <w:rsid w:val="001F19ED"/>
    <w:rsid w:val="001F1E36"/>
    <w:rsid w:val="001F211E"/>
    <w:rsid w:val="001F2797"/>
    <w:rsid w:val="001F2950"/>
    <w:rsid w:val="001F2DA6"/>
    <w:rsid w:val="001F31CF"/>
    <w:rsid w:val="001F33A0"/>
    <w:rsid w:val="001F3C24"/>
    <w:rsid w:val="001F3DA2"/>
    <w:rsid w:val="001F441E"/>
    <w:rsid w:val="001F4472"/>
    <w:rsid w:val="001F4DB2"/>
    <w:rsid w:val="001F4FAC"/>
    <w:rsid w:val="001F535D"/>
    <w:rsid w:val="001F558F"/>
    <w:rsid w:val="001F55B3"/>
    <w:rsid w:val="001F5994"/>
    <w:rsid w:val="001F5F40"/>
    <w:rsid w:val="001F613D"/>
    <w:rsid w:val="001F6CB0"/>
    <w:rsid w:val="001F6E04"/>
    <w:rsid w:val="001F70DB"/>
    <w:rsid w:val="001F774B"/>
    <w:rsid w:val="00200210"/>
    <w:rsid w:val="0020040F"/>
    <w:rsid w:val="002007CA"/>
    <w:rsid w:val="00200915"/>
    <w:rsid w:val="00200AB3"/>
    <w:rsid w:val="00200FCC"/>
    <w:rsid w:val="00201266"/>
    <w:rsid w:val="00201A68"/>
    <w:rsid w:val="00202094"/>
    <w:rsid w:val="002020FD"/>
    <w:rsid w:val="00203016"/>
    <w:rsid w:val="00203B19"/>
    <w:rsid w:val="00203B42"/>
    <w:rsid w:val="00203BB3"/>
    <w:rsid w:val="00203FDA"/>
    <w:rsid w:val="00204218"/>
    <w:rsid w:val="00204676"/>
    <w:rsid w:val="00205DC1"/>
    <w:rsid w:val="0020600E"/>
    <w:rsid w:val="00206495"/>
    <w:rsid w:val="0020654F"/>
    <w:rsid w:val="002065AF"/>
    <w:rsid w:val="00206D20"/>
    <w:rsid w:val="0020754C"/>
    <w:rsid w:val="00207CD1"/>
    <w:rsid w:val="00207F3C"/>
    <w:rsid w:val="002102F9"/>
    <w:rsid w:val="002103DE"/>
    <w:rsid w:val="0021078F"/>
    <w:rsid w:val="00210902"/>
    <w:rsid w:val="00210AE7"/>
    <w:rsid w:val="00210DE8"/>
    <w:rsid w:val="00211CC9"/>
    <w:rsid w:val="0021249C"/>
    <w:rsid w:val="002124E4"/>
    <w:rsid w:val="00212ACB"/>
    <w:rsid w:val="00212C1F"/>
    <w:rsid w:val="00213361"/>
    <w:rsid w:val="00213AA5"/>
    <w:rsid w:val="00213C86"/>
    <w:rsid w:val="00214759"/>
    <w:rsid w:val="00214D88"/>
    <w:rsid w:val="00214F2C"/>
    <w:rsid w:val="00215EAD"/>
    <w:rsid w:val="00216AEB"/>
    <w:rsid w:val="00216C44"/>
    <w:rsid w:val="00216F72"/>
    <w:rsid w:val="002170E6"/>
    <w:rsid w:val="002174C5"/>
    <w:rsid w:val="00217E9C"/>
    <w:rsid w:val="00217EAE"/>
    <w:rsid w:val="00217F30"/>
    <w:rsid w:val="00220677"/>
    <w:rsid w:val="00220B13"/>
    <w:rsid w:val="00220D4E"/>
    <w:rsid w:val="00221222"/>
    <w:rsid w:val="002214EF"/>
    <w:rsid w:val="0022187C"/>
    <w:rsid w:val="00221895"/>
    <w:rsid w:val="00221ECE"/>
    <w:rsid w:val="0022210C"/>
    <w:rsid w:val="00222237"/>
    <w:rsid w:val="0022245C"/>
    <w:rsid w:val="002225A7"/>
    <w:rsid w:val="00222F34"/>
    <w:rsid w:val="00222F9D"/>
    <w:rsid w:val="0022351D"/>
    <w:rsid w:val="0022352A"/>
    <w:rsid w:val="00223F39"/>
    <w:rsid w:val="0022431D"/>
    <w:rsid w:val="002247E0"/>
    <w:rsid w:val="00224819"/>
    <w:rsid w:val="002249F0"/>
    <w:rsid w:val="00225041"/>
    <w:rsid w:val="00225D4A"/>
    <w:rsid w:val="00225FE4"/>
    <w:rsid w:val="00226053"/>
    <w:rsid w:val="00226C5A"/>
    <w:rsid w:val="00226FEF"/>
    <w:rsid w:val="002275FA"/>
    <w:rsid w:val="002276F4"/>
    <w:rsid w:val="00227F02"/>
    <w:rsid w:val="0023046A"/>
    <w:rsid w:val="00230836"/>
    <w:rsid w:val="00230D98"/>
    <w:rsid w:val="0023167C"/>
    <w:rsid w:val="00231822"/>
    <w:rsid w:val="00231C8B"/>
    <w:rsid w:val="00232CDC"/>
    <w:rsid w:val="00233992"/>
    <w:rsid w:val="00233BAB"/>
    <w:rsid w:val="00233FF7"/>
    <w:rsid w:val="0023475B"/>
    <w:rsid w:val="00234E96"/>
    <w:rsid w:val="00234F7D"/>
    <w:rsid w:val="002363E8"/>
    <w:rsid w:val="002365F2"/>
    <w:rsid w:val="00236C04"/>
    <w:rsid w:val="00236EF8"/>
    <w:rsid w:val="00237379"/>
    <w:rsid w:val="002379CE"/>
    <w:rsid w:val="00237C12"/>
    <w:rsid w:val="00237EF2"/>
    <w:rsid w:val="002406B9"/>
    <w:rsid w:val="00240EA7"/>
    <w:rsid w:val="00240FE4"/>
    <w:rsid w:val="00241996"/>
    <w:rsid w:val="00241BCB"/>
    <w:rsid w:val="002426E1"/>
    <w:rsid w:val="00242980"/>
    <w:rsid w:val="00242A35"/>
    <w:rsid w:val="00242A45"/>
    <w:rsid w:val="00242B3B"/>
    <w:rsid w:val="00243527"/>
    <w:rsid w:val="00243610"/>
    <w:rsid w:val="00243D67"/>
    <w:rsid w:val="00243EE0"/>
    <w:rsid w:val="00243FAA"/>
    <w:rsid w:val="00244053"/>
    <w:rsid w:val="002448A7"/>
    <w:rsid w:val="00244AF1"/>
    <w:rsid w:val="00245347"/>
    <w:rsid w:val="00245FAC"/>
    <w:rsid w:val="0024620B"/>
    <w:rsid w:val="00246BFA"/>
    <w:rsid w:val="00247383"/>
    <w:rsid w:val="00247723"/>
    <w:rsid w:val="00247B05"/>
    <w:rsid w:val="0025023D"/>
    <w:rsid w:val="0025038C"/>
    <w:rsid w:val="002504F7"/>
    <w:rsid w:val="00250FBA"/>
    <w:rsid w:val="00251296"/>
    <w:rsid w:val="00251BE0"/>
    <w:rsid w:val="00251CE6"/>
    <w:rsid w:val="0025206A"/>
    <w:rsid w:val="0025206C"/>
    <w:rsid w:val="00252577"/>
    <w:rsid w:val="0025281B"/>
    <w:rsid w:val="0025284E"/>
    <w:rsid w:val="00252AC2"/>
    <w:rsid w:val="00252BE8"/>
    <w:rsid w:val="00252DBF"/>
    <w:rsid w:val="00253455"/>
    <w:rsid w:val="002535E6"/>
    <w:rsid w:val="002538E1"/>
    <w:rsid w:val="00253CDB"/>
    <w:rsid w:val="00253F48"/>
    <w:rsid w:val="00253FD6"/>
    <w:rsid w:val="00254FDB"/>
    <w:rsid w:val="00255151"/>
    <w:rsid w:val="00255264"/>
    <w:rsid w:val="0025570A"/>
    <w:rsid w:val="0025583B"/>
    <w:rsid w:val="002558D9"/>
    <w:rsid w:val="00256105"/>
    <w:rsid w:val="00256DD3"/>
    <w:rsid w:val="00256DE4"/>
    <w:rsid w:val="00256FB0"/>
    <w:rsid w:val="002572F8"/>
    <w:rsid w:val="0025779B"/>
    <w:rsid w:val="002578FA"/>
    <w:rsid w:val="00257D38"/>
    <w:rsid w:val="00260777"/>
    <w:rsid w:val="00260C3A"/>
    <w:rsid w:val="00260F1B"/>
    <w:rsid w:val="00261538"/>
    <w:rsid w:val="00261871"/>
    <w:rsid w:val="00262134"/>
    <w:rsid w:val="0026233F"/>
    <w:rsid w:val="00262693"/>
    <w:rsid w:val="00262B3C"/>
    <w:rsid w:val="00263577"/>
    <w:rsid w:val="002637C8"/>
    <w:rsid w:val="00263A7C"/>
    <w:rsid w:val="00264251"/>
    <w:rsid w:val="00264808"/>
    <w:rsid w:val="00264E1F"/>
    <w:rsid w:val="00264FFB"/>
    <w:rsid w:val="002653BE"/>
    <w:rsid w:val="00265511"/>
    <w:rsid w:val="00265DE2"/>
    <w:rsid w:val="00266272"/>
    <w:rsid w:val="00266419"/>
    <w:rsid w:val="002664B0"/>
    <w:rsid w:val="00266811"/>
    <w:rsid w:val="00266829"/>
    <w:rsid w:val="00266C28"/>
    <w:rsid w:val="00266D3E"/>
    <w:rsid w:val="00266FB0"/>
    <w:rsid w:val="0026704F"/>
    <w:rsid w:val="00267086"/>
    <w:rsid w:val="002673DA"/>
    <w:rsid w:val="002678B5"/>
    <w:rsid w:val="00267958"/>
    <w:rsid w:val="00267C18"/>
    <w:rsid w:val="00270562"/>
    <w:rsid w:val="002707BB"/>
    <w:rsid w:val="0027093E"/>
    <w:rsid w:val="00270D33"/>
    <w:rsid w:val="00270D94"/>
    <w:rsid w:val="002719B3"/>
    <w:rsid w:val="00272039"/>
    <w:rsid w:val="00272B3E"/>
    <w:rsid w:val="00273051"/>
    <w:rsid w:val="00273471"/>
    <w:rsid w:val="00273513"/>
    <w:rsid w:val="002741FF"/>
    <w:rsid w:val="002742C4"/>
    <w:rsid w:val="002751A1"/>
    <w:rsid w:val="00275721"/>
    <w:rsid w:val="00276077"/>
    <w:rsid w:val="0027785D"/>
    <w:rsid w:val="00277D55"/>
    <w:rsid w:val="00280924"/>
    <w:rsid w:val="00280C3A"/>
    <w:rsid w:val="002811A7"/>
    <w:rsid w:val="00281989"/>
    <w:rsid w:val="00281CFC"/>
    <w:rsid w:val="00281DCD"/>
    <w:rsid w:val="0028270F"/>
    <w:rsid w:val="002827D6"/>
    <w:rsid w:val="00283616"/>
    <w:rsid w:val="002847B9"/>
    <w:rsid w:val="0028494E"/>
    <w:rsid w:val="00284E9A"/>
    <w:rsid w:val="002850A8"/>
    <w:rsid w:val="002850D4"/>
    <w:rsid w:val="002855CC"/>
    <w:rsid w:val="00286D05"/>
    <w:rsid w:val="0028707A"/>
    <w:rsid w:val="00287E43"/>
    <w:rsid w:val="00287F62"/>
    <w:rsid w:val="002905E3"/>
    <w:rsid w:val="00290682"/>
    <w:rsid w:val="002906CA"/>
    <w:rsid w:val="0029073B"/>
    <w:rsid w:val="00291017"/>
    <w:rsid w:val="00291038"/>
    <w:rsid w:val="0029240F"/>
    <w:rsid w:val="00292F0F"/>
    <w:rsid w:val="00293038"/>
    <w:rsid w:val="0029396A"/>
    <w:rsid w:val="00293F11"/>
    <w:rsid w:val="00294999"/>
    <w:rsid w:val="00294A45"/>
    <w:rsid w:val="00295339"/>
    <w:rsid w:val="00295DDB"/>
    <w:rsid w:val="0029633B"/>
    <w:rsid w:val="00296F3E"/>
    <w:rsid w:val="00296F60"/>
    <w:rsid w:val="00297617"/>
    <w:rsid w:val="00297EE1"/>
    <w:rsid w:val="002A02FC"/>
    <w:rsid w:val="002A0658"/>
    <w:rsid w:val="002A08E6"/>
    <w:rsid w:val="002A0DCD"/>
    <w:rsid w:val="002A0ED0"/>
    <w:rsid w:val="002A100A"/>
    <w:rsid w:val="002A1469"/>
    <w:rsid w:val="002A1898"/>
    <w:rsid w:val="002A2080"/>
    <w:rsid w:val="002A2524"/>
    <w:rsid w:val="002A2551"/>
    <w:rsid w:val="002A2774"/>
    <w:rsid w:val="002A2E2E"/>
    <w:rsid w:val="002A30C7"/>
    <w:rsid w:val="002A37A8"/>
    <w:rsid w:val="002A37FE"/>
    <w:rsid w:val="002A3DDD"/>
    <w:rsid w:val="002A49E3"/>
    <w:rsid w:val="002A4B3C"/>
    <w:rsid w:val="002A5151"/>
    <w:rsid w:val="002A5B0E"/>
    <w:rsid w:val="002A6190"/>
    <w:rsid w:val="002A6748"/>
    <w:rsid w:val="002A6B75"/>
    <w:rsid w:val="002A71D8"/>
    <w:rsid w:val="002A760F"/>
    <w:rsid w:val="002A7622"/>
    <w:rsid w:val="002A7A7F"/>
    <w:rsid w:val="002A7B15"/>
    <w:rsid w:val="002A7B3D"/>
    <w:rsid w:val="002A7BB3"/>
    <w:rsid w:val="002B0C06"/>
    <w:rsid w:val="002B0FE9"/>
    <w:rsid w:val="002B113A"/>
    <w:rsid w:val="002B11A2"/>
    <w:rsid w:val="002B12DB"/>
    <w:rsid w:val="002B1653"/>
    <w:rsid w:val="002B173F"/>
    <w:rsid w:val="002B1A6D"/>
    <w:rsid w:val="002B1E66"/>
    <w:rsid w:val="002B1ECC"/>
    <w:rsid w:val="002B262C"/>
    <w:rsid w:val="002B2667"/>
    <w:rsid w:val="002B2677"/>
    <w:rsid w:val="002B2ADC"/>
    <w:rsid w:val="002B3109"/>
    <w:rsid w:val="002B3170"/>
    <w:rsid w:val="002B3FB7"/>
    <w:rsid w:val="002B43B6"/>
    <w:rsid w:val="002B4877"/>
    <w:rsid w:val="002B4BFB"/>
    <w:rsid w:val="002B60A9"/>
    <w:rsid w:val="002B64E6"/>
    <w:rsid w:val="002B7551"/>
    <w:rsid w:val="002B7FF3"/>
    <w:rsid w:val="002C0DD0"/>
    <w:rsid w:val="002C1369"/>
    <w:rsid w:val="002C1BE1"/>
    <w:rsid w:val="002C246C"/>
    <w:rsid w:val="002C2CCA"/>
    <w:rsid w:val="002C32EB"/>
    <w:rsid w:val="002C3E42"/>
    <w:rsid w:val="002C44F8"/>
    <w:rsid w:val="002C4852"/>
    <w:rsid w:val="002C4A3F"/>
    <w:rsid w:val="002C50EF"/>
    <w:rsid w:val="002C5181"/>
    <w:rsid w:val="002C5E06"/>
    <w:rsid w:val="002C5F13"/>
    <w:rsid w:val="002C6596"/>
    <w:rsid w:val="002C6A05"/>
    <w:rsid w:val="002C7216"/>
    <w:rsid w:val="002C7337"/>
    <w:rsid w:val="002D0773"/>
    <w:rsid w:val="002D0960"/>
    <w:rsid w:val="002D0F31"/>
    <w:rsid w:val="002D199A"/>
    <w:rsid w:val="002D1ED8"/>
    <w:rsid w:val="002D2542"/>
    <w:rsid w:val="002D25A5"/>
    <w:rsid w:val="002D27B0"/>
    <w:rsid w:val="002D30B7"/>
    <w:rsid w:val="002D3476"/>
    <w:rsid w:val="002D4650"/>
    <w:rsid w:val="002D4976"/>
    <w:rsid w:val="002D4BCC"/>
    <w:rsid w:val="002D4C30"/>
    <w:rsid w:val="002D5B25"/>
    <w:rsid w:val="002D5D37"/>
    <w:rsid w:val="002D61E6"/>
    <w:rsid w:val="002D6EF2"/>
    <w:rsid w:val="002D6F8A"/>
    <w:rsid w:val="002D705A"/>
    <w:rsid w:val="002D7888"/>
    <w:rsid w:val="002E03CE"/>
    <w:rsid w:val="002E081A"/>
    <w:rsid w:val="002E0A63"/>
    <w:rsid w:val="002E0D5F"/>
    <w:rsid w:val="002E19C8"/>
    <w:rsid w:val="002E1DA2"/>
    <w:rsid w:val="002E25E9"/>
    <w:rsid w:val="002E271B"/>
    <w:rsid w:val="002E2EC8"/>
    <w:rsid w:val="002E314A"/>
    <w:rsid w:val="002E3C61"/>
    <w:rsid w:val="002E3E96"/>
    <w:rsid w:val="002E4625"/>
    <w:rsid w:val="002E4719"/>
    <w:rsid w:val="002E4A49"/>
    <w:rsid w:val="002E4FE2"/>
    <w:rsid w:val="002E54FF"/>
    <w:rsid w:val="002E5FBA"/>
    <w:rsid w:val="002E6C9D"/>
    <w:rsid w:val="002E7001"/>
    <w:rsid w:val="002E755D"/>
    <w:rsid w:val="002E75C9"/>
    <w:rsid w:val="002F0387"/>
    <w:rsid w:val="002F0444"/>
    <w:rsid w:val="002F08F8"/>
    <w:rsid w:val="002F1C23"/>
    <w:rsid w:val="002F1CBC"/>
    <w:rsid w:val="002F2410"/>
    <w:rsid w:val="002F2996"/>
    <w:rsid w:val="002F2D77"/>
    <w:rsid w:val="002F3225"/>
    <w:rsid w:val="002F35A1"/>
    <w:rsid w:val="002F35AD"/>
    <w:rsid w:val="002F3835"/>
    <w:rsid w:val="002F3DB7"/>
    <w:rsid w:val="002F3F09"/>
    <w:rsid w:val="002F40E0"/>
    <w:rsid w:val="002F4845"/>
    <w:rsid w:val="002F4BAC"/>
    <w:rsid w:val="002F4E4F"/>
    <w:rsid w:val="002F4EDA"/>
    <w:rsid w:val="002F55EB"/>
    <w:rsid w:val="002F5638"/>
    <w:rsid w:val="002F5BB7"/>
    <w:rsid w:val="002F603A"/>
    <w:rsid w:val="002F6044"/>
    <w:rsid w:val="002F60BB"/>
    <w:rsid w:val="002F615A"/>
    <w:rsid w:val="002F635A"/>
    <w:rsid w:val="002F7B5D"/>
    <w:rsid w:val="00300165"/>
    <w:rsid w:val="00300601"/>
    <w:rsid w:val="0030090D"/>
    <w:rsid w:val="003011B1"/>
    <w:rsid w:val="003014DC"/>
    <w:rsid w:val="00301606"/>
    <w:rsid w:val="00301982"/>
    <w:rsid w:val="00301B27"/>
    <w:rsid w:val="0030209A"/>
    <w:rsid w:val="0030232B"/>
    <w:rsid w:val="00302341"/>
    <w:rsid w:val="00302821"/>
    <w:rsid w:val="00302F01"/>
    <w:rsid w:val="00303218"/>
    <w:rsid w:val="00303EB2"/>
    <w:rsid w:val="00304C24"/>
    <w:rsid w:val="00304D22"/>
    <w:rsid w:val="00304D97"/>
    <w:rsid w:val="00304EFC"/>
    <w:rsid w:val="0030537F"/>
    <w:rsid w:val="0030585C"/>
    <w:rsid w:val="00306743"/>
    <w:rsid w:val="0030677C"/>
    <w:rsid w:val="00306D70"/>
    <w:rsid w:val="00306E6C"/>
    <w:rsid w:val="00310DCD"/>
    <w:rsid w:val="00310F05"/>
    <w:rsid w:val="00311264"/>
    <w:rsid w:val="0031147F"/>
    <w:rsid w:val="00311BDC"/>
    <w:rsid w:val="00312A88"/>
    <w:rsid w:val="00312CFE"/>
    <w:rsid w:val="003132F9"/>
    <w:rsid w:val="00313557"/>
    <w:rsid w:val="00313E43"/>
    <w:rsid w:val="00314487"/>
    <w:rsid w:val="0031467B"/>
    <w:rsid w:val="0031472B"/>
    <w:rsid w:val="003153F9"/>
    <w:rsid w:val="00315440"/>
    <w:rsid w:val="003157FF"/>
    <w:rsid w:val="00315812"/>
    <w:rsid w:val="00315BD0"/>
    <w:rsid w:val="00315FCC"/>
    <w:rsid w:val="00316613"/>
    <w:rsid w:val="00316B4C"/>
    <w:rsid w:val="00317130"/>
    <w:rsid w:val="003172BB"/>
    <w:rsid w:val="00317CD3"/>
    <w:rsid w:val="00317D06"/>
    <w:rsid w:val="00320C87"/>
    <w:rsid w:val="00321453"/>
    <w:rsid w:val="00321580"/>
    <w:rsid w:val="00321634"/>
    <w:rsid w:val="003217F8"/>
    <w:rsid w:val="003223B1"/>
    <w:rsid w:val="00322FFA"/>
    <w:rsid w:val="00324317"/>
    <w:rsid w:val="0032447A"/>
    <w:rsid w:val="00324BD0"/>
    <w:rsid w:val="003255D1"/>
    <w:rsid w:val="0032563E"/>
    <w:rsid w:val="003257CC"/>
    <w:rsid w:val="003260F9"/>
    <w:rsid w:val="00326605"/>
    <w:rsid w:val="00326622"/>
    <w:rsid w:val="00326762"/>
    <w:rsid w:val="00326F31"/>
    <w:rsid w:val="00327195"/>
    <w:rsid w:val="0032721C"/>
    <w:rsid w:val="003272BD"/>
    <w:rsid w:val="003272DC"/>
    <w:rsid w:val="00327B23"/>
    <w:rsid w:val="00327BE0"/>
    <w:rsid w:val="00327E75"/>
    <w:rsid w:val="00327FD5"/>
    <w:rsid w:val="00332342"/>
    <w:rsid w:val="0033238B"/>
    <w:rsid w:val="00332B05"/>
    <w:rsid w:val="00332D0E"/>
    <w:rsid w:val="00332FF8"/>
    <w:rsid w:val="0033379F"/>
    <w:rsid w:val="003338B8"/>
    <w:rsid w:val="003339C3"/>
    <w:rsid w:val="00333D0E"/>
    <w:rsid w:val="00333FA5"/>
    <w:rsid w:val="00334A9C"/>
    <w:rsid w:val="00335F47"/>
    <w:rsid w:val="0033697C"/>
    <w:rsid w:val="00336A62"/>
    <w:rsid w:val="00336BE5"/>
    <w:rsid w:val="0033762A"/>
    <w:rsid w:val="00337644"/>
    <w:rsid w:val="00337CC5"/>
    <w:rsid w:val="00337F6D"/>
    <w:rsid w:val="0034044E"/>
    <w:rsid w:val="00340504"/>
    <w:rsid w:val="0034091A"/>
    <w:rsid w:val="003409EB"/>
    <w:rsid w:val="00340AD9"/>
    <w:rsid w:val="00340D62"/>
    <w:rsid w:val="00341541"/>
    <w:rsid w:val="003416A7"/>
    <w:rsid w:val="00341841"/>
    <w:rsid w:val="00341D33"/>
    <w:rsid w:val="00341D91"/>
    <w:rsid w:val="00341FF1"/>
    <w:rsid w:val="00342006"/>
    <w:rsid w:val="0034229B"/>
    <w:rsid w:val="003430DF"/>
    <w:rsid w:val="003436F2"/>
    <w:rsid w:val="003437FF"/>
    <w:rsid w:val="003440CF"/>
    <w:rsid w:val="00344164"/>
    <w:rsid w:val="00344397"/>
    <w:rsid w:val="00344A38"/>
    <w:rsid w:val="003455AF"/>
    <w:rsid w:val="003456A5"/>
    <w:rsid w:val="0034685B"/>
    <w:rsid w:val="0034693F"/>
    <w:rsid w:val="00346BBA"/>
    <w:rsid w:val="00346C58"/>
    <w:rsid w:val="00346D7E"/>
    <w:rsid w:val="00347005"/>
    <w:rsid w:val="00347165"/>
    <w:rsid w:val="00347255"/>
    <w:rsid w:val="00347663"/>
    <w:rsid w:val="00350286"/>
    <w:rsid w:val="0035052A"/>
    <w:rsid w:val="00350BB5"/>
    <w:rsid w:val="00350C1B"/>
    <w:rsid w:val="00350C5B"/>
    <w:rsid w:val="00350F76"/>
    <w:rsid w:val="00353547"/>
    <w:rsid w:val="00353A34"/>
    <w:rsid w:val="003546FC"/>
    <w:rsid w:val="00355521"/>
    <w:rsid w:val="0035596E"/>
    <w:rsid w:val="00355BB2"/>
    <w:rsid w:val="00355E1C"/>
    <w:rsid w:val="00355E25"/>
    <w:rsid w:val="003560EB"/>
    <w:rsid w:val="00357035"/>
    <w:rsid w:val="003577E6"/>
    <w:rsid w:val="003603DC"/>
    <w:rsid w:val="00360DC8"/>
    <w:rsid w:val="003610D2"/>
    <w:rsid w:val="00361341"/>
    <w:rsid w:val="003615CC"/>
    <w:rsid w:val="00361A54"/>
    <w:rsid w:val="00361A8F"/>
    <w:rsid w:val="00361C4F"/>
    <w:rsid w:val="00361F8B"/>
    <w:rsid w:val="003624F6"/>
    <w:rsid w:val="003628AE"/>
    <w:rsid w:val="003637F8"/>
    <w:rsid w:val="00363818"/>
    <w:rsid w:val="00363C9F"/>
    <w:rsid w:val="00363E29"/>
    <w:rsid w:val="00364A26"/>
    <w:rsid w:val="0036513D"/>
    <w:rsid w:val="00366D5A"/>
    <w:rsid w:val="00367021"/>
    <w:rsid w:val="0036726C"/>
    <w:rsid w:val="00367526"/>
    <w:rsid w:val="0036758D"/>
    <w:rsid w:val="0036771C"/>
    <w:rsid w:val="00367A9D"/>
    <w:rsid w:val="0037002B"/>
    <w:rsid w:val="00370066"/>
    <w:rsid w:val="00370A1A"/>
    <w:rsid w:val="00371486"/>
    <w:rsid w:val="00371965"/>
    <w:rsid w:val="003721FB"/>
    <w:rsid w:val="00372AAE"/>
    <w:rsid w:val="00373584"/>
    <w:rsid w:val="00373BC4"/>
    <w:rsid w:val="0037443A"/>
    <w:rsid w:val="00374ACA"/>
    <w:rsid w:val="00374BE7"/>
    <w:rsid w:val="003754A2"/>
    <w:rsid w:val="00375B95"/>
    <w:rsid w:val="00377677"/>
    <w:rsid w:val="003779BB"/>
    <w:rsid w:val="00377B4C"/>
    <w:rsid w:val="003803CC"/>
    <w:rsid w:val="003804DB"/>
    <w:rsid w:val="00380914"/>
    <w:rsid w:val="00380C26"/>
    <w:rsid w:val="00380CD8"/>
    <w:rsid w:val="00380DD2"/>
    <w:rsid w:val="00381177"/>
    <w:rsid w:val="003812F8"/>
    <w:rsid w:val="00381300"/>
    <w:rsid w:val="00381534"/>
    <w:rsid w:val="003817D1"/>
    <w:rsid w:val="003818A5"/>
    <w:rsid w:val="00381AD3"/>
    <w:rsid w:val="0038205B"/>
    <w:rsid w:val="00382060"/>
    <w:rsid w:val="00382A6B"/>
    <w:rsid w:val="00382B3C"/>
    <w:rsid w:val="003830CC"/>
    <w:rsid w:val="003834DD"/>
    <w:rsid w:val="00383749"/>
    <w:rsid w:val="0038375B"/>
    <w:rsid w:val="00383858"/>
    <w:rsid w:val="0038498B"/>
    <w:rsid w:val="003849AB"/>
    <w:rsid w:val="00384BC7"/>
    <w:rsid w:val="0038523C"/>
    <w:rsid w:val="00385C44"/>
    <w:rsid w:val="0038699C"/>
    <w:rsid w:val="003871F9"/>
    <w:rsid w:val="003875E2"/>
    <w:rsid w:val="003903D4"/>
    <w:rsid w:val="00390578"/>
    <w:rsid w:val="003907F5"/>
    <w:rsid w:val="003908C8"/>
    <w:rsid w:val="003909C9"/>
    <w:rsid w:val="00390A09"/>
    <w:rsid w:val="00390C62"/>
    <w:rsid w:val="00390D56"/>
    <w:rsid w:val="00391175"/>
    <w:rsid w:val="00391319"/>
    <w:rsid w:val="003913D0"/>
    <w:rsid w:val="003919B9"/>
    <w:rsid w:val="0039206D"/>
    <w:rsid w:val="003924CA"/>
    <w:rsid w:val="003927F6"/>
    <w:rsid w:val="00392D0C"/>
    <w:rsid w:val="00392EBA"/>
    <w:rsid w:val="00393117"/>
    <w:rsid w:val="003935BB"/>
    <w:rsid w:val="0039374C"/>
    <w:rsid w:val="003939BD"/>
    <w:rsid w:val="00393C08"/>
    <w:rsid w:val="00393F1F"/>
    <w:rsid w:val="00394CA8"/>
    <w:rsid w:val="00394F6C"/>
    <w:rsid w:val="003951A9"/>
    <w:rsid w:val="003958B0"/>
    <w:rsid w:val="00395C00"/>
    <w:rsid w:val="00395D51"/>
    <w:rsid w:val="00395F88"/>
    <w:rsid w:val="00396218"/>
    <w:rsid w:val="0039708C"/>
    <w:rsid w:val="003972A7"/>
    <w:rsid w:val="0039751C"/>
    <w:rsid w:val="003A02B5"/>
    <w:rsid w:val="003A0529"/>
    <w:rsid w:val="003A0953"/>
    <w:rsid w:val="003A0C5E"/>
    <w:rsid w:val="003A0E08"/>
    <w:rsid w:val="003A0FF5"/>
    <w:rsid w:val="003A154B"/>
    <w:rsid w:val="003A1554"/>
    <w:rsid w:val="003A1D8F"/>
    <w:rsid w:val="003A1FE0"/>
    <w:rsid w:val="003A26B7"/>
    <w:rsid w:val="003A2957"/>
    <w:rsid w:val="003A3A24"/>
    <w:rsid w:val="003A3F1D"/>
    <w:rsid w:val="003A4162"/>
    <w:rsid w:val="003A441E"/>
    <w:rsid w:val="003A45F2"/>
    <w:rsid w:val="003A5788"/>
    <w:rsid w:val="003A6718"/>
    <w:rsid w:val="003A6A64"/>
    <w:rsid w:val="003A6D20"/>
    <w:rsid w:val="003A6D7A"/>
    <w:rsid w:val="003A735D"/>
    <w:rsid w:val="003A7788"/>
    <w:rsid w:val="003A7C15"/>
    <w:rsid w:val="003B03DE"/>
    <w:rsid w:val="003B0D69"/>
    <w:rsid w:val="003B1572"/>
    <w:rsid w:val="003B1642"/>
    <w:rsid w:val="003B1798"/>
    <w:rsid w:val="003B1F7A"/>
    <w:rsid w:val="003B21A9"/>
    <w:rsid w:val="003B23CA"/>
    <w:rsid w:val="003B2DE0"/>
    <w:rsid w:val="003B315D"/>
    <w:rsid w:val="003B3834"/>
    <w:rsid w:val="003B3C1D"/>
    <w:rsid w:val="003B3C57"/>
    <w:rsid w:val="003B4077"/>
    <w:rsid w:val="003B417C"/>
    <w:rsid w:val="003B4D7F"/>
    <w:rsid w:val="003B61BC"/>
    <w:rsid w:val="003B69BA"/>
    <w:rsid w:val="003B6A80"/>
    <w:rsid w:val="003B6CAD"/>
    <w:rsid w:val="003B6F1B"/>
    <w:rsid w:val="003B6F27"/>
    <w:rsid w:val="003B7742"/>
    <w:rsid w:val="003B7819"/>
    <w:rsid w:val="003C1470"/>
    <w:rsid w:val="003C1609"/>
    <w:rsid w:val="003C18B1"/>
    <w:rsid w:val="003C1AFF"/>
    <w:rsid w:val="003C2468"/>
    <w:rsid w:val="003C2784"/>
    <w:rsid w:val="003C284D"/>
    <w:rsid w:val="003C289B"/>
    <w:rsid w:val="003C35FF"/>
    <w:rsid w:val="003C39DC"/>
    <w:rsid w:val="003C3C74"/>
    <w:rsid w:val="003C3F41"/>
    <w:rsid w:val="003C4024"/>
    <w:rsid w:val="003C4345"/>
    <w:rsid w:val="003C447F"/>
    <w:rsid w:val="003C4674"/>
    <w:rsid w:val="003C499E"/>
    <w:rsid w:val="003C5EFA"/>
    <w:rsid w:val="003C6236"/>
    <w:rsid w:val="003C670F"/>
    <w:rsid w:val="003C68C2"/>
    <w:rsid w:val="003C6C00"/>
    <w:rsid w:val="003C7097"/>
    <w:rsid w:val="003C7267"/>
    <w:rsid w:val="003C734E"/>
    <w:rsid w:val="003C7659"/>
    <w:rsid w:val="003C78D0"/>
    <w:rsid w:val="003C7C04"/>
    <w:rsid w:val="003D04E2"/>
    <w:rsid w:val="003D0822"/>
    <w:rsid w:val="003D174F"/>
    <w:rsid w:val="003D1AE6"/>
    <w:rsid w:val="003D1D13"/>
    <w:rsid w:val="003D1E11"/>
    <w:rsid w:val="003D2228"/>
    <w:rsid w:val="003D2A85"/>
    <w:rsid w:val="003D33D2"/>
    <w:rsid w:val="003D3BD3"/>
    <w:rsid w:val="003D4BC8"/>
    <w:rsid w:val="003D4FAB"/>
    <w:rsid w:val="003D4FFB"/>
    <w:rsid w:val="003D6307"/>
    <w:rsid w:val="003D64E3"/>
    <w:rsid w:val="003D66A5"/>
    <w:rsid w:val="003D66B9"/>
    <w:rsid w:val="003D7205"/>
    <w:rsid w:val="003D786D"/>
    <w:rsid w:val="003E020A"/>
    <w:rsid w:val="003E04D6"/>
    <w:rsid w:val="003E0B62"/>
    <w:rsid w:val="003E1953"/>
    <w:rsid w:val="003E275C"/>
    <w:rsid w:val="003E2C93"/>
    <w:rsid w:val="003E3630"/>
    <w:rsid w:val="003E3A7C"/>
    <w:rsid w:val="003E3D56"/>
    <w:rsid w:val="003E3E4F"/>
    <w:rsid w:val="003E4067"/>
    <w:rsid w:val="003E4084"/>
    <w:rsid w:val="003E5126"/>
    <w:rsid w:val="003E5151"/>
    <w:rsid w:val="003E55F9"/>
    <w:rsid w:val="003E6909"/>
    <w:rsid w:val="003E6A73"/>
    <w:rsid w:val="003E6F97"/>
    <w:rsid w:val="003E7306"/>
    <w:rsid w:val="003E7768"/>
    <w:rsid w:val="003E7DF0"/>
    <w:rsid w:val="003E7F54"/>
    <w:rsid w:val="003F0389"/>
    <w:rsid w:val="003F10D7"/>
    <w:rsid w:val="003F1630"/>
    <w:rsid w:val="003F22BC"/>
    <w:rsid w:val="003F2B11"/>
    <w:rsid w:val="003F2B8A"/>
    <w:rsid w:val="003F2D9A"/>
    <w:rsid w:val="003F2DAA"/>
    <w:rsid w:val="003F3351"/>
    <w:rsid w:val="003F3753"/>
    <w:rsid w:val="003F3829"/>
    <w:rsid w:val="003F3C79"/>
    <w:rsid w:val="003F40E9"/>
    <w:rsid w:val="003F416F"/>
    <w:rsid w:val="003F4800"/>
    <w:rsid w:val="003F4844"/>
    <w:rsid w:val="003F4AA3"/>
    <w:rsid w:val="003F4B52"/>
    <w:rsid w:val="003F4C61"/>
    <w:rsid w:val="003F5417"/>
    <w:rsid w:val="003F5649"/>
    <w:rsid w:val="003F5C9A"/>
    <w:rsid w:val="003F5F72"/>
    <w:rsid w:val="003F67A8"/>
    <w:rsid w:val="003F6D49"/>
    <w:rsid w:val="003F75FC"/>
    <w:rsid w:val="003F76FF"/>
    <w:rsid w:val="003F7B93"/>
    <w:rsid w:val="00400E95"/>
    <w:rsid w:val="00400EFE"/>
    <w:rsid w:val="00401258"/>
    <w:rsid w:val="00401397"/>
    <w:rsid w:val="004013E2"/>
    <w:rsid w:val="0040183F"/>
    <w:rsid w:val="00401923"/>
    <w:rsid w:val="00401D9E"/>
    <w:rsid w:val="00401E6D"/>
    <w:rsid w:val="004023CD"/>
    <w:rsid w:val="00402792"/>
    <w:rsid w:val="004030CE"/>
    <w:rsid w:val="004036D5"/>
    <w:rsid w:val="004037DF"/>
    <w:rsid w:val="004040D3"/>
    <w:rsid w:val="0040456D"/>
    <w:rsid w:val="00404B14"/>
    <w:rsid w:val="00405D0B"/>
    <w:rsid w:val="0040668A"/>
    <w:rsid w:val="00406734"/>
    <w:rsid w:val="004069B8"/>
    <w:rsid w:val="00407B6C"/>
    <w:rsid w:val="00407BD2"/>
    <w:rsid w:val="00407D35"/>
    <w:rsid w:val="00407DD6"/>
    <w:rsid w:val="00407F98"/>
    <w:rsid w:val="00410D18"/>
    <w:rsid w:val="004113A0"/>
    <w:rsid w:val="00411D3E"/>
    <w:rsid w:val="004122AA"/>
    <w:rsid w:val="004125AF"/>
    <w:rsid w:val="004129E6"/>
    <w:rsid w:val="00413706"/>
    <w:rsid w:val="00413873"/>
    <w:rsid w:val="00413A08"/>
    <w:rsid w:val="00413FF8"/>
    <w:rsid w:val="00414747"/>
    <w:rsid w:val="00414A90"/>
    <w:rsid w:val="00414C2C"/>
    <w:rsid w:val="00415C19"/>
    <w:rsid w:val="00415DDD"/>
    <w:rsid w:val="004161FD"/>
    <w:rsid w:val="004163AB"/>
    <w:rsid w:val="004164B1"/>
    <w:rsid w:val="004167B4"/>
    <w:rsid w:val="00416ABD"/>
    <w:rsid w:val="00416F85"/>
    <w:rsid w:val="0041714A"/>
    <w:rsid w:val="00417392"/>
    <w:rsid w:val="00417923"/>
    <w:rsid w:val="00417B95"/>
    <w:rsid w:val="00417BC3"/>
    <w:rsid w:val="00417CAE"/>
    <w:rsid w:val="00417EF7"/>
    <w:rsid w:val="00420302"/>
    <w:rsid w:val="00420367"/>
    <w:rsid w:val="00420679"/>
    <w:rsid w:val="004208A8"/>
    <w:rsid w:val="004208DA"/>
    <w:rsid w:val="00420923"/>
    <w:rsid w:val="00420D93"/>
    <w:rsid w:val="00421361"/>
    <w:rsid w:val="00421413"/>
    <w:rsid w:val="00421567"/>
    <w:rsid w:val="0042162F"/>
    <w:rsid w:val="00421B8D"/>
    <w:rsid w:val="004229BD"/>
    <w:rsid w:val="00423292"/>
    <w:rsid w:val="00423BC0"/>
    <w:rsid w:val="00424DD1"/>
    <w:rsid w:val="004252B1"/>
    <w:rsid w:val="00425389"/>
    <w:rsid w:val="00425560"/>
    <w:rsid w:val="0042586A"/>
    <w:rsid w:val="00425ECD"/>
    <w:rsid w:val="004265BF"/>
    <w:rsid w:val="00426827"/>
    <w:rsid w:val="00426D08"/>
    <w:rsid w:val="004279C9"/>
    <w:rsid w:val="00430474"/>
    <w:rsid w:val="0043119A"/>
    <w:rsid w:val="004311E8"/>
    <w:rsid w:val="004314C0"/>
    <w:rsid w:val="00431696"/>
    <w:rsid w:val="00431AFF"/>
    <w:rsid w:val="00431B13"/>
    <w:rsid w:val="004321C9"/>
    <w:rsid w:val="0043233B"/>
    <w:rsid w:val="0043292B"/>
    <w:rsid w:val="00432CC7"/>
    <w:rsid w:val="00432D0D"/>
    <w:rsid w:val="00432E0C"/>
    <w:rsid w:val="004332BB"/>
    <w:rsid w:val="0043346C"/>
    <w:rsid w:val="00433A44"/>
    <w:rsid w:val="00433D50"/>
    <w:rsid w:val="00434184"/>
    <w:rsid w:val="004341C5"/>
    <w:rsid w:val="00434305"/>
    <w:rsid w:val="00434662"/>
    <w:rsid w:val="004348DB"/>
    <w:rsid w:val="00434993"/>
    <w:rsid w:val="00434B3F"/>
    <w:rsid w:val="00434CDD"/>
    <w:rsid w:val="00435065"/>
    <w:rsid w:val="0043559D"/>
    <w:rsid w:val="00435919"/>
    <w:rsid w:val="004365F1"/>
    <w:rsid w:val="004366CF"/>
    <w:rsid w:val="004366EC"/>
    <w:rsid w:val="00436F15"/>
    <w:rsid w:val="004372CD"/>
    <w:rsid w:val="0044015C"/>
    <w:rsid w:val="004402AE"/>
    <w:rsid w:val="004404DE"/>
    <w:rsid w:val="004409DE"/>
    <w:rsid w:val="00440F11"/>
    <w:rsid w:val="00441124"/>
    <w:rsid w:val="00441528"/>
    <w:rsid w:val="004419A9"/>
    <w:rsid w:val="00442103"/>
    <w:rsid w:val="00442522"/>
    <w:rsid w:val="0044255D"/>
    <w:rsid w:val="0044291A"/>
    <w:rsid w:val="00442A00"/>
    <w:rsid w:val="00442AE3"/>
    <w:rsid w:val="00442ED6"/>
    <w:rsid w:val="004433EE"/>
    <w:rsid w:val="00443528"/>
    <w:rsid w:val="00443992"/>
    <w:rsid w:val="00443E58"/>
    <w:rsid w:val="004442A4"/>
    <w:rsid w:val="00444DDC"/>
    <w:rsid w:val="00444F06"/>
    <w:rsid w:val="00445220"/>
    <w:rsid w:val="00445477"/>
    <w:rsid w:val="004455BD"/>
    <w:rsid w:val="00445B9E"/>
    <w:rsid w:val="004465DE"/>
    <w:rsid w:val="0044674E"/>
    <w:rsid w:val="00447214"/>
    <w:rsid w:val="004475F0"/>
    <w:rsid w:val="00447786"/>
    <w:rsid w:val="004477B8"/>
    <w:rsid w:val="00447DCD"/>
    <w:rsid w:val="00450136"/>
    <w:rsid w:val="00450462"/>
    <w:rsid w:val="00450DEC"/>
    <w:rsid w:val="0045133D"/>
    <w:rsid w:val="004513E0"/>
    <w:rsid w:val="004519E2"/>
    <w:rsid w:val="00451F6D"/>
    <w:rsid w:val="00451FCE"/>
    <w:rsid w:val="004523D2"/>
    <w:rsid w:val="00452979"/>
    <w:rsid w:val="00452B64"/>
    <w:rsid w:val="00452E0D"/>
    <w:rsid w:val="00453296"/>
    <w:rsid w:val="00453309"/>
    <w:rsid w:val="0045340F"/>
    <w:rsid w:val="00454A58"/>
    <w:rsid w:val="00454B62"/>
    <w:rsid w:val="00454E1F"/>
    <w:rsid w:val="004557B2"/>
    <w:rsid w:val="004562B5"/>
    <w:rsid w:val="00457F8E"/>
    <w:rsid w:val="00461652"/>
    <w:rsid w:val="00461F46"/>
    <w:rsid w:val="00462B12"/>
    <w:rsid w:val="00462DEF"/>
    <w:rsid w:val="0046361E"/>
    <w:rsid w:val="00463A58"/>
    <w:rsid w:val="00463B0A"/>
    <w:rsid w:val="00463E81"/>
    <w:rsid w:val="00464490"/>
    <w:rsid w:val="00464555"/>
    <w:rsid w:val="00464B6E"/>
    <w:rsid w:val="004650CD"/>
    <w:rsid w:val="004657AC"/>
    <w:rsid w:val="004659FE"/>
    <w:rsid w:val="004667ED"/>
    <w:rsid w:val="00466914"/>
    <w:rsid w:val="00466A83"/>
    <w:rsid w:val="004674D0"/>
    <w:rsid w:val="0046779D"/>
    <w:rsid w:val="00467B4E"/>
    <w:rsid w:val="00467D00"/>
    <w:rsid w:val="00467F4B"/>
    <w:rsid w:val="0047065E"/>
    <w:rsid w:val="00470846"/>
    <w:rsid w:val="0047090E"/>
    <w:rsid w:val="00470E98"/>
    <w:rsid w:val="00471F70"/>
    <w:rsid w:val="00471F8A"/>
    <w:rsid w:val="004720B6"/>
    <w:rsid w:val="00472762"/>
    <w:rsid w:val="00472B77"/>
    <w:rsid w:val="00473007"/>
    <w:rsid w:val="004730BD"/>
    <w:rsid w:val="0047401E"/>
    <w:rsid w:val="0047499A"/>
    <w:rsid w:val="0047499B"/>
    <w:rsid w:val="00475266"/>
    <w:rsid w:val="00475324"/>
    <w:rsid w:val="00475DAC"/>
    <w:rsid w:val="004761D5"/>
    <w:rsid w:val="00476548"/>
    <w:rsid w:val="00476C98"/>
    <w:rsid w:val="00476EDC"/>
    <w:rsid w:val="004772F0"/>
    <w:rsid w:val="004773A1"/>
    <w:rsid w:val="00477E9A"/>
    <w:rsid w:val="004803A8"/>
    <w:rsid w:val="00480424"/>
    <w:rsid w:val="004805CD"/>
    <w:rsid w:val="0048064B"/>
    <w:rsid w:val="0048080A"/>
    <w:rsid w:val="00480849"/>
    <w:rsid w:val="00480FCA"/>
    <w:rsid w:val="0048121E"/>
    <w:rsid w:val="004812FE"/>
    <w:rsid w:val="00481BE7"/>
    <w:rsid w:val="00481EF9"/>
    <w:rsid w:val="00482869"/>
    <w:rsid w:val="004829F5"/>
    <w:rsid w:val="00482C1C"/>
    <w:rsid w:val="00482DE8"/>
    <w:rsid w:val="00483185"/>
    <w:rsid w:val="00483661"/>
    <w:rsid w:val="00484208"/>
    <w:rsid w:val="004846A2"/>
    <w:rsid w:val="0048557D"/>
    <w:rsid w:val="004857FB"/>
    <w:rsid w:val="004858EF"/>
    <w:rsid w:val="00485AC9"/>
    <w:rsid w:val="004865A2"/>
    <w:rsid w:val="00486981"/>
    <w:rsid w:val="00486FD3"/>
    <w:rsid w:val="004878E5"/>
    <w:rsid w:val="00490272"/>
    <w:rsid w:val="004902FE"/>
    <w:rsid w:val="00490656"/>
    <w:rsid w:val="00490C47"/>
    <w:rsid w:val="00491823"/>
    <w:rsid w:val="00491DF8"/>
    <w:rsid w:val="004922AA"/>
    <w:rsid w:val="004922AE"/>
    <w:rsid w:val="004924E8"/>
    <w:rsid w:val="00492511"/>
    <w:rsid w:val="00492633"/>
    <w:rsid w:val="00492F04"/>
    <w:rsid w:val="00493660"/>
    <w:rsid w:val="0049372F"/>
    <w:rsid w:val="00493DBC"/>
    <w:rsid w:val="004948A0"/>
    <w:rsid w:val="00494AFD"/>
    <w:rsid w:val="00495613"/>
    <w:rsid w:val="00495BEA"/>
    <w:rsid w:val="004965F9"/>
    <w:rsid w:val="0049664A"/>
    <w:rsid w:val="00496ADF"/>
    <w:rsid w:val="00496DFE"/>
    <w:rsid w:val="0049705E"/>
    <w:rsid w:val="0049761B"/>
    <w:rsid w:val="00497702"/>
    <w:rsid w:val="0049775D"/>
    <w:rsid w:val="004978E2"/>
    <w:rsid w:val="00497B84"/>
    <w:rsid w:val="00497CD6"/>
    <w:rsid w:val="004A027B"/>
    <w:rsid w:val="004A0312"/>
    <w:rsid w:val="004A0FBF"/>
    <w:rsid w:val="004A119C"/>
    <w:rsid w:val="004A1E25"/>
    <w:rsid w:val="004A223D"/>
    <w:rsid w:val="004A2334"/>
    <w:rsid w:val="004A27F7"/>
    <w:rsid w:val="004A2ED6"/>
    <w:rsid w:val="004A32AD"/>
    <w:rsid w:val="004A34F2"/>
    <w:rsid w:val="004A3AFF"/>
    <w:rsid w:val="004A3B78"/>
    <w:rsid w:val="004A3CA9"/>
    <w:rsid w:val="004A42FA"/>
    <w:rsid w:val="004A5062"/>
    <w:rsid w:val="004A6082"/>
    <w:rsid w:val="004A65DE"/>
    <w:rsid w:val="004A7034"/>
    <w:rsid w:val="004A711F"/>
    <w:rsid w:val="004A71E1"/>
    <w:rsid w:val="004B0226"/>
    <w:rsid w:val="004B039D"/>
    <w:rsid w:val="004B08C2"/>
    <w:rsid w:val="004B0902"/>
    <w:rsid w:val="004B09CC"/>
    <w:rsid w:val="004B0DCD"/>
    <w:rsid w:val="004B0FBE"/>
    <w:rsid w:val="004B125C"/>
    <w:rsid w:val="004B12F3"/>
    <w:rsid w:val="004B16B1"/>
    <w:rsid w:val="004B1C1B"/>
    <w:rsid w:val="004B2691"/>
    <w:rsid w:val="004B2E0F"/>
    <w:rsid w:val="004B312D"/>
    <w:rsid w:val="004B3C53"/>
    <w:rsid w:val="004B40D9"/>
    <w:rsid w:val="004B4437"/>
    <w:rsid w:val="004B44A4"/>
    <w:rsid w:val="004B44D5"/>
    <w:rsid w:val="004B48E1"/>
    <w:rsid w:val="004B4C37"/>
    <w:rsid w:val="004B4EFF"/>
    <w:rsid w:val="004B5007"/>
    <w:rsid w:val="004B560F"/>
    <w:rsid w:val="004B5756"/>
    <w:rsid w:val="004B5C39"/>
    <w:rsid w:val="004B793B"/>
    <w:rsid w:val="004B7E0D"/>
    <w:rsid w:val="004C0116"/>
    <w:rsid w:val="004C02B1"/>
    <w:rsid w:val="004C0543"/>
    <w:rsid w:val="004C05FB"/>
    <w:rsid w:val="004C0F9A"/>
    <w:rsid w:val="004C1059"/>
    <w:rsid w:val="004C1992"/>
    <w:rsid w:val="004C1C3A"/>
    <w:rsid w:val="004C1E5D"/>
    <w:rsid w:val="004C20D4"/>
    <w:rsid w:val="004C27B7"/>
    <w:rsid w:val="004C2828"/>
    <w:rsid w:val="004C2A78"/>
    <w:rsid w:val="004C2F36"/>
    <w:rsid w:val="004C34B2"/>
    <w:rsid w:val="004C3B2D"/>
    <w:rsid w:val="004C40FB"/>
    <w:rsid w:val="004C4116"/>
    <w:rsid w:val="004C4379"/>
    <w:rsid w:val="004C4C5A"/>
    <w:rsid w:val="004C5A39"/>
    <w:rsid w:val="004C5AC5"/>
    <w:rsid w:val="004C5FF8"/>
    <w:rsid w:val="004C6ACB"/>
    <w:rsid w:val="004C7923"/>
    <w:rsid w:val="004C7CE2"/>
    <w:rsid w:val="004C7D72"/>
    <w:rsid w:val="004D03D8"/>
    <w:rsid w:val="004D04BB"/>
    <w:rsid w:val="004D0B57"/>
    <w:rsid w:val="004D0C1A"/>
    <w:rsid w:val="004D0E65"/>
    <w:rsid w:val="004D16C8"/>
    <w:rsid w:val="004D16FF"/>
    <w:rsid w:val="004D1B5F"/>
    <w:rsid w:val="004D1E53"/>
    <w:rsid w:val="004D218B"/>
    <w:rsid w:val="004D279E"/>
    <w:rsid w:val="004D2A40"/>
    <w:rsid w:val="004D2E38"/>
    <w:rsid w:val="004D37B9"/>
    <w:rsid w:val="004D3987"/>
    <w:rsid w:val="004D3FDA"/>
    <w:rsid w:val="004D4137"/>
    <w:rsid w:val="004D4BE5"/>
    <w:rsid w:val="004D5D6C"/>
    <w:rsid w:val="004D64F6"/>
    <w:rsid w:val="004D743F"/>
    <w:rsid w:val="004D7489"/>
    <w:rsid w:val="004D76BB"/>
    <w:rsid w:val="004D78A2"/>
    <w:rsid w:val="004D7976"/>
    <w:rsid w:val="004D7BED"/>
    <w:rsid w:val="004E00DA"/>
    <w:rsid w:val="004E0B73"/>
    <w:rsid w:val="004E0D03"/>
    <w:rsid w:val="004E0F52"/>
    <w:rsid w:val="004E0FF0"/>
    <w:rsid w:val="004E135F"/>
    <w:rsid w:val="004E202C"/>
    <w:rsid w:val="004E24F3"/>
    <w:rsid w:val="004E24FE"/>
    <w:rsid w:val="004E2668"/>
    <w:rsid w:val="004E2E33"/>
    <w:rsid w:val="004E3DA5"/>
    <w:rsid w:val="004E3EAF"/>
    <w:rsid w:val="004E44D8"/>
    <w:rsid w:val="004E45F0"/>
    <w:rsid w:val="004E4FA8"/>
    <w:rsid w:val="004E5344"/>
    <w:rsid w:val="004E5EB5"/>
    <w:rsid w:val="004E658F"/>
    <w:rsid w:val="004E693F"/>
    <w:rsid w:val="004E70A7"/>
    <w:rsid w:val="004E70E3"/>
    <w:rsid w:val="004E76FD"/>
    <w:rsid w:val="004F0265"/>
    <w:rsid w:val="004F08CC"/>
    <w:rsid w:val="004F0D56"/>
    <w:rsid w:val="004F1393"/>
    <w:rsid w:val="004F188C"/>
    <w:rsid w:val="004F1DC5"/>
    <w:rsid w:val="004F1FAA"/>
    <w:rsid w:val="004F1FC5"/>
    <w:rsid w:val="004F2280"/>
    <w:rsid w:val="004F2C3D"/>
    <w:rsid w:val="004F2D70"/>
    <w:rsid w:val="004F3A88"/>
    <w:rsid w:val="004F3AA5"/>
    <w:rsid w:val="004F51F0"/>
    <w:rsid w:val="004F5A5B"/>
    <w:rsid w:val="004F5B4F"/>
    <w:rsid w:val="004F5B84"/>
    <w:rsid w:val="004F6291"/>
    <w:rsid w:val="004F6A32"/>
    <w:rsid w:val="004F6AD6"/>
    <w:rsid w:val="004F6C9C"/>
    <w:rsid w:val="004F7211"/>
    <w:rsid w:val="004F73E4"/>
    <w:rsid w:val="004F7FA2"/>
    <w:rsid w:val="005002C6"/>
    <w:rsid w:val="00500B7B"/>
    <w:rsid w:val="00500F10"/>
    <w:rsid w:val="005016CF"/>
    <w:rsid w:val="00501FEC"/>
    <w:rsid w:val="00502161"/>
    <w:rsid w:val="00502938"/>
    <w:rsid w:val="005029A9"/>
    <w:rsid w:val="00503903"/>
    <w:rsid w:val="00503969"/>
    <w:rsid w:val="00503F22"/>
    <w:rsid w:val="0050400A"/>
    <w:rsid w:val="005048EA"/>
    <w:rsid w:val="0050507F"/>
    <w:rsid w:val="00505104"/>
    <w:rsid w:val="005055AC"/>
    <w:rsid w:val="00505ADE"/>
    <w:rsid w:val="00505D72"/>
    <w:rsid w:val="00506143"/>
    <w:rsid w:val="005071EB"/>
    <w:rsid w:val="005074E2"/>
    <w:rsid w:val="005074EE"/>
    <w:rsid w:val="00507575"/>
    <w:rsid w:val="005078CA"/>
    <w:rsid w:val="00507AB1"/>
    <w:rsid w:val="00510299"/>
    <w:rsid w:val="00510B28"/>
    <w:rsid w:val="00511746"/>
    <w:rsid w:val="005128A3"/>
    <w:rsid w:val="00512AE8"/>
    <w:rsid w:val="00512BF0"/>
    <w:rsid w:val="0051452F"/>
    <w:rsid w:val="0051461A"/>
    <w:rsid w:val="00514C9B"/>
    <w:rsid w:val="00516036"/>
    <w:rsid w:val="0051620D"/>
    <w:rsid w:val="00516478"/>
    <w:rsid w:val="005169B4"/>
    <w:rsid w:val="005175C5"/>
    <w:rsid w:val="005175E1"/>
    <w:rsid w:val="00517F2D"/>
    <w:rsid w:val="005205EB"/>
    <w:rsid w:val="00520A1F"/>
    <w:rsid w:val="00520E25"/>
    <w:rsid w:val="00520FA9"/>
    <w:rsid w:val="0052103D"/>
    <w:rsid w:val="00521179"/>
    <w:rsid w:val="00521596"/>
    <w:rsid w:val="00522271"/>
    <w:rsid w:val="005222F5"/>
    <w:rsid w:val="00522A97"/>
    <w:rsid w:val="00522E2B"/>
    <w:rsid w:val="005230B6"/>
    <w:rsid w:val="005233D7"/>
    <w:rsid w:val="0052358B"/>
    <w:rsid w:val="00523C34"/>
    <w:rsid w:val="005244B8"/>
    <w:rsid w:val="00524517"/>
    <w:rsid w:val="005245D6"/>
    <w:rsid w:val="00524691"/>
    <w:rsid w:val="00524B14"/>
    <w:rsid w:val="00524D4E"/>
    <w:rsid w:val="005250AA"/>
    <w:rsid w:val="00525282"/>
    <w:rsid w:val="00525431"/>
    <w:rsid w:val="0052577E"/>
    <w:rsid w:val="00525A92"/>
    <w:rsid w:val="00525D3D"/>
    <w:rsid w:val="0052632F"/>
    <w:rsid w:val="0052684A"/>
    <w:rsid w:val="00526B82"/>
    <w:rsid w:val="00526F0C"/>
    <w:rsid w:val="005277CC"/>
    <w:rsid w:val="00527E25"/>
    <w:rsid w:val="005305C4"/>
    <w:rsid w:val="00530729"/>
    <w:rsid w:val="005308BC"/>
    <w:rsid w:val="0053118E"/>
    <w:rsid w:val="005316D6"/>
    <w:rsid w:val="00531A5D"/>
    <w:rsid w:val="00531DBB"/>
    <w:rsid w:val="00531F5F"/>
    <w:rsid w:val="00532071"/>
    <w:rsid w:val="00532544"/>
    <w:rsid w:val="005326CE"/>
    <w:rsid w:val="00532C15"/>
    <w:rsid w:val="00532EC3"/>
    <w:rsid w:val="00532EFC"/>
    <w:rsid w:val="00533055"/>
    <w:rsid w:val="0053313A"/>
    <w:rsid w:val="00533E67"/>
    <w:rsid w:val="005347F2"/>
    <w:rsid w:val="00534960"/>
    <w:rsid w:val="00534D27"/>
    <w:rsid w:val="0053536D"/>
    <w:rsid w:val="005354F8"/>
    <w:rsid w:val="00535587"/>
    <w:rsid w:val="00536051"/>
    <w:rsid w:val="00536455"/>
    <w:rsid w:val="0053729E"/>
    <w:rsid w:val="005379B1"/>
    <w:rsid w:val="00537AB7"/>
    <w:rsid w:val="00537BD5"/>
    <w:rsid w:val="00537D3D"/>
    <w:rsid w:val="00537E37"/>
    <w:rsid w:val="00537F14"/>
    <w:rsid w:val="00540013"/>
    <w:rsid w:val="00540070"/>
    <w:rsid w:val="0054018A"/>
    <w:rsid w:val="005402EC"/>
    <w:rsid w:val="00540397"/>
    <w:rsid w:val="00540707"/>
    <w:rsid w:val="00540977"/>
    <w:rsid w:val="005412A8"/>
    <w:rsid w:val="00541CCF"/>
    <w:rsid w:val="0054263D"/>
    <w:rsid w:val="00543234"/>
    <w:rsid w:val="00543E0A"/>
    <w:rsid w:val="00544181"/>
    <w:rsid w:val="00544449"/>
    <w:rsid w:val="005447BE"/>
    <w:rsid w:val="00544B8F"/>
    <w:rsid w:val="005451AA"/>
    <w:rsid w:val="005456C1"/>
    <w:rsid w:val="00545D67"/>
    <w:rsid w:val="00545DAD"/>
    <w:rsid w:val="00546506"/>
    <w:rsid w:val="00547257"/>
    <w:rsid w:val="0054743A"/>
    <w:rsid w:val="005478C8"/>
    <w:rsid w:val="005478D4"/>
    <w:rsid w:val="005478FE"/>
    <w:rsid w:val="00547CB4"/>
    <w:rsid w:val="00547F25"/>
    <w:rsid w:val="0055087C"/>
    <w:rsid w:val="0055106F"/>
    <w:rsid w:val="00551CA1"/>
    <w:rsid w:val="00551CA5"/>
    <w:rsid w:val="00551DFB"/>
    <w:rsid w:val="0055204D"/>
    <w:rsid w:val="0055284F"/>
    <w:rsid w:val="00553404"/>
    <w:rsid w:val="005535BE"/>
    <w:rsid w:val="00554003"/>
    <w:rsid w:val="005542E0"/>
    <w:rsid w:val="0055464D"/>
    <w:rsid w:val="00554826"/>
    <w:rsid w:val="00554C2C"/>
    <w:rsid w:val="00556022"/>
    <w:rsid w:val="00556B99"/>
    <w:rsid w:val="00556C55"/>
    <w:rsid w:val="00557133"/>
    <w:rsid w:val="0056017D"/>
    <w:rsid w:val="005601C8"/>
    <w:rsid w:val="005602F9"/>
    <w:rsid w:val="0056066D"/>
    <w:rsid w:val="00561123"/>
    <w:rsid w:val="00561173"/>
    <w:rsid w:val="00561286"/>
    <w:rsid w:val="0056130E"/>
    <w:rsid w:val="0056176B"/>
    <w:rsid w:val="00562443"/>
    <w:rsid w:val="00562D5A"/>
    <w:rsid w:val="00562DF5"/>
    <w:rsid w:val="005636E3"/>
    <w:rsid w:val="005637AE"/>
    <w:rsid w:val="00563B7A"/>
    <w:rsid w:val="00563E3E"/>
    <w:rsid w:val="00564535"/>
    <w:rsid w:val="00564B7C"/>
    <w:rsid w:val="00565057"/>
    <w:rsid w:val="00565120"/>
    <w:rsid w:val="00565CAE"/>
    <w:rsid w:val="005662E0"/>
    <w:rsid w:val="00566441"/>
    <w:rsid w:val="00566F08"/>
    <w:rsid w:val="00566F3D"/>
    <w:rsid w:val="00567026"/>
    <w:rsid w:val="0056766C"/>
    <w:rsid w:val="0057093A"/>
    <w:rsid w:val="00571426"/>
    <w:rsid w:val="005716C3"/>
    <w:rsid w:val="00571841"/>
    <w:rsid w:val="00571855"/>
    <w:rsid w:val="005719B0"/>
    <w:rsid w:val="00571BA4"/>
    <w:rsid w:val="00571C79"/>
    <w:rsid w:val="00572351"/>
    <w:rsid w:val="00572DAA"/>
    <w:rsid w:val="005733A8"/>
    <w:rsid w:val="005739E5"/>
    <w:rsid w:val="00573A36"/>
    <w:rsid w:val="00574614"/>
    <w:rsid w:val="0057466C"/>
    <w:rsid w:val="00574B9E"/>
    <w:rsid w:val="00575497"/>
    <w:rsid w:val="005761AB"/>
    <w:rsid w:val="0057646B"/>
    <w:rsid w:val="00576939"/>
    <w:rsid w:val="00576FD8"/>
    <w:rsid w:val="0057738B"/>
    <w:rsid w:val="005773D3"/>
    <w:rsid w:val="00577696"/>
    <w:rsid w:val="00580A94"/>
    <w:rsid w:val="00580BCC"/>
    <w:rsid w:val="00580CC4"/>
    <w:rsid w:val="00580F45"/>
    <w:rsid w:val="005813A4"/>
    <w:rsid w:val="00581513"/>
    <w:rsid w:val="00581599"/>
    <w:rsid w:val="00581A40"/>
    <w:rsid w:val="00581BBE"/>
    <w:rsid w:val="00582200"/>
    <w:rsid w:val="005828E3"/>
    <w:rsid w:val="00583006"/>
    <w:rsid w:val="0058309A"/>
    <w:rsid w:val="005832B8"/>
    <w:rsid w:val="005834A7"/>
    <w:rsid w:val="00584051"/>
    <w:rsid w:val="0058437D"/>
    <w:rsid w:val="005843F5"/>
    <w:rsid w:val="00584BF0"/>
    <w:rsid w:val="00584C2E"/>
    <w:rsid w:val="00584E83"/>
    <w:rsid w:val="005850D6"/>
    <w:rsid w:val="00585194"/>
    <w:rsid w:val="0058534D"/>
    <w:rsid w:val="005859B0"/>
    <w:rsid w:val="00585B07"/>
    <w:rsid w:val="00585DDB"/>
    <w:rsid w:val="0058673E"/>
    <w:rsid w:val="00586BC2"/>
    <w:rsid w:val="0058715B"/>
    <w:rsid w:val="00590699"/>
    <w:rsid w:val="005910D9"/>
    <w:rsid w:val="005912C9"/>
    <w:rsid w:val="005917F3"/>
    <w:rsid w:val="0059182F"/>
    <w:rsid w:val="005919D2"/>
    <w:rsid w:val="00591F28"/>
    <w:rsid w:val="00592805"/>
    <w:rsid w:val="00592941"/>
    <w:rsid w:val="00592A52"/>
    <w:rsid w:val="00592CC3"/>
    <w:rsid w:val="00592DF3"/>
    <w:rsid w:val="0059300E"/>
    <w:rsid w:val="00593137"/>
    <w:rsid w:val="005934FC"/>
    <w:rsid w:val="00593722"/>
    <w:rsid w:val="00593B5A"/>
    <w:rsid w:val="00594528"/>
    <w:rsid w:val="005949B4"/>
    <w:rsid w:val="00595094"/>
    <w:rsid w:val="005950E2"/>
    <w:rsid w:val="005957E2"/>
    <w:rsid w:val="005965B2"/>
    <w:rsid w:val="005965CB"/>
    <w:rsid w:val="00596A78"/>
    <w:rsid w:val="00596CCD"/>
    <w:rsid w:val="00597722"/>
    <w:rsid w:val="005978E3"/>
    <w:rsid w:val="00597B18"/>
    <w:rsid w:val="00597CCB"/>
    <w:rsid w:val="005A00BE"/>
    <w:rsid w:val="005A048F"/>
    <w:rsid w:val="005A13F7"/>
    <w:rsid w:val="005A1799"/>
    <w:rsid w:val="005A2430"/>
    <w:rsid w:val="005A29FE"/>
    <w:rsid w:val="005A38EB"/>
    <w:rsid w:val="005A5AAB"/>
    <w:rsid w:val="005A6521"/>
    <w:rsid w:val="005A6F6C"/>
    <w:rsid w:val="005A704C"/>
    <w:rsid w:val="005A778F"/>
    <w:rsid w:val="005A7D90"/>
    <w:rsid w:val="005B0686"/>
    <w:rsid w:val="005B0C7B"/>
    <w:rsid w:val="005B1166"/>
    <w:rsid w:val="005B197C"/>
    <w:rsid w:val="005B1F66"/>
    <w:rsid w:val="005B270A"/>
    <w:rsid w:val="005B297D"/>
    <w:rsid w:val="005B2A41"/>
    <w:rsid w:val="005B2C45"/>
    <w:rsid w:val="005B2CCF"/>
    <w:rsid w:val="005B303C"/>
    <w:rsid w:val="005B324D"/>
    <w:rsid w:val="005B3286"/>
    <w:rsid w:val="005B3401"/>
    <w:rsid w:val="005B3A69"/>
    <w:rsid w:val="005B417F"/>
    <w:rsid w:val="005B4CB9"/>
    <w:rsid w:val="005B4FCD"/>
    <w:rsid w:val="005B54A1"/>
    <w:rsid w:val="005B60AF"/>
    <w:rsid w:val="005B60EF"/>
    <w:rsid w:val="005B6410"/>
    <w:rsid w:val="005B6C52"/>
    <w:rsid w:val="005B7673"/>
    <w:rsid w:val="005C06AC"/>
    <w:rsid w:val="005C0E5B"/>
    <w:rsid w:val="005C0F31"/>
    <w:rsid w:val="005C10D6"/>
    <w:rsid w:val="005C11F3"/>
    <w:rsid w:val="005C121A"/>
    <w:rsid w:val="005C12B3"/>
    <w:rsid w:val="005C1B58"/>
    <w:rsid w:val="005C1B8C"/>
    <w:rsid w:val="005C1BFF"/>
    <w:rsid w:val="005C1C7C"/>
    <w:rsid w:val="005C21D0"/>
    <w:rsid w:val="005C3559"/>
    <w:rsid w:val="005C3619"/>
    <w:rsid w:val="005C49BB"/>
    <w:rsid w:val="005C4C8E"/>
    <w:rsid w:val="005C4E88"/>
    <w:rsid w:val="005C4FEA"/>
    <w:rsid w:val="005C5606"/>
    <w:rsid w:val="005C5AFB"/>
    <w:rsid w:val="005C5E3F"/>
    <w:rsid w:val="005C660D"/>
    <w:rsid w:val="005C6CEE"/>
    <w:rsid w:val="005C6D07"/>
    <w:rsid w:val="005C7663"/>
    <w:rsid w:val="005D01DE"/>
    <w:rsid w:val="005D0923"/>
    <w:rsid w:val="005D0942"/>
    <w:rsid w:val="005D12A6"/>
    <w:rsid w:val="005D160A"/>
    <w:rsid w:val="005D1BBF"/>
    <w:rsid w:val="005D1CEB"/>
    <w:rsid w:val="005D214E"/>
    <w:rsid w:val="005D23FA"/>
    <w:rsid w:val="005D250E"/>
    <w:rsid w:val="005D2782"/>
    <w:rsid w:val="005D283E"/>
    <w:rsid w:val="005D3055"/>
    <w:rsid w:val="005D37EC"/>
    <w:rsid w:val="005D3931"/>
    <w:rsid w:val="005D3DBE"/>
    <w:rsid w:val="005D4226"/>
    <w:rsid w:val="005D431B"/>
    <w:rsid w:val="005D53D2"/>
    <w:rsid w:val="005D5D87"/>
    <w:rsid w:val="005D5F60"/>
    <w:rsid w:val="005D658D"/>
    <w:rsid w:val="005D6910"/>
    <w:rsid w:val="005D6967"/>
    <w:rsid w:val="005D6A97"/>
    <w:rsid w:val="005D6DEA"/>
    <w:rsid w:val="005D7204"/>
    <w:rsid w:val="005D743F"/>
    <w:rsid w:val="005D7866"/>
    <w:rsid w:val="005D7D35"/>
    <w:rsid w:val="005E00E2"/>
    <w:rsid w:val="005E045C"/>
    <w:rsid w:val="005E0565"/>
    <w:rsid w:val="005E0AE5"/>
    <w:rsid w:val="005E0D98"/>
    <w:rsid w:val="005E13E2"/>
    <w:rsid w:val="005E1C2E"/>
    <w:rsid w:val="005E1FEB"/>
    <w:rsid w:val="005E2073"/>
    <w:rsid w:val="005E2B52"/>
    <w:rsid w:val="005E3168"/>
    <w:rsid w:val="005E387F"/>
    <w:rsid w:val="005E3B3A"/>
    <w:rsid w:val="005E3F58"/>
    <w:rsid w:val="005E44E6"/>
    <w:rsid w:val="005E516F"/>
    <w:rsid w:val="005E5324"/>
    <w:rsid w:val="005E553C"/>
    <w:rsid w:val="005E58A1"/>
    <w:rsid w:val="005E5B20"/>
    <w:rsid w:val="005E5E4B"/>
    <w:rsid w:val="005E6757"/>
    <w:rsid w:val="005E7CC0"/>
    <w:rsid w:val="005F0907"/>
    <w:rsid w:val="005F0A77"/>
    <w:rsid w:val="005F143F"/>
    <w:rsid w:val="005F18EF"/>
    <w:rsid w:val="005F1A33"/>
    <w:rsid w:val="005F1C0B"/>
    <w:rsid w:val="005F20D6"/>
    <w:rsid w:val="005F21C6"/>
    <w:rsid w:val="005F2488"/>
    <w:rsid w:val="005F2A4C"/>
    <w:rsid w:val="005F31F7"/>
    <w:rsid w:val="005F3460"/>
    <w:rsid w:val="005F3CCF"/>
    <w:rsid w:val="005F3D79"/>
    <w:rsid w:val="005F4DE3"/>
    <w:rsid w:val="005F52F2"/>
    <w:rsid w:val="005F5400"/>
    <w:rsid w:val="005F59CA"/>
    <w:rsid w:val="005F5F9B"/>
    <w:rsid w:val="005F6702"/>
    <w:rsid w:val="005F6AE1"/>
    <w:rsid w:val="005F6C52"/>
    <w:rsid w:val="005F7151"/>
    <w:rsid w:val="005F72B3"/>
    <w:rsid w:val="005F72CB"/>
    <w:rsid w:val="005F77E4"/>
    <w:rsid w:val="005F786E"/>
    <w:rsid w:val="005F7B25"/>
    <w:rsid w:val="00600119"/>
    <w:rsid w:val="00601455"/>
    <w:rsid w:val="006017A7"/>
    <w:rsid w:val="006017BC"/>
    <w:rsid w:val="00601C3A"/>
    <w:rsid w:val="00601CA4"/>
    <w:rsid w:val="00601D16"/>
    <w:rsid w:val="00601D4D"/>
    <w:rsid w:val="00602695"/>
    <w:rsid w:val="006026E1"/>
    <w:rsid w:val="00602F35"/>
    <w:rsid w:val="006035CF"/>
    <w:rsid w:val="00603854"/>
    <w:rsid w:val="00603A73"/>
    <w:rsid w:val="00603F92"/>
    <w:rsid w:val="00604B43"/>
    <w:rsid w:val="00604DF3"/>
    <w:rsid w:val="006055F7"/>
    <w:rsid w:val="00605C1C"/>
    <w:rsid w:val="00606D2E"/>
    <w:rsid w:val="0060769C"/>
    <w:rsid w:val="00610136"/>
    <w:rsid w:val="00610178"/>
    <w:rsid w:val="00610179"/>
    <w:rsid w:val="00610950"/>
    <w:rsid w:val="00611351"/>
    <w:rsid w:val="00611446"/>
    <w:rsid w:val="00611450"/>
    <w:rsid w:val="006118A0"/>
    <w:rsid w:val="006118E2"/>
    <w:rsid w:val="0061206A"/>
    <w:rsid w:val="00612719"/>
    <w:rsid w:val="00612E24"/>
    <w:rsid w:val="00613143"/>
    <w:rsid w:val="00613434"/>
    <w:rsid w:val="00613C1D"/>
    <w:rsid w:val="00613CCC"/>
    <w:rsid w:val="00614CC6"/>
    <w:rsid w:val="00614D31"/>
    <w:rsid w:val="00614E5B"/>
    <w:rsid w:val="00615226"/>
    <w:rsid w:val="00615CFF"/>
    <w:rsid w:val="00615E20"/>
    <w:rsid w:val="00616001"/>
    <w:rsid w:val="0061702A"/>
    <w:rsid w:val="00617A03"/>
    <w:rsid w:val="0062090D"/>
    <w:rsid w:val="00620945"/>
    <w:rsid w:val="00620E17"/>
    <w:rsid w:val="006211DB"/>
    <w:rsid w:val="0062160D"/>
    <w:rsid w:val="00621AB4"/>
    <w:rsid w:val="00621C45"/>
    <w:rsid w:val="00621F52"/>
    <w:rsid w:val="00622D4F"/>
    <w:rsid w:val="006233A3"/>
    <w:rsid w:val="006234DF"/>
    <w:rsid w:val="00623B1C"/>
    <w:rsid w:val="00623D0E"/>
    <w:rsid w:val="006240AA"/>
    <w:rsid w:val="0062481D"/>
    <w:rsid w:val="00624BE4"/>
    <w:rsid w:val="00625491"/>
    <w:rsid w:val="00625990"/>
    <w:rsid w:val="00626126"/>
    <w:rsid w:val="006274AF"/>
    <w:rsid w:val="0062772B"/>
    <w:rsid w:val="0062788F"/>
    <w:rsid w:val="006278A5"/>
    <w:rsid w:val="00627CFD"/>
    <w:rsid w:val="00630042"/>
    <w:rsid w:val="00630119"/>
    <w:rsid w:val="006304AA"/>
    <w:rsid w:val="00630C55"/>
    <w:rsid w:val="006319A9"/>
    <w:rsid w:val="00631D17"/>
    <w:rsid w:val="00631DF7"/>
    <w:rsid w:val="006322E3"/>
    <w:rsid w:val="00632423"/>
    <w:rsid w:val="00632A5B"/>
    <w:rsid w:val="00632AD6"/>
    <w:rsid w:val="00632FA0"/>
    <w:rsid w:val="00633359"/>
    <w:rsid w:val="006337C5"/>
    <w:rsid w:val="00634511"/>
    <w:rsid w:val="00634A48"/>
    <w:rsid w:val="00634CAD"/>
    <w:rsid w:val="00634DD0"/>
    <w:rsid w:val="00634E7F"/>
    <w:rsid w:val="00634EC9"/>
    <w:rsid w:val="00634F80"/>
    <w:rsid w:val="00635407"/>
    <w:rsid w:val="00635535"/>
    <w:rsid w:val="00636123"/>
    <w:rsid w:val="006361BA"/>
    <w:rsid w:val="00636583"/>
    <w:rsid w:val="006366AA"/>
    <w:rsid w:val="0063673D"/>
    <w:rsid w:val="00637563"/>
    <w:rsid w:val="006375D0"/>
    <w:rsid w:val="0063787B"/>
    <w:rsid w:val="00637FEA"/>
    <w:rsid w:val="006409F4"/>
    <w:rsid w:val="0064119F"/>
    <w:rsid w:val="00641590"/>
    <w:rsid w:val="006420C7"/>
    <w:rsid w:val="006422FC"/>
    <w:rsid w:val="00642406"/>
    <w:rsid w:val="0064264B"/>
    <w:rsid w:val="00642841"/>
    <w:rsid w:val="00642945"/>
    <w:rsid w:val="0064313D"/>
    <w:rsid w:val="00643278"/>
    <w:rsid w:val="006434D4"/>
    <w:rsid w:val="006437EF"/>
    <w:rsid w:val="00643B6B"/>
    <w:rsid w:val="00643BA0"/>
    <w:rsid w:val="00643D43"/>
    <w:rsid w:val="00643EED"/>
    <w:rsid w:val="00645359"/>
    <w:rsid w:val="0064536B"/>
    <w:rsid w:val="0064544C"/>
    <w:rsid w:val="00645B68"/>
    <w:rsid w:val="00645E4B"/>
    <w:rsid w:val="0064625C"/>
    <w:rsid w:val="00647054"/>
    <w:rsid w:val="0064711F"/>
    <w:rsid w:val="006473D4"/>
    <w:rsid w:val="00647CE0"/>
    <w:rsid w:val="0065005D"/>
    <w:rsid w:val="00650714"/>
    <w:rsid w:val="00650F51"/>
    <w:rsid w:val="00651BC2"/>
    <w:rsid w:val="00651C57"/>
    <w:rsid w:val="0065283A"/>
    <w:rsid w:val="00652956"/>
    <w:rsid w:val="00652E00"/>
    <w:rsid w:val="00653446"/>
    <w:rsid w:val="00653897"/>
    <w:rsid w:val="00653C93"/>
    <w:rsid w:val="00653CA8"/>
    <w:rsid w:val="00653E52"/>
    <w:rsid w:val="00655607"/>
    <w:rsid w:val="00655627"/>
    <w:rsid w:val="006558E2"/>
    <w:rsid w:val="00655993"/>
    <w:rsid w:val="00655A12"/>
    <w:rsid w:val="00655CA1"/>
    <w:rsid w:val="00655FD4"/>
    <w:rsid w:val="0065608F"/>
    <w:rsid w:val="00656243"/>
    <w:rsid w:val="0065646E"/>
    <w:rsid w:val="0065671D"/>
    <w:rsid w:val="00656FE9"/>
    <w:rsid w:val="006572A9"/>
    <w:rsid w:val="00660322"/>
    <w:rsid w:val="00660C5E"/>
    <w:rsid w:val="00660E50"/>
    <w:rsid w:val="00661126"/>
    <w:rsid w:val="00661983"/>
    <w:rsid w:val="006621D7"/>
    <w:rsid w:val="0066226C"/>
    <w:rsid w:val="0066289A"/>
    <w:rsid w:val="00662B31"/>
    <w:rsid w:val="00662D1E"/>
    <w:rsid w:val="00663062"/>
    <w:rsid w:val="006633FE"/>
    <w:rsid w:val="00663C09"/>
    <w:rsid w:val="00664067"/>
    <w:rsid w:val="00666226"/>
    <w:rsid w:val="0066624A"/>
    <w:rsid w:val="0066666D"/>
    <w:rsid w:val="00666A4F"/>
    <w:rsid w:val="00666B68"/>
    <w:rsid w:val="006671F2"/>
    <w:rsid w:val="006675C5"/>
    <w:rsid w:val="00667BB3"/>
    <w:rsid w:val="00667DB1"/>
    <w:rsid w:val="00670B01"/>
    <w:rsid w:val="00670C75"/>
    <w:rsid w:val="00671520"/>
    <w:rsid w:val="006716E7"/>
    <w:rsid w:val="006726B9"/>
    <w:rsid w:val="0067289F"/>
    <w:rsid w:val="006734DE"/>
    <w:rsid w:val="00673D1B"/>
    <w:rsid w:val="00673D6A"/>
    <w:rsid w:val="00674068"/>
    <w:rsid w:val="00674429"/>
    <w:rsid w:val="00674949"/>
    <w:rsid w:val="00674E3F"/>
    <w:rsid w:val="00675125"/>
    <w:rsid w:val="006751A3"/>
    <w:rsid w:val="00675647"/>
    <w:rsid w:val="006757A7"/>
    <w:rsid w:val="00675F28"/>
    <w:rsid w:val="00676C65"/>
    <w:rsid w:val="00676E1B"/>
    <w:rsid w:val="00677411"/>
    <w:rsid w:val="00677893"/>
    <w:rsid w:val="006778F3"/>
    <w:rsid w:val="00677C8D"/>
    <w:rsid w:val="006811D4"/>
    <w:rsid w:val="00681595"/>
    <w:rsid w:val="00681627"/>
    <w:rsid w:val="006817DE"/>
    <w:rsid w:val="00681D8B"/>
    <w:rsid w:val="00681F1F"/>
    <w:rsid w:val="00682497"/>
    <w:rsid w:val="00682A88"/>
    <w:rsid w:val="00682F47"/>
    <w:rsid w:val="00685144"/>
    <w:rsid w:val="006856F5"/>
    <w:rsid w:val="00685CCE"/>
    <w:rsid w:val="006865EB"/>
    <w:rsid w:val="00686843"/>
    <w:rsid w:val="00686A3C"/>
    <w:rsid w:val="00686C8F"/>
    <w:rsid w:val="006871CF"/>
    <w:rsid w:val="006872DE"/>
    <w:rsid w:val="006875FF"/>
    <w:rsid w:val="006876FF"/>
    <w:rsid w:val="00687797"/>
    <w:rsid w:val="00687929"/>
    <w:rsid w:val="00687B04"/>
    <w:rsid w:val="00687F7B"/>
    <w:rsid w:val="00690EFA"/>
    <w:rsid w:val="006910F9"/>
    <w:rsid w:val="0069137B"/>
    <w:rsid w:val="00691635"/>
    <w:rsid w:val="006925D8"/>
    <w:rsid w:val="00692747"/>
    <w:rsid w:val="00692A73"/>
    <w:rsid w:val="006931A4"/>
    <w:rsid w:val="006932CE"/>
    <w:rsid w:val="0069353C"/>
    <w:rsid w:val="00694AC1"/>
    <w:rsid w:val="0069518D"/>
    <w:rsid w:val="00695374"/>
    <w:rsid w:val="00695A7E"/>
    <w:rsid w:val="00695E95"/>
    <w:rsid w:val="00696319"/>
    <w:rsid w:val="006964F9"/>
    <w:rsid w:val="006965D8"/>
    <w:rsid w:val="00696A44"/>
    <w:rsid w:val="00696A79"/>
    <w:rsid w:val="00696C99"/>
    <w:rsid w:val="00697323"/>
    <w:rsid w:val="006976CB"/>
    <w:rsid w:val="006976E9"/>
    <w:rsid w:val="006979CB"/>
    <w:rsid w:val="006979D2"/>
    <w:rsid w:val="00697FB2"/>
    <w:rsid w:val="006A0CBE"/>
    <w:rsid w:val="006A2A2F"/>
    <w:rsid w:val="006A2AA6"/>
    <w:rsid w:val="006A2D4E"/>
    <w:rsid w:val="006A39E7"/>
    <w:rsid w:val="006A45F8"/>
    <w:rsid w:val="006A4856"/>
    <w:rsid w:val="006A51E5"/>
    <w:rsid w:val="006A57C9"/>
    <w:rsid w:val="006A5875"/>
    <w:rsid w:val="006A607D"/>
    <w:rsid w:val="006A7129"/>
    <w:rsid w:val="006A71AF"/>
    <w:rsid w:val="006A7215"/>
    <w:rsid w:val="006A754D"/>
    <w:rsid w:val="006A7CA9"/>
    <w:rsid w:val="006B03F7"/>
    <w:rsid w:val="006B0619"/>
    <w:rsid w:val="006B0644"/>
    <w:rsid w:val="006B095F"/>
    <w:rsid w:val="006B0BAD"/>
    <w:rsid w:val="006B10C6"/>
    <w:rsid w:val="006B1B87"/>
    <w:rsid w:val="006B1BAF"/>
    <w:rsid w:val="006B1E9C"/>
    <w:rsid w:val="006B1F33"/>
    <w:rsid w:val="006B2546"/>
    <w:rsid w:val="006B3FA6"/>
    <w:rsid w:val="006B486D"/>
    <w:rsid w:val="006B4AD6"/>
    <w:rsid w:val="006B4AD8"/>
    <w:rsid w:val="006B4F4B"/>
    <w:rsid w:val="006B6445"/>
    <w:rsid w:val="006B648F"/>
    <w:rsid w:val="006B668A"/>
    <w:rsid w:val="006B719C"/>
    <w:rsid w:val="006B7307"/>
    <w:rsid w:val="006B7778"/>
    <w:rsid w:val="006B7C9B"/>
    <w:rsid w:val="006C0554"/>
    <w:rsid w:val="006C0DF0"/>
    <w:rsid w:val="006C11D1"/>
    <w:rsid w:val="006C1E71"/>
    <w:rsid w:val="006C2861"/>
    <w:rsid w:val="006C29B1"/>
    <w:rsid w:val="006C2D23"/>
    <w:rsid w:val="006C3168"/>
    <w:rsid w:val="006C3FDC"/>
    <w:rsid w:val="006C4384"/>
    <w:rsid w:val="006C47FC"/>
    <w:rsid w:val="006C492D"/>
    <w:rsid w:val="006C51AB"/>
    <w:rsid w:val="006C5566"/>
    <w:rsid w:val="006C5EAF"/>
    <w:rsid w:val="006C6163"/>
    <w:rsid w:val="006C685C"/>
    <w:rsid w:val="006C6A07"/>
    <w:rsid w:val="006C6E98"/>
    <w:rsid w:val="006C71EA"/>
    <w:rsid w:val="006C72F0"/>
    <w:rsid w:val="006C7394"/>
    <w:rsid w:val="006C778C"/>
    <w:rsid w:val="006C7DE2"/>
    <w:rsid w:val="006C7F81"/>
    <w:rsid w:val="006D0910"/>
    <w:rsid w:val="006D0AE8"/>
    <w:rsid w:val="006D0C16"/>
    <w:rsid w:val="006D1623"/>
    <w:rsid w:val="006D16CD"/>
    <w:rsid w:val="006D193F"/>
    <w:rsid w:val="006D1A97"/>
    <w:rsid w:val="006D2C49"/>
    <w:rsid w:val="006D4669"/>
    <w:rsid w:val="006D493F"/>
    <w:rsid w:val="006D49D4"/>
    <w:rsid w:val="006D4A56"/>
    <w:rsid w:val="006D4DAE"/>
    <w:rsid w:val="006D514D"/>
    <w:rsid w:val="006D59AE"/>
    <w:rsid w:val="006D5C7A"/>
    <w:rsid w:val="006D5C96"/>
    <w:rsid w:val="006D62D7"/>
    <w:rsid w:val="006D644D"/>
    <w:rsid w:val="006D6E9A"/>
    <w:rsid w:val="006D7553"/>
    <w:rsid w:val="006D7E74"/>
    <w:rsid w:val="006E014C"/>
    <w:rsid w:val="006E0154"/>
    <w:rsid w:val="006E061D"/>
    <w:rsid w:val="006E06EB"/>
    <w:rsid w:val="006E1069"/>
    <w:rsid w:val="006E112F"/>
    <w:rsid w:val="006E1238"/>
    <w:rsid w:val="006E1FFD"/>
    <w:rsid w:val="006E22AE"/>
    <w:rsid w:val="006E2583"/>
    <w:rsid w:val="006E35BB"/>
    <w:rsid w:val="006E41C1"/>
    <w:rsid w:val="006E45DA"/>
    <w:rsid w:val="006E4A2E"/>
    <w:rsid w:val="006E545B"/>
    <w:rsid w:val="006E5604"/>
    <w:rsid w:val="006E56CF"/>
    <w:rsid w:val="006E5898"/>
    <w:rsid w:val="006E6139"/>
    <w:rsid w:val="006E6CFC"/>
    <w:rsid w:val="006E6E70"/>
    <w:rsid w:val="006E745A"/>
    <w:rsid w:val="006E74F3"/>
    <w:rsid w:val="006F0853"/>
    <w:rsid w:val="006F174F"/>
    <w:rsid w:val="006F1B30"/>
    <w:rsid w:val="006F1B4A"/>
    <w:rsid w:val="006F1DFD"/>
    <w:rsid w:val="006F1F41"/>
    <w:rsid w:val="006F2085"/>
    <w:rsid w:val="006F226B"/>
    <w:rsid w:val="006F2372"/>
    <w:rsid w:val="006F268A"/>
    <w:rsid w:val="006F2C6D"/>
    <w:rsid w:val="006F2DB0"/>
    <w:rsid w:val="006F435D"/>
    <w:rsid w:val="006F4376"/>
    <w:rsid w:val="006F49BD"/>
    <w:rsid w:val="006F50F9"/>
    <w:rsid w:val="006F5137"/>
    <w:rsid w:val="006F5336"/>
    <w:rsid w:val="006F626F"/>
    <w:rsid w:val="006F62EE"/>
    <w:rsid w:val="006F6446"/>
    <w:rsid w:val="006F64C3"/>
    <w:rsid w:val="006F656D"/>
    <w:rsid w:val="006F66A9"/>
    <w:rsid w:val="006F686C"/>
    <w:rsid w:val="006F70EC"/>
    <w:rsid w:val="006F7131"/>
    <w:rsid w:val="006F78C2"/>
    <w:rsid w:val="007000E2"/>
    <w:rsid w:val="0070061D"/>
    <w:rsid w:val="00700965"/>
    <w:rsid w:val="00700AEF"/>
    <w:rsid w:val="00700D3F"/>
    <w:rsid w:val="0070113E"/>
    <w:rsid w:val="0070150F"/>
    <w:rsid w:val="00701AB8"/>
    <w:rsid w:val="00701C27"/>
    <w:rsid w:val="007022F1"/>
    <w:rsid w:val="00703310"/>
    <w:rsid w:val="00703392"/>
    <w:rsid w:val="00703472"/>
    <w:rsid w:val="00703523"/>
    <w:rsid w:val="00703731"/>
    <w:rsid w:val="00703746"/>
    <w:rsid w:val="007039B7"/>
    <w:rsid w:val="00703D49"/>
    <w:rsid w:val="0070422E"/>
    <w:rsid w:val="00704985"/>
    <w:rsid w:val="00704BCE"/>
    <w:rsid w:val="00704E02"/>
    <w:rsid w:val="007053AF"/>
    <w:rsid w:val="00705756"/>
    <w:rsid w:val="007062A1"/>
    <w:rsid w:val="007065CC"/>
    <w:rsid w:val="00706C1C"/>
    <w:rsid w:val="00706E80"/>
    <w:rsid w:val="00707B9E"/>
    <w:rsid w:val="0071023E"/>
    <w:rsid w:val="00711ECD"/>
    <w:rsid w:val="007122BD"/>
    <w:rsid w:val="007123B0"/>
    <w:rsid w:val="007129C0"/>
    <w:rsid w:val="00712ECD"/>
    <w:rsid w:val="00713274"/>
    <w:rsid w:val="007133A8"/>
    <w:rsid w:val="0071400A"/>
    <w:rsid w:val="0071468F"/>
    <w:rsid w:val="00714F75"/>
    <w:rsid w:val="007152D1"/>
    <w:rsid w:val="00715F81"/>
    <w:rsid w:val="0071604A"/>
    <w:rsid w:val="00716760"/>
    <w:rsid w:val="00716B20"/>
    <w:rsid w:val="00716C5A"/>
    <w:rsid w:val="00717168"/>
    <w:rsid w:val="007176BF"/>
    <w:rsid w:val="00717741"/>
    <w:rsid w:val="00717AF3"/>
    <w:rsid w:val="00717B6F"/>
    <w:rsid w:val="00717F21"/>
    <w:rsid w:val="007200D7"/>
    <w:rsid w:val="00720127"/>
    <w:rsid w:val="00720DB6"/>
    <w:rsid w:val="00720E8F"/>
    <w:rsid w:val="007210BC"/>
    <w:rsid w:val="00721581"/>
    <w:rsid w:val="007217DF"/>
    <w:rsid w:val="00722B3D"/>
    <w:rsid w:val="00722B44"/>
    <w:rsid w:val="00722CC9"/>
    <w:rsid w:val="00722CF2"/>
    <w:rsid w:val="00722DC4"/>
    <w:rsid w:val="00722F3F"/>
    <w:rsid w:val="00722FAA"/>
    <w:rsid w:val="00724157"/>
    <w:rsid w:val="0072445B"/>
    <w:rsid w:val="00725099"/>
    <w:rsid w:val="0072541D"/>
    <w:rsid w:val="00725A47"/>
    <w:rsid w:val="0072771A"/>
    <w:rsid w:val="00730670"/>
    <w:rsid w:val="00730A07"/>
    <w:rsid w:val="00730E42"/>
    <w:rsid w:val="007311E5"/>
    <w:rsid w:val="007312CA"/>
    <w:rsid w:val="007313CD"/>
    <w:rsid w:val="00731BAE"/>
    <w:rsid w:val="00731E98"/>
    <w:rsid w:val="007321E9"/>
    <w:rsid w:val="00732469"/>
    <w:rsid w:val="00732559"/>
    <w:rsid w:val="00732860"/>
    <w:rsid w:val="00732B80"/>
    <w:rsid w:val="00732C6C"/>
    <w:rsid w:val="0073426B"/>
    <w:rsid w:val="0073461A"/>
    <w:rsid w:val="00734660"/>
    <w:rsid w:val="00734745"/>
    <w:rsid w:val="007349D1"/>
    <w:rsid w:val="00734D02"/>
    <w:rsid w:val="007352FC"/>
    <w:rsid w:val="00735583"/>
    <w:rsid w:val="007355DA"/>
    <w:rsid w:val="0073566E"/>
    <w:rsid w:val="007357A8"/>
    <w:rsid w:val="00735B4C"/>
    <w:rsid w:val="00735B89"/>
    <w:rsid w:val="00735C51"/>
    <w:rsid w:val="00736AA6"/>
    <w:rsid w:val="00737C29"/>
    <w:rsid w:val="00737F3D"/>
    <w:rsid w:val="007400A2"/>
    <w:rsid w:val="007407CC"/>
    <w:rsid w:val="00741116"/>
    <w:rsid w:val="007412EF"/>
    <w:rsid w:val="007417C4"/>
    <w:rsid w:val="00741832"/>
    <w:rsid w:val="00741E91"/>
    <w:rsid w:val="0074289C"/>
    <w:rsid w:val="00742A9F"/>
    <w:rsid w:val="00742FA4"/>
    <w:rsid w:val="00744215"/>
    <w:rsid w:val="00744E20"/>
    <w:rsid w:val="00745390"/>
    <w:rsid w:val="007454DE"/>
    <w:rsid w:val="00745645"/>
    <w:rsid w:val="00745849"/>
    <w:rsid w:val="00745A22"/>
    <w:rsid w:val="00745A93"/>
    <w:rsid w:val="00746472"/>
    <w:rsid w:val="00746545"/>
    <w:rsid w:val="00747D3A"/>
    <w:rsid w:val="00747D95"/>
    <w:rsid w:val="00750052"/>
    <w:rsid w:val="0075008A"/>
    <w:rsid w:val="00750F32"/>
    <w:rsid w:val="0075138A"/>
    <w:rsid w:val="00751A89"/>
    <w:rsid w:val="007528FA"/>
    <w:rsid w:val="0075294D"/>
    <w:rsid w:val="00752DF2"/>
    <w:rsid w:val="00752F03"/>
    <w:rsid w:val="007530BA"/>
    <w:rsid w:val="00753757"/>
    <w:rsid w:val="00753AFE"/>
    <w:rsid w:val="00753D16"/>
    <w:rsid w:val="00754A97"/>
    <w:rsid w:val="00754EEB"/>
    <w:rsid w:val="007561FA"/>
    <w:rsid w:val="007564CE"/>
    <w:rsid w:val="007567B3"/>
    <w:rsid w:val="00756993"/>
    <w:rsid w:val="007574ED"/>
    <w:rsid w:val="007578DC"/>
    <w:rsid w:val="007605DD"/>
    <w:rsid w:val="00760706"/>
    <w:rsid w:val="00761F27"/>
    <w:rsid w:val="0076209B"/>
    <w:rsid w:val="0076221E"/>
    <w:rsid w:val="00762ADA"/>
    <w:rsid w:val="00762E5A"/>
    <w:rsid w:val="0076355B"/>
    <w:rsid w:val="00763BD5"/>
    <w:rsid w:val="00763F10"/>
    <w:rsid w:val="0076475E"/>
    <w:rsid w:val="00764D1E"/>
    <w:rsid w:val="007652D4"/>
    <w:rsid w:val="007659C4"/>
    <w:rsid w:val="00765B24"/>
    <w:rsid w:val="00765DF4"/>
    <w:rsid w:val="00766593"/>
    <w:rsid w:val="007665E5"/>
    <w:rsid w:val="00766614"/>
    <w:rsid w:val="00766C65"/>
    <w:rsid w:val="00766D05"/>
    <w:rsid w:val="0076706F"/>
    <w:rsid w:val="007675D0"/>
    <w:rsid w:val="00767686"/>
    <w:rsid w:val="00770CA0"/>
    <w:rsid w:val="00770D1A"/>
    <w:rsid w:val="00771CAA"/>
    <w:rsid w:val="00771D35"/>
    <w:rsid w:val="00772383"/>
    <w:rsid w:val="00772B43"/>
    <w:rsid w:val="00772CF9"/>
    <w:rsid w:val="00773919"/>
    <w:rsid w:val="00774534"/>
    <w:rsid w:val="00775148"/>
    <w:rsid w:val="0077545A"/>
    <w:rsid w:val="00775A0D"/>
    <w:rsid w:val="00775E3F"/>
    <w:rsid w:val="007765CB"/>
    <w:rsid w:val="007766EB"/>
    <w:rsid w:val="00776958"/>
    <w:rsid w:val="0077734B"/>
    <w:rsid w:val="00777E81"/>
    <w:rsid w:val="007805A4"/>
    <w:rsid w:val="00781FC6"/>
    <w:rsid w:val="00782156"/>
    <w:rsid w:val="00783300"/>
    <w:rsid w:val="007835CD"/>
    <w:rsid w:val="00784759"/>
    <w:rsid w:val="00784D7D"/>
    <w:rsid w:val="00784DE7"/>
    <w:rsid w:val="00785512"/>
    <w:rsid w:val="0078558F"/>
    <w:rsid w:val="0078617B"/>
    <w:rsid w:val="007862C3"/>
    <w:rsid w:val="00786469"/>
    <w:rsid w:val="0078653B"/>
    <w:rsid w:val="0078664A"/>
    <w:rsid w:val="00786A4C"/>
    <w:rsid w:val="007877DD"/>
    <w:rsid w:val="00787DDE"/>
    <w:rsid w:val="007906E0"/>
    <w:rsid w:val="00790746"/>
    <w:rsid w:val="00790808"/>
    <w:rsid w:val="00790B0D"/>
    <w:rsid w:val="007911BC"/>
    <w:rsid w:val="00791DA1"/>
    <w:rsid w:val="00792070"/>
    <w:rsid w:val="00792DA7"/>
    <w:rsid w:val="007933A1"/>
    <w:rsid w:val="007935F5"/>
    <w:rsid w:val="007938D9"/>
    <w:rsid w:val="00794144"/>
    <w:rsid w:val="007941CA"/>
    <w:rsid w:val="00794946"/>
    <w:rsid w:val="00794C9E"/>
    <w:rsid w:val="00795285"/>
    <w:rsid w:val="00795544"/>
    <w:rsid w:val="00795597"/>
    <w:rsid w:val="00795624"/>
    <w:rsid w:val="007956BE"/>
    <w:rsid w:val="007956CF"/>
    <w:rsid w:val="00795C46"/>
    <w:rsid w:val="00795D70"/>
    <w:rsid w:val="00795DDE"/>
    <w:rsid w:val="00797635"/>
    <w:rsid w:val="00797942"/>
    <w:rsid w:val="00797EE5"/>
    <w:rsid w:val="007A00BD"/>
    <w:rsid w:val="007A1F93"/>
    <w:rsid w:val="007A2895"/>
    <w:rsid w:val="007A31A8"/>
    <w:rsid w:val="007A36E4"/>
    <w:rsid w:val="007A37B7"/>
    <w:rsid w:val="007A38CF"/>
    <w:rsid w:val="007A3A9B"/>
    <w:rsid w:val="007A3CB2"/>
    <w:rsid w:val="007A3EF5"/>
    <w:rsid w:val="007A4063"/>
    <w:rsid w:val="007A428F"/>
    <w:rsid w:val="007A45F2"/>
    <w:rsid w:val="007A4FC8"/>
    <w:rsid w:val="007A53FD"/>
    <w:rsid w:val="007A5976"/>
    <w:rsid w:val="007A59DC"/>
    <w:rsid w:val="007A5A12"/>
    <w:rsid w:val="007A6446"/>
    <w:rsid w:val="007A6BB6"/>
    <w:rsid w:val="007A6CCD"/>
    <w:rsid w:val="007A6D62"/>
    <w:rsid w:val="007A7682"/>
    <w:rsid w:val="007A7D4D"/>
    <w:rsid w:val="007B0610"/>
    <w:rsid w:val="007B0A9F"/>
    <w:rsid w:val="007B1369"/>
    <w:rsid w:val="007B18DF"/>
    <w:rsid w:val="007B1907"/>
    <w:rsid w:val="007B2D70"/>
    <w:rsid w:val="007B3569"/>
    <w:rsid w:val="007B36D8"/>
    <w:rsid w:val="007B391C"/>
    <w:rsid w:val="007B4538"/>
    <w:rsid w:val="007B47AC"/>
    <w:rsid w:val="007B48B4"/>
    <w:rsid w:val="007B4AB0"/>
    <w:rsid w:val="007B4D6F"/>
    <w:rsid w:val="007B518C"/>
    <w:rsid w:val="007B55F0"/>
    <w:rsid w:val="007B56A7"/>
    <w:rsid w:val="007B56C2"/>
    <w:rsid w:val="007B586D"/>
    <w:rsid w:val="007B596E"/>
    <w:rsid w:val="007B5B5F"/>
    <w:rsid w:val="007B69F3"/>
    <w:rsid w:val="007B6A46"/>
    <w:rsid w:val="007B7396"/>
    <w:rsid w:val="007B75C2"/>
    <w:rsid w:val="007B7A87"/>
    <w:rsid w:val="007B7C0E"/>
    <w:rsid w:val="007C00BC"/>
    <w:rsid w:val="007C0743"/>
    <w:rsid w:val="007C0F61"/>
    <w:rsid w:val="007C169E"/>
    <w:rsid w:val="007C2102"/>
    <w:rsid w:val="007C2336"/>
    <w:rsid w:val="007C23F5"/>
    <w:rsid w:val="007C249B"/>
    <w:rsid w:val="007C24DD"/>
    <w:rsid w:val="007C24FE"/>
    <w:rsid w:val="007C2A68"/>
    <w:rsid w:val="007C2ACE"/>
    <w:rsid w:val="007C42AE"/>
    <w:rsid w:val="007C53E2"/>
    <w:rsid w:val="007C5784"/>
    <w:rsid w:val="007C61A2"/>
    <w:rsid w:val="007C638D"/>
    <w:rsid w:val="007C6665"/>
    <w:rsid w:val="007C6A23"/>
    <w:rsid w:val="007C6BD0"/>
    <w:rsid w:val="007C72BC"/>
    <w:rsid w:val="007C752D"/>
    <w:rsid w:val="007C75D6"/>
    <w:rsid w:val="007C7BA9"/>
    <w:rsid w:val="007D0901"/>
    <w:rsid w:val="007D0CDA"/>
    <w:rsid w:val="007D1F37"/>
    <w:rsid w:val="007D2032"/>
    <w:rsid w:val="007D271A"/>
    <w:rsid w:val="007D2C12"/>
    <w:rsid w:val="007D2DFC"/>
    <w:rsid w:val="007D3333"/>
    <w:rsid w:val="007D3A65"/>
    <w:rsid w:val="007D3F90"/>
    <w:rsid w:val="007D4275"/>
    <w:rsid w:val="007D4834"/>
    <w:rsid w:val="007D5029"/>
    <w:rsid w:val="007D513C"/>
    <w:rsid w:val="007D5444"/>
    <w:rsid w:val="007D5CB3"/>
    <w:rsid w:val="007D6792"/>
    <w:rsid w:val="007D69A9"/>
    <w:rsid w:val="007D6A6F"/>
    <w:rsid w:val="007D6C8D"/>
    <w:rsid w:val="007D7AD2"/>
    <w:rsid w:val="007E0050"/>
    <w:rsid w:val="007E0577"/>
    <w:rsid w:val="007E08C3"/>
    <w:rsid w:val="007E08CA"/>
    <w:rsid w:val="007E0DE0"/>
    <w:rsid w:val="007E11E8"/>
    <w:rsid w:val="007E137F"/>
    <w:rsid w:val="007E1CD0"/>
    <w:rsid w:val="007E2108"/>
    <w:rsid w:val="007E22DC"/>
    <w:rsid w:val="007E26F8"/>
    <w:rsid w:val="007E28BD"/>
    <w:rsid w:val="007E28CA"/>
    <w:rsid w:val="007E2A64"/>
    <w:rsid w:val="007E2FB1"/>
    <w:rsid w:val="007E3217"/>
    <w:rsid w:val="007E3822"/>
    <w:rsid w:val="007E4856"/>
    <w:rsid w:val="007E5142"/>
    <w:rsid w:val="007E555B"/>
    <w:rsid w:val="007E5865"/>
    <w:rsid w:val="007E5FFC"/>
    <w:rsid w:val="007E6099"/>
    <w:rsid w:val="007E65C7"/>
    <w:rsid w:val="007E67E4"/>
    <w:rsid w:val="007E6B38"/>
    <w:rsid w:val="007E6E8B"/>
    <w:rsid w:val="007E737E"/>
    <w:rsid w:val="007E7942"/>
    <w:rsid w:val="007E7A8C"/>
    <w:rsid w:val="007F03AA"/>
    <w:rsid w:val="007F0508"/>
    <w:rsid w:val="007F186B"/>
    <w:rsid w:val="007F1C12"/>
    <w:rsid w:val="007F21D4"/>
    <w:rsid w:val="007F23BC"/>
    <w:rsid w:val="007F290D"/>
    <w:rsid w:val="007F297B"/>
    <w:rsid w:val="007F29E8"/>
    <w:rsid w:val="007F3E3C"/>
    <w:rsid w:val="007F4B24"/>
    <w:rsid w:val="007F4C45"/>
    <w:rsid w:val="007F6378"/>
    <w:rsid w:val="007F78FB"/>
    <w:rsid w:val="007F7A20"/>
    <w:rsid w:val="007F7BB7"/>
    <w:rsid w:val="008000AD"/>
    <w:rsid w:val="00800179"/>
    <w:rsid w:val="00800847"/>
    <w:rsid w:val="00800C73"/>
    <w:rsid w:val="00800F3B"/>
    <w:rsid w:val="00801C51"/>
    <w:rsid w:val="00802141"/>
    <w:rsid w:val="008029F8"/>
    <w:rsid w:val="00802A4E"/>
    <w:rsid w:val="00802A60"/>
    <w:rsid w:val="00802B9A"/>
    <w:rsid w:val="00802DA3"/>
    <w:rsid w:val="00803136"/>
    <w:rsid w:val="00803E2D"/>
    <w:rsid w:val="00804433"/>
    <w:rsid w:val="00804C13"/>
    <w:rsid w:val="00804D41"/>
    <w:rsid w:val="00805256"/>
    <w:rsid w:val="008055A6"/>
    <w:rsid w:val="00805D21"/>
    <w:rsid w:val="00805D67"/>
    <w:rsid w:val="008060D0"/>
    <w:rsid w:val="008072ED"/>
    <w:rsid w:val="00807923"/>
    <w:rsid w:val="00807FDB"/>
    <w:rsid w:val="008100B4"/>
    <w:rsid w:val="008100C3"/>
    <w:rsid w:val="00810566"/>
    <w:rsid w:val="00810C05"/>
    <w:rsid w:val="008116B2"/>
    <w:rsid w:val="008124E7"/>
    <w:rsid w:val="00812EEE"/>
    <w:rsid w:val="00813060"/>
    <w:rsid w:val="00813D52"/>
    <w:rsid w:val="00813E05"/>
    <w:rsid w:val="0081405B"/>
    <w:rsid w:val="008141E5"/>
    <w:rsid w:val="00814413"/>
    <w:rsid w:val="0081443E"/>
    <w:rsid w:val="00814529"/>
    <w:rsid w:val="008146FA"/>
    <w:rsid w:val="00814EC7"/>
    <w:rsid w:val="00815049"/>
    <w:rsid w:val="00815172"/>
    <w:rsid w:val="00815448"/>
    <w:rsid w:val="00815513"/>
    <w:rsid w:val="008158D0"/>
    <w:rsid w:val="00815BEF"/>
    <w:rsid w:val="00815CEE"/>
    <w:rsid w:val="0081613A"/>
    <w:rsid w:val="00816231"/>
    <w:rsid w:val="0081640C"/>
    <w:rsid w:val="00816BB3"/>
    <w:rsid w:val="00817054"/>
    <w:rsid w:val="00817B3D"/>
    <w:rsid w:val="00817F63"/>
    <w:rsid w:val="00820071"/>
    <w:rsid w:val="00820AC6"/>
    <w:rsid w:val="00820C21"/>
    <w:rsid w:val="00820D4B"/>
    <w:rsid w:val="008215FB"/>
    <w:rsid w:val="00822295"/>
    <w:rsid w:val="00822645"/>
    <w:rsid w:val="008227A4"/>
    <w:rsid w:val="00822843"/>
    <w:rsid w:val="00822E80"/>
    <w:rsid w:val="00823149"/>
    <w:rsid w:val="0082388B"/>
    <w:rsid w:val="00823F68"/>
    <w:rsid w:val="00823FB1"/>
    <w:rsid w:val="008243CE"/>
    <w:rsid w:val="008248EE"/>
    <w:rsid w:val="00824AD2"/>
    <w:rsid w:val="00824AF6"/>
    <w:rsid w:val="00824DD7"/>
    <w:rsid w:val="00825616"/>
    <w:rsid w:val="00825725"/>
    <w:rsid w:val="00825854"/>
    <w:rsid w:val="008266E0"/>
    <w:rsid w:val="0082711C"/>
    <w:rsid w:val="00827605"/>
    <w:rsid w:val="008300DD"/>
    <w:rsid w:val="00830B41"/>
    <w:rsid w:val="00830E5C"/>
    <w:rsid w:val="00830EBA"/>
    <w:rsid w:val="00830FE3"/>
    <w:rsid w:val="0083118B"/>
    <w:rsid w:val="00831B37"/>
    <w:rsid w:val="00831BCE"/>
    <w:rsid w:val="008328DA"/>
    <w:rsid w:val="00832A77"/>
    <w:rsid w:val="0083358F"/>
    <w:rsid w:val="008346C0"/>
    <w:rsid w:val="008347ED"/>
    <w:rsid w:val="00834A75"/>
    <w:rsid w:val="00834ECD"/>
    <w:rsid w:val="00834EFA"/>
    <w:rsid w:val="0083528F"/>
    <w:rsid w:val="0083564B"/>
    <w:rsid w:val="00835853"/>
    <w:rsid w:val="00835CA5"/>
    <w:rsid w:val="00836232"/>
    <w:rsid w:val="008363B5"/>
    <w:rsid w:val="00836EC9"/>
    <w:rsid w:val="00836FE4"/>
    <w:rsid w:val="0083766C"/>
    <w:rsid w:val="0083769D"/>
    <w:rsid w:val="008405DD"/>
    <w:rsid w:val="008413BD"/>
    <w:rsid w:val="00841EF6"/>
    <w:rsid w:val="008422C6"/>
    <w:rsid w:val="008423C9"/>
    <w:rsid w:val="008424C4"/>
    <w:rsid w:val="00842898"/>
    <w:rsid w:val="00842A52"/>
    <w:rsid w:val="00842AF0"/>
    <w:rsid w:val="00842B3C"/>
    <w:rsid w:val="00842BED"/>
    <w:rsid w:val="008432EF"/>
    <w:rsid w:val="00843C66"/>
    <w:rsid w:val="00843CCD"/>
    <w:rsid w:val="00844156"/>
    <w:rsid w:val="008445A9"/>
    <w:rsid w:val="0084466E"/>
    <w:rsid w:val="008452CF"/>
    <w:rsid w:val="00845344"/>
    <w:rsid w:val="00845452"/>
    <w:rsid w:val="008462CF"/>
    <w:rsid w:val="0084649C"/>
    <w:rsid w:val="0084675C"/>
    <w:rsid w:val="00846761"/>
    <w:rsid w:val="00846912"/>
    <w:rsid w:val="0084699C"/>
    <w:rsid w:val="00847034"/>
    <w:rsid w:val="00847268"/>
    <w:rsid w:val="00847BDC"/>
    <w:rsid w:val="00847D76"/>
    <w:rsid w:val="00850786"/>
    <w:rsid w:val="0085099C"/>
    <w:rsid w:val="00851A0C"/>
    <w:rsid w:val="008520F7"/>
    <w:rsid w:val="008530BA"/>
    <w:rsid w:val="00853196"/>
    <w:rsid w:val="00853852"/>
    <w:rsid w:val="00853BBE"/>
    <w:rsid w:val="0085434D"/>
    <w:rsid w:val="0085455C"/>
    <w:rsid w:val="0085460A"/>
    <w:rsid w:val="00855234"/>
    <w:rsid w:val="00856034"/>
    <w:rsid w:val="0085650B"/>
    <w:rsid w:val="00856AC9"/>
    <w:rsid w:val="00856ACD"/>
    <w:rsid w:val="00856BBA"/>
    <w:rsid w:val="00856FED"/>
    <w:rsid w:val="00857617"/>
    <w:rsid w:val="008576D8"/>
    <w:rsid w:val="00857B9D"/>
    <w:rsid w:val="00857F9E"/>
    <w:rsid w:val="00860888"/>
    <w:rsid w:val="008609E9"/>
    <w:rsid w:val="00861411"/>
    <w:rsid w:val="008616A8"/>
    <w:rsid w:val="00861FE5"/>
    <w:rsid w:val="0086288B"/>
    <w:rsid w:val="008628A5"/>
    <w:rsid w:val="00862AE4"/>
    <w:rsid w:val="00863070"/>
    <w:rsid w:val="0086346B"/>
    <w:rsid w:val="0086349C"/>
    <w:rsid w:val="00863714"/>
    <w:rsid w:val="00863860"/>
    <w:rsid w:val="00863995"/>
    <w:rsid w:val="00863B40"/>
    <w:rsid w:val="00863DF5"/>
    <w:rsid w:val="008644AC"/>
    <w:rsid w:val="00864556"/>
    <w:rsid w:val="00864D69"/>
    <w:rsid w:val="00864DCF"/>
    <w:rsid w:val="0086518C"/>
    <w:rsid w:val="00865651"/>
    <w:rsid w:val="00865FF7"/>
    <w:rsid w:val="00866599"/>
    <w:rsid w:val="00866686"/>
    <w:rsid w:val="008666FB"/>
    <w:rsid w:val="00866BA5"/>
    <w:rsid w:val="00867275"/>
    <w:rsid w:val="008679DF"/>
    <w:rsid w:val="008701B6"/>
    <w:rsid w:val="0087072F"/>
    <w:rsid w:val="00870B76"/>
    <w:rsid w:val="008711C2"/>
    <w:rsid w:val="008717A8"/>
    <w:rsid w:val="00871D3B"/>
    <w:rsid w:val="00871E65"/>
    <w:rsid w:val="00871F01"/>
    <w:rsid w:val="0087229D"/>
    <w:rsid w:val="0087285C"/>
    <w:rsid w:val="008729E7"/>
    <w:rsid w:val="00872A28"/>
    <w:rsid w:val="0087360A"/>
    <w:rsid w:val="00873710"/>
    <w:rsid w:val="00873A4C"/>
    <w:rsid w:val="00873B6A"/>
    <w:rsid w:val="0087445F"/>
    <w:rsid w:val="008745D6"/>
    <w:rsid w:val="00874E7F"/>
    <w:rsid w:val="008752CF"/>
    <w:rsid w:val="00875311"/>
    <w:rsid w:val="0087559D"/>
    <w:rsid w:val="00875F7A"/>
    <w:rsid w:val="00876457"/>
    <w:rsid w:val="00876E45"/>
    <w:rsid w:val="00876EE5"/>
    <w:rsid w:val="00876F87"/>
    <w:rsid w:val="008772D9"/>
    <w:rsid w:val="008774E9"/>
    <w:rsid w:val="0087781A"/>
    <w:rsid w:val="00877A92"/>
    <w:rsid w:val="008803E7"/>
    <w:rsid w:val="008809DE"/>
    <w:rsid w:val="00881699"/>
    <w:rsid w:val="008817F4"/>
    <w:rsid w:val="00881C35"/>
    <w:rsid w:val="00881EAF"/>
    <w:rsid w:val="0088262D"/>
    <w:rsid w:val="00882C2E"/>
    <w:rsid w:val="00882C7D"/>
    <w:rsid w:val="00882D25"/>
    <w:rsid w:val="008831FC"/>
    <w:rsid w:val="00883829"/>
    <w:rsid w:val="008840B9"/>
    <w:rsid w:val="00884148"/>
    <w:rsid w:val="008843CF"/>
    <w:rsid w:val="00884698"/>
    <w:rsid w:val="0088469C"/>
    <w:rsid w:val="00884B6A"/>
    <w:rsid w:val="00885466"/>
    <w:rsid w:val="008857DE"/>
    <w:rsid w:val="0088590B"/>
    <w:rsid w:val="00885953"/>
    <w:rsid w:val="00885DDB"/>
    <w:rsid w:val="0088644D"/>
    <w:rsid w:val="00886694"/>
    <w:rsid w:val="00886A7E"/>
    <w:rsid w:val="008878FE"/>
    <w:rsid w:val="00890353"/>
    <w:rsid w:val="00890818"/>
    <w:rsid w:val="008908AB"/>
    <w:rsid w:val="00890A07"/>
    <w:rsid w:val="008911A8"/>
    <w:rsid w:val="008911E1"/>
    <w:rsid w:val="008912AD"/>
    <w:rsid w:val="008917E5"/>
    <w:rsid w:val="00891FD2"/>
    <w:rsid w:val="008920FC"/>
    <w:rsid w:val="008921E9"/>
    <w:rsid w:val="00892413"/>
    <w:rsid w:val="00892508"/>
    <w:rsid w:val="00892F79"/>
    <w:rsid w:val="00892FAD"/>
    <w:rsid w:val="00892FCA"/>
    <w:rsid w:val="0089309B"/>
    <w:rsid w:val="00893284"/>
    <w:rsid w:val="00893419"/>
    <w:rsid w:val="008934BE"/>
    <w:rsid w:val="0089357F"/>
    <w:rsid w:val="008940A2"/>
    <w:rsid w:val="008949B8"/>
    <w:rsid w:val="00894DE6"/>
    <w:rsid w:val="00895A9B"/>
    <w:rsid w:val="00895EC1"/>
    <w:rsid w:val="008960E9"/>
    <w:rsid w:val="00896C40"/>
    <w:rsid w:val="00897032"/>
    <w:rsid w:val="0089711B"/>
    <w:rsid w:val="008973B6"/>
    <w:rsid w:val="008978DD"/>
    <w:rsid w:val="00897950"/>
    <w:rsid w:val="00897A57"/>
    <w:rsid w:val="00897B00"/>
    <w:rsid w:val="00897B49"/>
    <w:rsid w:val="00897DAF"/>
    <w:rsid w:val="008A0352"/>
    <w:rsid w:val="008A03C8"/>
    <w:rsid w:val="008A0A7D"/>
    <w:rsid w:val="008A0F88"/>
    <w:rsid w:val="008A179C"/>
    <w:rsid w:val="008A2611"/>
    <w:rsid w:val="008A2FDD"/>
    <w:rsid w:val="008A35AE"/>
    <w:rsid w:val="008A3649"/>
    <w:rsid w:val="008A3723"/>
    <w:rsid w:val="008A37BD"/>
    <w:rsid w:val="008A4EE9"/>
    <w:rsid w:val="008A560D"/>
    <w:rsid w:val="008A5F7D"/>
    <w:rsid w:val="008A629B"/>
    <w:rsid w:val="008A6694"/>
    <w:rsid w:val="008A71D3"/>
    <w:rsid w:val="008A743E"/>
    <w:rsid w:val="008A7BF3"/>
    <w:rsid w:val="008A7FE6"/>
    <w:rsid w:val="008B0271"/>
    <w:rsid w:val="008B0540"/>
    <w:rsid w:val="008B0C1A"/>
    <w:rsid w:val="008B0C6C"/>
    <w:rsid w:val="008B0DC4"/>
    <w:rsid w:val="008B1011"/>
    <w:rsid w:val="008B12CA"/>
    <w:rsid w:val="008B13A4"/>
    <w:rsid w:val="008B16EE"/>
    <w:rsid w:val="008B1ACE"/>
    <w:rsid w:val="008B221C"/>
    <w:rsid w:val="008B262F"/>
    <w:rsid w:val="008B2926"/>
    <w:rsid w:val="008B2D4B"/>
    <w:rsid w:val="008B4669"/>
    <w:rsid w:val="008B469E"/>
    <w:rsid w:val="008B5383"/>
    <w:rsid w:val="008B5593"/>
    <w:rsid w:val="008B5638"/>
    <w:rsid w:val="008B679A"/>
    <w:rsid w:val="008B7446"/>
    <w:rsid w:val="008B74EA"/>
    <w:rsid w:val="008B77B5"/>
    <w:rsid w:val="008C02AF"/>
    <w:rsid w:val="008C07CE"/>
    <w:rsid w:val="008C19D6"/>
    <w:rsid w:val="008C20E7"/>
    <w:rsid w:val="008C2599"/>
    <w:rsid w:val="008C2951"/>
    <w:rsid w:val="008C2AF5"/>
    <w:rsid w:val="008C3701"/>
    <w:rsid w:val="008C3779"/>
    <w:rsid w:val="008C4D45"/>
    <w:rsid w:val="008C4E62"/>
    <w:rsid w:val="008C5813"/>
    <w:rsid w:val="008C58ED"/>
    <w:rsid w:val="008C5D66"/>
    <w:rsid w:val="008C6B33"/>
    <w:rsid w:val="008C6CDD"/>
    <w:rsid w:val="008C6DC6"/>
    <w:rsid w:val="008C71C1"/>
    <w:rsid w:val="008C75DC"/>
    <w:rsid w:val="008C784D"/>
    <w:rsid w:val="008C7A7B"/>
    <w:rsid w:val="008C7B0B"/>
    <w:rsid w:val="008D0354"/>
    <w:rsid w:val="008D0A44"/>
    <w:rsid w:val="008D11B8"/>
    <w:rsid w:val="008D1AE6"/>
    <w:rsid w:val="008D1F11"/>
    <w:rsid w:val="008D2DFC"/>
    <w:rsid w:val="008D2F27"/>
    <w:rsid w:val="008D37DF"/>
    <w:rsid w:val="008D3B7C"/>
    <w:rsid w:val="008D3D4B"/>
    <w:rsid w:val="008D402D"/>
    <w:rsid w:val="008D4500"/>
    <w:rsid w:val="008D4EFE"/>
    <w:rsid w:val="008D5AE0"/>
    <w:rsid w:val="008D67B2"/>
    <w:rsid w:val="008D67DB"/>
    <w:rsid w:val="008D7009"/>
    <w:rsid w:val="008D71DD"/>
    <w:rsid w:val="008E0A89"/>
    <w:rsid w:val="008E1216"/>
    <w:rsid w:val="008E25C1"/>
    <w:rsid w:val="008E3515"/>
    <w:rsid w:val="008E3745"/>
    <w:rsid w:val="008E3D3A"/>
    <w:rsid w:val="008E4C0D"/>
    <w:rsid w:val="008E4FFD"/>
    <w:rsid w:val="008E5665"/>
    <w:rsid w:val="008E5750"/>
    <w:rsid w:val="008E5C9C"/>
    <w:rsid w:val="008E62B1"/>
    <w:rsid w:val="008E657A"/>
    <w:rsid w:val="008E684F"/>
    <w:rsid w:val="008E6F96"/>
    <w:rsid w:val="008E7519"/>
    <w:rsid w:val="008E79CA"/>
    <w:rsid w:val="008F0B2E"/>
    <w:rsid w:val="008F0C62"/>
    <w:rsid w:val="008F1103"/>
    <w:rsid w:val="008F1407"/>
    <w:rsid w:val="008F15B7"/>
    <w:rsid w:val="008F17A9"/>
    <w:rsid w:val="008F27C9"/>
    <w:rsid w:val="008F2BE6"/>
    <w:rsid w:val="008F34BB"/>
    <w:rsid w:val="008F3959"/>
    <w:rsid w:val="008F3DC8"/>
    <w:rsid w:val="008F4795"/>
    <w:rsid w:val="008F4FFF"/>
    <w:rsid w:val="008F5033"/>
    <w:rsid w:val="008F5883"/>
    <w:rsid w:val="008F5F8F"/>
    <w:rsid w:val="008F634B"/>
    <w:rsid w:val="008F64EA"/>
    <w:rsid w:val="008F75E5"/>
    <w:rsid w:val="008F7F48"/>
    <w:rsid w:val="00900E29"/>
    <w:rsid w:val="009011AF"/>
    <w:rsid w:val="0090129E"/>
    <w:rsid w:val="009012D1"/>
    <w:rsid w:val="009013EC"/>
    <w:rsid w:val="0090140B"/>
    <w:rsid w:val="0090174C"/>
    <w:rsid w:val="00901E80"/>
    <w:rsid w:val="00901FE4"/>
    <w:rsid w:val="00902F5C"/>
    <w:rsid w:val="009031B6"/>
    <w:rsid w:val="0090338D"/>
    <w:rsid w:val="00903707"/>
    <w:rsid w:val="00903D2E"/>
    <w:rsid w:val="00904526"/>
    <w:rsid w:val="009057F0"/>
    <w:rsid w:val="00905DEE"/>
    <w:rsid w:val="00905EA2"/>
    <w:rsid w:val="00906C26"/>
    <w:rsid w:val="009070E4"/>
    <w:rsid w:val="0090714F"/>
    <w:rsid w:val="0090761D"/>
    <w:rsid w:val="0090773A"/>
    <w:rsid w:val="00907CC7"/>
    <w:rsid w:val="00907E4F"/>
    <w:rsid w:val="00910032"/>
    <w:rsid w:val="009100E4"/>
    <w:rsid w:val="00910445"/>
    <w:rsid w:val="009106B7"/>
    <w:rsid w:val="009109A0"/>
    <w:rsid w:val="00911572"/>
    <w:rsid w:val="009115FA"/>
    <w:rsid w:val="00911A54"/>
    <w:rsid w:val="00911D6C"/>
    <w:rsid w:val="009121FD"/>
    <w:rsid w:val="00912381"/>
    <w:rsid w:val="009128DD"/>
    <w:rsid w:val="00912ABC"/>
    <w:rsid w:val="00912CED"/>
    <w:rsid w:val="00912D0A"/>
    <w:rsid w:val="0091342E"/>
    <w:rsid w:val="00913948"/>
    <w:rsid w:val="00913A58"/>
    <w:rsid w:val="00913CDC"/>
    <w:rsid w:val="00914459"/>
    <w:rsid w:val="00914AF5"/>
    <w:rsid w:val="00915498"/>
    <w:rsid w:val="00915BCF"/>
    <w:rsid w:val="00916179"/>
    <w:rsid w:val="0091675A"/>
    <w:rsid w:val="00916C4E"/>
    <w:rsid w:val="009177CB"/>
    <w:rsid w:val="00917BF5"/>
    <w:rsid w:val="009204E8"/>
    <w:rsid w:val="009207D1"/>
    <w:rsid w:val="00920D7F"/>
    <w:rsid w:val="009210D3"/>
    <w:rsid w:val="00922297"/>
    <w:rsid w:val="00922865"/>
    <w:rsid w:val="00922A69"/>
    <w:rsid w:val="00922F3C"/>
    <w:rsid w:val="00923690"/>
    <w:rsid w:val="00923D2A"/>
    <w:rsid w:val="009240BD"/>
    <w:rsid w:val="009242D0"/>
    <w:rsid w:val="0092498C"/>
    <w:rsid w:val="00925D54"/>
    <w:rsid w:val="009267CB"/>
    <w:rsid w:val="00927A31"/>
    <w:rsid w:val="00927B6F"/>
    <w:rsid w:val="00930838"/>
    <w:rsid w:val="00930A08"/>
    <w:rsid w:val="00930F3B"/>
    <w:rsid w:val="009315B4"/>
    <w:rsid w:val="009315E4"/>
    <w:rsid w:val="0093235A"/>
    <w:rsid w:val="009324E7"/>
    <w:rsid w:val="009324E9"/>
    <w:rsid w:val="0093251A"/>
    <w:rsid w:val="00932535"/>
    <w:rsid w:val="00932E02"/>
    <w:rsid w:val="00932E88"/>
    <w:rsid w:val="009330F6"/>
    <w:rsid w:val="00933633"/>
    <w:rsid w:val="0093390D"/>
    <w:rsid w:val="00933C69"/>
    <w:rsid w:val="00933D45"/>
    <w:rsid w:val="00933F33"/>
    <w:rsid w:val="009349AC"/>
    <w:rsid w:val="00934AA0"/>
    <w:rsid w:val="0093510B"/>
    <w:rsid w:val="009355FC"/>
    <w:rsid w:val="00935E4B"/>
    <w:rsid w:val="00936536"/>
    <w:rsid w:val="00936728"/>
    <w:rsid w:val="00937443"/>
    <w:rsid w:val="00937E3A"/>
    <w:rsid w:val="0094011B"/>
    <w:rsid w:val="00940894"/>
    <w:rsid w:val="00940D91"/>
    <w:rsid w:val="00940DCB"/>
    <w:rsid w:val="00940EE3"/>
    <w:rsid w:val="0094119C"/>
    <w:rsid w:val="0094187E"/>
    <w:rsid w:val="00941972"/>
    <w:rsid w:val="00942421"/>
    <w:rsid w:val="009431CB"/>
    <w:rsid w:val="009440F2"/>
    <w:rsid w:val="00944180"/>
    <w:rsid w:val="00944393"/>
    <w:rsid w:val="00945A5D"/>
    <w:rsid w:val="00945C1B"/>
    <w:rsid w:val="00945F3B"/>
    <w:rsid w:val="00945F63"/>
    <w:rsid w:val="00946181"/>
    <w:rsid w:val="00946433"/>
    <w:rsid w:val="009464EE"/>
    <w:rsid w:val="009465AA"/>
    <w:rsid w:val="009465C3"/>
    <w:rsid w:val="00946600"/>
    <w:rsid w:val="00946BF2"/>
    <w:rsid w:val="0094724A"/>
    <w:rsid w:val="00947345"/>
    <w:rsid w:val="00947448"/>
    <w:rsid w:val="009500FB"/>
    <w:rsid w:val="00950544"/>
    <w:rsid w:val="00950785"/>
    <w:rsid w:val="00950A97"/>
    <w:rsid w:val="00950C09"/>
    <w:rsid w:val="009516CB"/>
    <w:rsid w:val="00952087"/>
    <w:rsid w:val="0095263A"/>
    <w:rsid w:val="00952A50"/>
    <w:rsid w:val="00952E5E"/>
    <w:rsid w:val="0095333F"/>
    <w:rsid w:val="00953CC4"/>
    <w:rsid w:val="00953EBB"/>
    <w:rsid w:val="009548FB"/>
    <w:rsid w:val="00954E0F"/>
    <w:rsid w:val="00955D66"/>
    <w:rsid w:val="00955F85"/>
    <w:rsid w:val="0095602E"/>
    <w:rsid w:val="009562EE"/>
    <w:rsid w:val="009564EB"/>
    <w:rsid w:val="009569BA"/>
    <w:rsid w:val="00956A78"/>
    <w:rsid w:val="00956B8A"/>
    <w:rsid w:val="0095750C"/>
    <w:rsid w:val="0095765E"/>
    <w:rsid w:val="00957900"/>
    <w:rsid w:val="00957A36"/>
    <w:rsid w:val="0096023D"/>
    <w:rsid w:val="00960733"/>
    <w:rsid w:val="00960F8C"/>
    <w:rsid w:val="00961237"/>
    <w:rsid w:val="00961C59"/>
    <w:rsid w:val="00962373"/>
    <w:rsid w:val="00962716"/>
    <w:rsid w:val="00963690"/>
    <w:rsid w:val="00963A1C"/>
    <w:rsid w:val="00963ADD"/>
    <w:rsid w:val="00963AF3"/>
    <w:rsid w:val="00965396"/>
    <w:rsid w:val="009657C7"/>
    <w:rsid w:val="00965948"/>
    <w:rsid w:val="00965B42"/>
    <w:rsid w:val="00965CC1"/>
    <w:rsid w:val="00966311"/>
    <w:rsid w:val="0096691D"/>
    <w:rsid w:val="00967441"/>
    <w:rsid w:val="00967835"/>
    <w:rsid w:val="00967F78"/>
    <w:rsid w:val="009709C9"/>
    <w:rsid w:val="00970C1C"/>
    <w:rsid w:val="00971162"/>
    <w:rsid w:val="00971BDC"/>
    <w:rsid w:val="00972B6B"/>
    <w:rsid w:val="0097332D"/>
    <w:rsid w:val="00973646"/>
    <w:rsid w:val="00973CB1"/>
    <w:rsid w:val="009740DC"/>
    <w:rsid w:val="00974229"/>
    <w:rsid w:val="009746DC"/>
    <w:rsid w:val="0097473B"/>
    <w:rsid w:val="00974AE3"/>
    <w:rsid w:val="00975478"/>
    <w:rsid w:val="00975A12"/>
    <w:rsid w:val="00975AE2"/>
    <w:rsid w:val="00975C04"/>
    <w:rsid w:val="00975E03"/>
    <w:rsid w:val="0097659F"/>
    <w:rsid w:val="009776BD"/>
    <w:rsid w:val="009809A1"/>
    <w:rsid w:val="009814D6"/>
    <w:rsid w:val="00981BA5"/>
    <w:rsid w:val="0098206C"/>
    <w:rsid w:val="00982331"/>
    <w:rsid w:val="00982A10"/>
    <w:rsid w:val="00983A22"/>
    <w:rsid w:val="00983DF0"/>
    <w:rsid w:val="00983E09"/>
    <w:rsid w:val="00984384"/>
    <w:rsid w:val="00984570"/>
    <w:rsid w:val="00984779"/>
    <w:rsid w:val="009850EA"/>
    <w:rsid w:val="00985302"/>
    <w:rsid w:val="00985361"/>
    <w:rsid w:val="009854DC"/>
    <w:rsid w:val="00985DEA"/>
    <w:rsid w:val="00986041"/>
    <w:rsid w:val="0098691F"/>
    <w:rsid w:val="00986E84"/>
    <w:rsid w:val="009872CA"/>
    <w:rsid w:val="00987A34"/>
    <w:rsid w:val="009903E8"/>
    <w:rsid w:val="009905C0"/>
    <w:rsid w:val="009909A2"/>
    <w:rsid w:val="00991071"/>
    <w:rsid w:val="009918F9"/>
    <w:rsid w:val="0099219D"/>
    <w:rsid w:val="009923D3"/>
    <w:rsid w:val="00992CED"/>
    <w:rsid w:val="00992D2A"/>
    <w:rsid w:val="00993B68"/>
    <w:rsid w:val="00993CE2"/>
    <w:rsid w:val="00993D32"/>
    <w:rsid w:val="00993FC4"/>
    <w:rsid w:val="009943B5"/>
    <w:rsid w:val="00994F59"/>
    <w:rsid w:val="0099524B"/>
    <w:rsid w:val="0099571C"/>
    <w:rsid w:val="00995D26"/>
    <w:rsid w:val="00996A80"/>
    <w:rsid w:val="00996DDA"/>
    <w:rsid w:val="00996EB5"/>
    <w:rsid w:val="00996F66"/>
    <w:rsid w:val="0099715A"/>
    <w:rsid w:val="0099780A"/>
    <w:rsid w:val="009A03CF"/>
    <w:rsid w:val="009A04ED"/>
    <w:rsid w:val="009A0F6D"/>
    <w:rsid w:val="009A155F"/>
    <w:rsid w:val="009A15AC"/>
    <w:rsid w:val="009A199E"/>
    <w:rsid w:val="009A1EC9"/>
    <w:rsid w:val="009A2205"/>
    <w:rsid w:val="009A3A11"/>
    <w:rsid w:val="009A4086"/>
    <w:rsid w:val="009A4102"/>
    <w:rsid w:val="009A47BD"/>
    <w:rsid w:val="009A4918"/>
    <w:rsid w:val="009A4A4B"/>
    <w:rsid w:val="009A5397"/>
    <w:rsid w:val="009A5EA2"/>
    <w:rsid w:val="009A5ED7"/>
    <w:rsid w:val="009A5FFA"/>
    <w:rsid w:val="009A60D7"/>
    <w:rsid w:val="009A62EF"/>
    <w:rsid w:val="009A6B5C"/>
    <w:rsid w:val="009A7400"/>
    <w:rsid w:val="009B0DF8"/>
    <w:rsid w:val="009B0EFF"/>
    <w:rsid w:val="009B140C"/>
    <w:rsid w:val="009B1751"/>
    <w:rsid w:val="009B1A9B"/>
    <w:rsid w:val="009B1E11"/>
    <w:rsid w:val="009B20DE"/>
    <w:rsid w:val="009B214E"/>
    <w:rsid w:val="009B32C0"/>
    <w:rsid w:val="009B33F6"/>
    <w:rsid w:val="009B343D"/>
    <w:rsid w:val="009B3731"/>
    <w:rsid w:val="009B3750"/>
    <w:rsid w:val="009B4716"/>
    <w:rsid w:val="009B47A2"/>
    <w:rsid w:val="009B4CA6"/>
    <w:rsid w:val="009B5400"/>
    <w:rsid w:val="009B5A86"/>
    <w:rsid w:val="009B5D73"/>
    <w:rsid w:val="009B6421"/>
    <w:rsid w:val="009B6434"/>
    <w:rsid w:val="009B7572"/>
    <w:rsid w:val="009B7BEC"/>
    <w:rsid w:val="009B7C29"/>
    <w:rsid w:val="009B7FA2"/>
    <w:rsid w:val="009C02B6"/>
    <w:rsid w:val="009C05CC"/>
    <w:rsid w:val="009C0A23"/>
    <w:rsid w:val="009C101D"/>
    <w:rsid w:val="009C1138"/>
    <w:rsid w:val="009C1B47"/>
    <w:rsid w:val="009C1DCA"/>
    <w:rsid w:val="009C2081"/>
    <w:rsid w:val="009C2268"/>
    <w:rsid w:val="009C3C5F"/>
    <w:rsid w:val="009C42C1"/>
    <w:rsid w:val="009C45B6"/>
    <w:rsid w:val="009C4AF8"/>
    <w:rsid w:val="009C4CFA"/>
    <w:rsid w:val="009C5179"/>
    <w:rsid w:val="009C5360"/>
    <w:rsid w:val="009C5A30"/>
    <w:rsid w:val="009C635E"/>
    <w:rsid w:val="009C6564"/>
    <w:rsid w:val="009C6627"/>
    <w:rsid w:val="009C6826"/>
    <w:rsid w:val="009C68AD"/>
    <w:rsid w:val="009C7076"/>
    <w:rsid w:val="009C716E"/>
    <w:rsid w:val="009C76EB"/>
    <w:rsid w:val="009C786D"/>
    <w:rsid w:val="009C798F"/>
    <w:rsid w:val="009D005F"/>
    <w:rsid w:val="009D0C24"/>
    <w:rsid w:val="009D1483"/>
    <w:rsid w:val="009D1CEE"/>
    <w:rsid w:val="009D1EEC"/>
    <w:rsid w:val="009D2D10"/>
    <w:rsid w:val="009D4241"/>
    <w:rsid w:val="009D4A1E"/>
    <w:rsid w:val="009D4A9E"/>
    <w:rsid w:val="009D507B"/>
    <w:rsid w:val="009D6262"/>
    <w:rsid w:val="009D65E6"/>
    <w:rsid w:val="009D6C65"/>
    <w:rsid w:val="009D6F57"/>
    <w:rsid w:val="009D70F5"/>
    <w:rsid w:val="009D74ED"/>
    <w:rsid w:val="009D76AB"/>
    <w:rsid w:val="009D7C9F"/>
    <w:rsid w:val="009D7E1D"/>
    <w:rsid w:val="009E05FF"/>
    <w:rsid w:val="009E0C1C"/>
    <w:rsid w:val="009E1462"/>
    <w:rsid w:val="009E19D5"/>
    <w:rsid w:val="009E2919"/>
    <w:rsid w:val="009E2B19"/>
    <w:rsid w:val="009E2DD1"/>
    <w:rsid w:val="009E3361"/>
    <w:rsid w:val="009E358D"/>
    <w:rsid w:val="009E3626"/>
    <w:rsid w:val="009E395C"/>
    <w:rsid w:val="009E4167"/>
    <w:rsid w:val="009E41D9"/>
    <w:rsid w:val="009E46D8"/>
    <w:rsid w:val="009E4B26"/>
    <w:rsid w:val="009E4B6C"/>
    <w:rsid w:val="009E4DA9"/>
    <w:rsid w:val="009E5091"/>
    <w:rsid w:val="009E5178"/>
    <w:rsid w:val="009E608C"/>
    <w:rsid w:val="009E6299"/>
    <w:rsid w:val="009E63C1"/>
    <w:rsid w:val="009E6401"/>
    <w:rsid w:val="009E65F7"/>
    <w:rsid w:val="009E6827"/>
    <w:rsid w:val="009E6A20"/>
    <w:rsid w:val="009E6F2C"/>
    <w:rsid w:val="009E7D1C"/>
    <w:rsid w:val="009F0071"/>
    <w:rsid w:val="009F09DD"/>
    <w:rsid w:val="009F0A84"/>
    <w:rsid w:val="009F0B01"/>
    <w:rsid w:val="009F11AB"/>
    <w:rsid w:val="009F1793"/>
    <w:rsid w:val="009F1D68"/>
    <w:rsid w:val="009F2BDB"/>
    <w:rsid w:val="009F3F79"/>
    <w:rsid w:val="009F4113"/>
    <w:rsid w:val="009F44C4"/>
    <w:rsid w:val="009F4675"/>
    <w:rsid w:val="009F49DA"/>
    <w:rsid w:val="009F4A16"/>
    <w:rsid w:val="009F4EFE"/>
    <w:rsid w:val="009F50F6"/>
    <w:rsid w:val="009F5379"/>
    <w:rsid w:val="009F54F6"/>
    <w:rsid w:val="009F5C47"/>
    <w:rsid w:val="009F5D3C"/>
    <w:rsid w:val="009F6233"/>
    <w:rsid w:val="009F6AD3"/>
    <w:rsid w:val="009F6C7A"/>
    <w:rsid w:val="009F6DF0"/>
    <w:rsid w:val="009F7527"/>
    <w:rsid w:val="009F7FE3"/>
    <w:rsid w:val="00A0088A"/>
    <w:rsid w:val="00A00B16"/>
    <w:rsid w:val="00A00B18"/>
    <w:rsid w:val="00A01141"/>
    <w:rsid w:val="00A014BE"/>
    <w:rsid w:val="00A01AB4"/>
    <w:rsid w:val="00A02841"/>
    <w:rsid w:val="00A028C4"/>
    <w:rsid w:val="00A02BC6"/>
    <w:rsid w:val="00A030C5"/>
    <w:rsid w:val="00A03417"/>
    <w:rsid w:val="00A034ED"/>
    <w:rsid w:val="00A03504"/>
    <w:rsid w:val="00A03647"/>
    <w:rsid w:val="00A03C66"/>
    <w:rsid w:val="00A03DA9"/>
    <w:rsid w:val="00A03E88"/>
    <w:rsid w:val="00A04406"/>
    <w:rsid w:val="00A04484"/>
    <w:rsid w:val="00A049C9"/>
    <w:rsid w:val="00A04AD5"/>
    <w:rsid w:val="00A051A2"/>
    <w:rsid w:val="00A0541D"/>
    <w:rsid w:val="00A059C7"/>
    <w:rsid w:val="00A05B01"/>
    <w:rsid w:val="00A06838"/>
    <w:rsid w:val="00A0732D"/>
    <w:rsid w:val="00A100DD"/>
    <w:rsid w:val="00A10104"/>
    <w:rsid w:val="00A104E6"/>
    <w:rsid w:val="00A109A8"/>
    <w:rsid w:val="00A10A65"/>
    <w:rsid w:val="00A10B32"/>
    <w:rsid w:val="00A12841"/>
    <w:rsid w:val="00A12882"/>
    <w:rsid w:val="00A12952"/>
    <w:rsid w:val="00A12B7C"/>
    <w:rsid w:val="00A12D77"/>
    <w:rsid w:val="00A131DC"/>
    <w:rsid w:val="00A13310"/>
    <w:rsid w:val="00A133F2"/>
    <w:rsid w:val="00A13847"/>
    <w:rsid w:val="00A138F8"/>
    <w:rsid w:val="00A13EDF"/>
    <w:rsid w:val="00A15881"/>
    <w:rsid w:val="00A15939"/>
    <w:rsid w:val="00A15D0D"/>
    <w:rsid w:val="00A15E19"/>
    <w:rsid w:val="00A16E20"/>
    <w:rsid w:val="00A20132"/>
    <w:rsid w:val="00A204DA"/>
    <w:rsid w:val="00A20529"/>
    <w:rsid w:val="00A20965"/>
    <w:rsid w:val="00A20DDB"/>
    <w:rsid w:val="00A20F44"/>
    <w:rsid w:val="00A20F4D"/>
    <w:rsid w:val="00A212F2"/>
    <w:rsid w:val="00A216AC"/>
    <w:rsid w:val="00A21B67"/>
    <w:rsid w:val="00A21E62"/>
    <w:rsid w:val="00A22295"/>
    <w:rsid w:val="00A229E5"/>
    <w:rsid w:val="00A231B1"/>
    <w:rsid w:val="00A2324A"/>
    <w:rsid w:val="00A2368B"/>
    <w:rsid w:val="00A2372D"/>
    <w:rsid w:val="00A243BE"/>
    <w:rsid w:val="00A2458C"/>
    <w:rsid w:val="00A2476B"/>
    <w:rsid w:val="00A251B1"/>
    <w:rsid w:val="00A254DD"/>
    <w:rsid w:val="00A25D43"/>
    <w:rsid w:val="00A274DB"/>
    <w:rsid w:val="00A27AB9"/>
    <w:rsid w:val="00A27B40"/>
    <w:rsid w:val="00A3030D"/>
    <w:rsid w:val="00A3079B"/>
    <w:rsid w:val="00A308C9"/>
    <w:rsid w:val="00A308FD"/>
    <w:rsid w:val="00A30937"/>
    <w:rsid w:val="00A30D33"/>
    <w:rsid w:val="00A3105E"/>
    <w:rsid w:val="00A3115A"/>
    <w:rsid w:val="00A31F7D"/>
    <w:rsid w:val="00A31F7F"/>
    <w:rsid w:val="00A32328"/>
    <w:rsid w:val="00A32825"/>
    <w:rsid w:val="00A32852"/>
    <w:rsid w:val="00A32ECB"/>
    <w:rsid w:val="00A3304A"/>
    <w:rsid w:val="00A33AE5"/>
    <w:rsid w:val="00A33DA6"/>
    <w:rsid w:val="00A33F0C"/>
    <w:rsid w:val="00A343C2"/>
    <w:rsid w:val="00A34439"/>
    <w:rsid w:val="00A3473D"/>
    <w:rsid w:val="00A3480E"/>
    <w:rsid w:val="00A34AD9"/>
    <w:rsid w:val="00A34BE3"/>
    <w:rsid w:val="00A34F79"/>
    <w:rsid w:val="00A35424"/>
    <w:rsid w:val="00A359CC"/>
    <w:rsid w:val="00A35BA4"/>
    <w:rsid w:val="00A35CE2"/>
    <w:rsid w:val="00A3655A"/>
    <w:rsid w:val="00A36809"/>
    <w:rsid w:val="00A36B71"/>
    <w:rsid w:val="00A36E6C"/>
    <w:rsid w:val="00A371EF"/>
    <w:rsid w:val="00A37596"/>
    <w:rsid w:val="00A37C2D"/>
    <w:rsid w:val="00A4044C"/>
    <w:rsid w:val="00A40524"/>
    <w:rsid w:val="00A4071F"/>
    <w:rsid w:val="00A4109B"/>
    <w:rsid w:val="00A4112E"/>
    <w:rsid w:val="00A41156"/>
    <w:rsid w:val="00A4152C"/>
    <w:rsid w:val="00A417F7"/>
    <w:rsid w:val="00A41AA7"/>
    <w:rsid w:val="00A42276"/>
    <w:rsid w:val="00A4249F"/>
    <w:rsid w:val="00A42D85"/>
    <w:rsid w:val="00A43A4D"/>
    <w:rsid w:val="00A44175"/>
    <w:rsid w:val="00A445D3"/>
    <w:rsid w:val="00A446AB"/>
    <w:rsid w:val="00A44CEE"/>
    <w:rsid w:val="00A450FB"/>
    <w:rsid w:val="00A45421"/>
    <w:rsid w:val="00A45433"/>
    <w:rsid w:val="00A454EB"/>
    <w:rsid w:val="00A45728"/>
    <w:rsid w:val="00A4637D"/>
    <w:rsid w:val="00A46507"/>
    <w:rsid w:val="00A46707"/>
    <w:rsid w:val="00A4737D"/>
    <w:rsid w:val="00A4744A"/>
    <w:rsid w:val="00A47876"/>
    <w:rsid w:val="00A47D08"/>
    <w:rsid w:val="00A5025A"/>
    <w:rsid w:val="00A504DB"/>
    <w:rsid w:val="00A51025"/>
    <w:rsid w:val="00A5122D"/>
    <w:rsid w:val="00A513C4"/>
    <w:rsid w:val="00A5145A"/>
    <w:rsid w:val="00A52366"/>
    <w:rsid w:val="00A5281C"/>
    <w:rsid w:val="00A52856"/>
    <w:rsid w:val="00A52980"/>
    <w:rsid w:val="00A52B9B"/>
    <w:rsid w:val="00A52EBB"/>
    <w:rsid w:val="00A52FAE"/>
    <w:rsid w:val="00A532AB"/>
    <w:rsid w:val="00A538F1"/>
    <w:rsid w:val="00A53C3E"/>
    <w:rsid w:val="00A53DA6"/>
    <w:rsid w:val="00A54155"/>
    <w:rsid w:val="00A5452E"/>
    <w:rsid w:val="00A5499D"/>
    <w:rsid w:val="00A54E5E"/>
    <w:rsid w:val="00A550C7"/>
    <w:rsid w:val="00A552D8"/>
    <w:rsid w:val="00A55661"/>
    <w:rsid w:val="00A5614E"/>
    <w:rsid w:val="00A5623B"/>
    <w:rsid w:val="00A5658B"/>
    <w:rsid w:val="00A567D8"/>
    <w:rsid w:val="00A56929"/>
    <w:rsid w:val="00A5716B"/>
    <w:rsid w:val="00A5741D"/>
    <w:rsid w:val="00A577B9"/>
    <w:rsid w:val="00A57868"/>
    <w:rsid w:val="00A57927"/>
    <w:rsid w:val="00A60F73"/>
    <w:rsid w:val="00A611A1"/>
    <w:rsid w:val="00A611E2"/>
    <w:rsid w:val="00A61B8C"/>
    <w:rsid w:val="00A625D6"/>
    <w:rsid w:val="00A62D16"/>
    <w:rsid w:val="00A649B3"/>
    <w:rsid w:val="00A65BC1"/>
    <w:rsid w:val="00A66470"/>
    <w:rsid w:val="00A66CF4"/>
    <w:rsid w:val="00A67365"/>
    <w:rsid w:val="00A67470"/>
    <w:rsid w:val="00A67785"/>
    <w:rsid w:val="00A6782A"/>
    <w:rsid w:val="00A6792B"/>
    <w:rsid w:val="00A67CB8"/>
    <w:rsid w:val="00A67E18"/>
    <w:rsid w:val="00A701A0"/>
    <w:rsid w:val="00A70F06"/>
    <w:rsid w:val="00A71083"/>
    <w:rsid w:val="00A71920"/>
    <w:rsid w:val="00A71FEA"/>
    <w:rsid w:val="00A7201E"/>
    <w:rsid w:val="00A72B4B"/>
    <w:rsid w:val="00A73242"/>
    <w:rsid w:val="00A73289"/>
    <w:rsid w:val="00A73302"/>
    <w:rsid w:val="00A733BB"/>
    <w:rsid w:val="00A73480"/>
    <w:rsid w:val="00A737E4"/>
    <w:rsid w:val="00A73F40"/>
    <w:rsid w:val="00A743BE"/>
    <w:rsid w:val="00A748AB"/>
    <w:rsid w:val="00A74A14"/>
    <w:rsid w:val="00A74BDA"/>
    <w:rsid w:val="00A74EBC"/>
    <w:rsid w:val="00A755A3"/>
    <w:rsid w:val="00A758DF"/>
    <w:rsid w:val="00A760D2"/>
    <w:rsid w:val="00A766EE"/>
    <w:rsid w:val="00A76E8D"/>
    <w:rsid w:val="00A77002"/>
    <w:rsid w:val="00A772BD"/>
    <w:rsid w:val="00A77574"/>
    <w:rsid w:val="00A77A32"/>
    <w:rsid w:val="00A77F17"/>
    <w:rsid w:val="00A80241"/>
    <w:rsid w:val="00A80A75"/>
    <w:rsid w:val="00A81E52"/>
    <w:rsid w:val="00A820CA"/>
    <w:rsid w:val="00A82298"/>
    <w:rsid w:val="00A82B67"/>
    <w:rsid w:val="00A83039"/>
    <w:rsid w:val="00A830B4"/>
    <w:rsid w:val="00A839F6"/>
    <w:rsid w:val="00A840BE"/>
    <w:rsid w:val="00A84652"/>
    <w:rsid w:val="00A8527A"/>
    <w:rsid w:val="00A85390"/>
    <w:rsid w:val="00A8541C"/>
    <w:rsid w:val="00A857AF"/>
    <w:rsid w:val="00A85902"/>
    <w:rsid w:val="00A86296"/>
    <w:rsid w:val="00A86FDE"/>
    <w:rsid w:val="00A8735A"/>
    <w:rsid w:val="00A87940"/>
    <w:rsid w:val="00A87F4F"/>
    <w:rsid w:val="00A87FF7"/>
    <w:rsid w:val="00A9095C"/>
    <w:rsid w:val="00A91A0B"/>
    <w:rsid w:val="00A92515"/>
    <w:rsid w:val="00A92A10"/>
    <w:rsid w:val="00A9344F"/>
    <w:rsid w:val="00A93AEE"/>
    <w:rsid w:val="00A9483F"/>
    <w:rsid w:val="00A94B35"/>
    <w:rsid w:val="00A94F6B"/>
    <w:rsid w:val="00A9523C"/>
    <w:rsid w:val="00A95821"/>
    <w:rsid w:val="00A95ABB"/>
    <w:rsid w:val="00A95F2C"/>
    <w:rsid w:val="00A960DB"/>
    <w:rsid w:val="00A9622D"/>
    <w:rsid w:val="00A962F2"/>
    <w:rsid w:val="00A9664F"/>
    <w:rsid w:val="00A96B53"/>
    <w:rsid w:val="00A96E3D"/>
    <w:rsid w:val="00A96EA1"/>
    <w:rsid w:val="00A970A7"/>
    <w:rsid w:val="00A978B3"/>
    <w:rsid w:val="00AA0117"/>
    <w:rsid w:val="00AA08E0"/>
    <w:rsid w:val="00AA1644"/>
    <w:rsid w:val="00AA1B8B"/>
    <w:rsid w:val="00AA1C64"/>
    <w:rsid w:val="00AA1E44"/>
    <w:rsid w:val="00AA246E"/>
    <w:rsid w:val="00AA2997"/>
    <w:rsid w:val="00AA2B3F"/>
    <w:rsid w:val="00AA31A2"/>
    <w:rsid w:val="00AA451D"/>
    <w:rsid w:val="00AA508B"/>
    <w:rsid w:val="00AA5753"/>
    <w:rsid w:val="00AA59CE"/>
    <w:rsid w:val="00AA5D5B"/>
    <w:rsid w:val="00AA66E6"/>
    <w:rsid w:val="00AA6742"/>
    <w:rsid w:val="00AA674F"/>
    <w:rsid w:val="00AA67AC"/>
    <w:rsid w:val="00AA6D73"/>
    <w:rsid w:val="00AA6E64"/>
    <w:rsid w:val="00AB0102"/>
    <w:rsid w:val="00AB04A8"/>
    <w:rsid w:val="00AB0D7F"/>
    <w:rsid w:val="00AB1147"/>
    <w:rsid w:val="00AB14E5"/>
    <w:rsid w:val="00AB17F0"/>
    <w:rsid w:val="00AB2259"/>
    <w:rsid w:val="00AB2341"/>
    <w:rsid w:val="00AB25D8"/>
    <w:rsid w:val="00AB26B3"/>
    <w:rsid w:val="00AB443C"/>
    <w:rsid w:val="00AB6097"/>
    <w:rsid w:val="00AB6434"/>
    <w:rsid w:val="00AB6855"/>
    <w:rsid w:val="00AB6BA4"/>
    <w:rsid w:val="00AB7264"/>
    <w:rsid w:val="00AB7C25"/>
    <w:rsid w:val="00AB7E76"/>
    <w:rsid w:val="00AC0914"/>
    <w:rsid w:val="00AC0DF8"/>
    <w:rsid w:val="00AC1017"/>
    <w:rsid w:val="00AC1082"/>
    <w:rsid w:val="00AC10EE"/>
    <w:rsid w:val="00AC11FA"/>
    <w:rsid w:val="00AC1400"/>
    <w:rsid w:val="00AC19E3"/>
    <w:rsid w:val="00AC1B0D"/>
    <w:rsid w:val="00AC2A0F"/>
    <w:rsid w:val="00AC2B9D"/>
    <w:rsid w:val="00AC2CB6"/>
    <w:rsid w:val="00AC446F"/>
    <w:rsid w:val="00AC46F9"/>
    <w:rsid w:val="00AC4B67"/>
    <w:rsid w:val="00AC4CF9"/>
    <w:rsid w:val="00AC4DA2"/>
    <w:rsid w:val="00AC5D29"/>
    <w:rsid w:val="00AC60C1"/>
    <w:rsid w:val="00AC6895"/>
    <w:rsid w:val="00AC6A3D"/>
    <w:rsid w:val="00AC6E59"/>
    <w:rsid w:val="00AC73BC"/>
    <w:rsid w:val="00AD05FC"/>
    <w:rsid w:val="00AD0979"/>
    <w:rsid w:val="00AD0F61"/>
    <w:rsid w:val="00AD0FEA"/>
    <w:rsid w:val="00AD1398"/>
    <w:rsid w:val="00AD13BC"/>
    <w:rsid w:val="00AD1CC3"/>
    <w:rsid w:val="00AD1DAC"/>
    <w:rsid w:val="00AD2D22"/>
    <w:rsid w:val="00AD3EF4"/>
    <w:rsid w:val="00AD40AE"/>
    <w:rsid w:val="00AD4AFB"/>
    <w:rsid w:val="00AD532F"/>
    <w:rsid w:val="00AD5877"/>
    <w:rsid w:val="00AD5890"/>
    <w:rsid w:val="00AD5EF9"/>
    <w:rsid w:val="00AD6918"/>
    <w:rsid w:val="00AD69C8"/>
    <w:rsid w:val="00AD6C3E"/>
    <w:rsid w:val="00AD797F"/>
    <w:rsid w:val="00AD7F88"/>
    <w:rsid w:val="00AE031F"/>
    <w:rsid w:val="00AE188E"/>
    <w:rsid w:val="00AE1AF7"/>
    <w:rsid w:val="00AE1CD5"/>
    <w:rsid w:val="00AE2B02"/>
    <w:rsid w:val="00AE331F"/>
    <w:rsid w:val="00AE3340"/>
    <w:rsid w:val="00AE3AD4"/>
    <w:rsid w:val="00AE3CF2"/>
    <w:rsid w:val="00AE3F75"/>
    <w:rsid w:val="00AE4582"/>
    <w:rsid w:val="00AE46AE"/>
    <w:rsid w:val="00AE48E3"/>
    <w:rsid w:val="00AE5183"/>
    <w:rsid w:val="00AE5900"/>
    <w:rsid w:val="00AE5ADF"/>
    <w:rsid w:val="00AE5CD7"/>
    <w:rsid w:val="00AE675E"/>
    <w:rsid w:val="00AE6B11"/>
    <w:rsid w:val="00AE6E2D"/>
    <w:rsid w:val="00AE70A5"/>
    <w:rsid w:val="00AE7150"/>
    <w:rsid w:val="00AE72C1"/>
    <w:rsid w:val="00AE75D7"/>
    <w:rsid w:val="00AE76A2"/>
    <w:rsid w:val="00AE7DA5"/>
    <w:rsid w:val="00AF0013"/>
    <w:rsid w:val="00AF091F"/>
    <w:rsid w:val="00AF0A45"/>
    <w:rsid w:val="00AF1720"/>
    <w:rsid w:val="00AF1721"/>
    <w:rsid w:val="00AF1A1A"/>
    <w:rsid w:val="00AF2AE0"/>
    <w:rsid w:val="00AF3BB6"/>
    <w:rsid w:val="00AF58BF"/>
    <w:rsid w:val="00AF5B6A"/>
    <w:rsid w:val="00AF62AC"/>
    <w:rsid w:val="00AF673F"/>
    <w:rsid w:val="00AF6AAF"/>
    <w:rsid w:val="00AF6EEB"/>
    <w:rsid w:val="00AF75CC"/>
    <w:rsid w:val="00AF78E9"/>
    <w:rsid w:val="00B00164"/>
    <w:rsid w:val="00B01941"/>
    <w:rsid w:val="00B01D7D"/>
    <w:rsid w:val="00B02267"/>
    <w:rsid w:val="00B02469"/>
    <w:rsid w:val="00B02823"/>
    <w:rsid w:val="00B028B8"/>
    <w:rsid w:val="00B02C79"/>
    <w:rsid w:val="00B03707"/>
    <w:rsid w:val="00B03A78"/>
    <w:rsid w:val="00B04F9A"/>
    <w:rsid w:val="00B05383"/>
    <w:rsid w:val="00B05549"/>
    <w:rsid w:val="00B057F3"/>
    <w:rsid w:val="00B05A84"/>
    <w:rsid w:val="00B05DA5"/>
    <w:rsid w:val="00B07004"/>
    <w:rsid w:val="00B070E6"/>
    <w:rsid w:val="00B074D5"/>
    <w:rsid w:val="00B07E74"/>
    <w:rsid w:val="00B101F3"/>
    <w:rsid w:val="00B1025C"/>
    <w:rsid w:val="00B105EA"/>
    <w:rsid w:val="00B10B7C"/>
    <w:rsid w:val="00B1111C"/>
    <w:rsid w:val="00B1126E"/>
    <w:rsid w:val="00B11ADD"/>
    <w:rsid w:val="00B1220F"/>
    <w:rsid w:val="00B12820"/>
    <w:rsid w:val="00B12BBC"/>
    <w:rsid w:val="00B12DAA"/>
    <w:rsid w:val="00B13346"/>
    <w:rsid w:val="00B13BCF"/>
    <w:rsid w:val="00B13C40"/>
    <w:rsid w:val="00B13DC4"/>
    <w:rsid w:val="00B14794"/>
    <w:rsid w:val="00B14D54"/>
    <w:rsid w:val="00B159D1"/>
    <w:rsid w:val="00B15C0B"/>
    <w:rsid w:val="00B15C56"/>
    <w:rsid w:val="00B165D7"/>
    <w:rsid w:val="00B16659"/>
    <w:rsid w:val="00B16FB1"/>
    <w:rsid w:val="00B171F0"/>
    <w:rsid w:val="00B17ED6"/>
    <w:rsid w:val="00B202D8"/>
    <w:rsid w:val="00B202E6"/>
    <w:rsid w:val="00B2043D"/>
    <w:rsid w:val="00B21825"/>
    <w:rsid w:val="00B21A81"/>
    <w:rsid w:val="00B21BDE"/>
    <w:rsid w:val="00B21CE7"/>
    <w:rsid w:val="00B21CF8"/>
    <w:rsid w:val="00B21DD4"/>
    <w:rsid w:val="00B224B8"/>
    <w:rsid w:val="00B226A7"/>
    <w:rsid w:val="00B230AF"/>
    <w:rsid w:val="00B23F7C"/>
    <w:rsid w:val="00B24028"/>
    <w:rsid w:val="00B2441D"/>
    <w:rsid w:val="00B25934"/>
    <w:rsid w:val="00B25C73"/>
    <w:rsid w:val="00B26057"/>
    <w:rsid w:val="00B261A5"/>
    <w:rsid w:val="00B2682F"/>
    <w:rsid w:val="00B27B2D"/>
    <w:rsid w:val="00B27CF0"/>
    <w:rsid w:val="00B27D84"/>
    <w:rsid w:val="00B27EA9"/>
    <w:rsid w:val="00B30273"/>
    <w:rsid w:val="00B30C4C"/>
    <w:rsid w:val="00B30C76"/>
    <w:rsid w:val="00B31896"/>
    <w:rsid w:val="00B3190E"/>
    <w:rsid w:val="00B32B62"/>
    <w:rsid w:val="00B3353A"/>
    <w:rsid w:val="00B33D69"/>
    <w:rsid w:val="00B34B59"/>
    <w:rsid w:val="00B36919"/>
    <w:rsid w:val="00B36BC2"/>
    <w:rsid w:val="00B36CBB"/>
    <w:rsid w:val="00B3746E"/>
    <w:rsid w:val="00B37678"/>
    <w:rsid w:val="00B37B2D"/>
    <w:rsid w:val="00B403A7"/>
    <w:rsid w:val="00B404F7"/>
    <w:rsid w:val="00B40D71"/>
    <w:rsid w:val="00B4342A"/>
    <w:rsid w:val="00B43909"/>
    <w:rsid w:val="00B4402D"/>
    <w:rsid w:val="00B44D12"/>
    <w:rsid w:val="00B44E8C"/>
    <w:rsid w:val="00B453C1"/>
    <w:rsid w:val="00B45CA4"/>
    <w:rsid w:val="00B4661D"/>
    <w:rsid w:val="00B469AB"/>
    <w:rsid w:val="00B46CEF"/>
    <w:rsid w:val="00B4704F"/>
    <w:rsid w:val="00B471D0"/>
    <w:rsid w:val="00B47382"/>
    <w:rsid w:val="00B474C9"/>
    <w:rsid w:val="00B47927"/>
    <w:rsid w:val="00B514DE"/>
    <w:rsid w:val="00B51E8C"/>
    <w:rsid w:val="00B5225D"/>
    <w:rsid w:val="00B5243C"/>
    <w:rsid w:val="00B526E0"/>
    <w:rsid w:val="00B52CB5"/>
    <w:rsid w:val="00B52DEE"/>
    <w:rsid w:val="00B53309"/>
    <w:rsid w:val="00B533A4"/>
    <w:rsid w:val="00B53552"/>
    <w:rsid w:val="00B53582"/>
    <w:rsid w:val="00B535D6"/>
    <w:rsid w:val="00B53802"/>
    <w:rsid w:val="00B53D82"/>
    <w:rsid w:val="00B53E10"/>
    <w:rsid w:val="00B53FFD"/>
    <w:rsid w:val="00B5419B"/>
    <w:rsid w:val="00B54466"/>
    <w:rsid w:val="00B54749"/>
    <w:rsid w:val="00B548A5"/>
    <w:rsid w:val="00B54C37"/>
    <w:rsid w:val="00B54F29"/>
    <w:rsid w:val="00B55565"/>
    <w:rsid w:val="00B555B6"/>
    <w:rsid w:val="00B55B0F"/>
    <w:rsid w:val="00B56151"/>
    <w:rsid w:val="00B561EA"/>
    <w:rsid w:val="00B57094"/>
    <w:rsid w:val="00B57520"/>
    <w:rsid w:val="00B57FB7"/>
    <w:rsid w:val="00B610CA"/>
    <w:rsid w:val="00B615F3"/>
    <w:rsid w:val="00B61E4E"/>
    <w:rsid w:val="00B627DA"/>
    <w:rsid w:val="00B629E9"/>
    <w:rsid w:val="00B62D22"/>
    <w:rsid w:val="00B633D9"/>
    <w:rsid w:val="00B63773"/>
    <w:rsid w:val="00B637B0"/>
    <w:rsid w:val="00B639E0"/>
    <w:rsid w:val="00B641AB"/>
    <w:rsid w:val="00B6427A"/>
    <w:rsid w:val="00B64333"/>
    <w:rsid w:val="00B646A1"/>
    <w:rsid w:val="00B65762"/>
    <w:rsid w:val="00B65988"/>
    <w:rsid w:val="00B65AE9"/>
    <w:rsid w:val="00B65BC5"/>
    <w:rsid w:val="00B6642E"/>
    <w:rsid w:val="00B66A1E"/>
    <w:rsid w:val="00B66D5A"/>
    <w:rsid w:val="00B6770F"/>
    <w:rsid w:val="00B70156"/>
    <w:rsid w:val="00B705D1"/>
    <w:rsid w:val="00B7140C"/>
    <w:rsid w:val="00B7183A"/>
    <w:rsid w:val="00B718EC"/>
    <w:rsid w:val="00B71EF9"/>
    <w:rsid w:val="00B7210D"/>
    <w:rsid w:val="00B72472"/>
    <w:rsid w:val="00B726E1"/>
    <w:rsid w:val="00B72874"/>
    <w:rsid w:val="00B72AAD"/>
    <w:rsid w:val="00B72D1B"/>
    <w:rsid w:val="00B732C0"/>
    <w:rsid w:val="00B7422D"/>
    <w:rsid w:val="00B742DA"/>
    <w:rsid w:val="00B74495"/>
    <w:rsid w:val="00B746B7"/>
    <w:rsid w:val="00B749C0"/>
    <w:rsid w:val="00B75322"/>
    <w:rsid w:val="00B75369"/>
    <w:rsid w:val="00B758F4"/>
    <w:rsid w:val="00B76812"/>
    <w:rsid w:val="00B76AAE"/>
    <w:rsid w:val="00B76E01"/>
    <w:rsid w:val="00B76F15"/>
    <w:rsid w:val="00B76F7C"/>
    <w:rsid w:val="00B77186"/>
    <w:rsid w:val="00B773C4"/>
    <w:rsid w:val="00B77863"/>
    <w:rsid w:val="00B77CFC"/>
    <w:rsid w:val="00B77DCD"/>
    <w:rsid w:val="00B81189"/>
    <w:rsid w:val="00B8156C"/>
    <w:rsid w:val="00B81E70"/>
    <w:rsid w:val="00B821EF"/>
    <w:rsid w:val="00B8269C"/>
    <w:rsid w:val="00B826AE"/>
    <w:rsid w:val="00B827C7"/>
    <w:rsid w:val="00B8340B"/>
    <w:rsid w:val="00B834D8"/>
    <w:rsid w:val="00B83E60"/>
    <w:rsid w:val="00B84ECA"/>
    <w:rsid w:val="00B85A3C"/>
    <w:rsid w:val="00B8637E"/>
    <w:rsid w:val="00B87444"/>
    <w:rsid w:val="00B9068C"/>
    <w:rsid w:val="00B90D3A"/>
    <w:rsid w:val="00B91336"/>
    <w:rsid w:val="00B918DB"/>
    <w:rsid w:val="00B91995"/>
    <w:rsid w:val="00B919F0"/>
    <w:rsid w:val="00B91E93"/>
    <w:rsid w:val="00B929E8"/>
    <w:rsid w:val="00B92A0F"/>
    <w:rsid w:val="00B93C96"/>
    <w:rsid w:val="00B94391"/>
    <w:rsid w:val="00B94633"/>
    <w:rsid w:val="00B946E9"/>
    <w:rsid w:val="00B9521F"/>
    <w:rsid w:val="00B953C9"/>
    <w:rsid w:val="00B95419"/>
    <w:rsid w:val="00B9561F"/>
    <w:rsid w:val="00B9620C"/>
    <w:rsid w:val="00B9624F"/>
    <w:rsid w:val="00B97193"/>
    <w:rsid w:val="00B97669"/>
    <w:rsid w:val="00B97869"/>
    <w:rsid w:val="00B97D40"/>
    <w:rsid w:val="00BA00B4"/>
    <w:rsid w:val="00BA05DB"/>
    <w:rsid w:val="00BA0991"/>
    <w:rsid w:val="00BA0ECF"/>
    <w:rsid w:val="00BA1332"/>
    <w:rsid w:val="00BA1684"/>
    <w:rsid w:val="00BA1F53"/>
    <w:rsid w:val="00BA21B1"/>
    <w:rsid w:val="00BA21E4"/>
    <w:rsid w:val="00BA28D3"/>
    <w:rsid w:val="00BA2F13"/>
    <w:rsid w:val="00BA3B18"/>
    <w:rsid w:val="00BA3DC5"/>
    <w:rsid w:val="00BA404B"/>
    <w:rsid w:val="00BA454F"/>
    <w:rsid w:val="00BA4DF2"/>
    <w:rsid w:val="00BA5359"/>
    <w:rsid w:val="00BA5561"/>
    <w:rsid w:val="00BA56AF"/>
    <w:rsid w:val="00BA5CCF"/>
    <w:rsid w:val="00BA6226"/>
    <w:rsid w:val="00BA69DE"/>
    <w:rsid w:val="00BA6CCB"/>
    <w:rsid w:val="00BA6CF8"/>
    <w:rsid w:val="00BA74A8"/>
    <w:rsid w:val="00BA7798"/>
    <w:rsid w:val="00BA7AEC"/>
    <w:rsid w:val="00BA7D48"/>
    <w:rsid w:val="00BA7ECA"/>
    <w:rsid w:val="00BB0305"/>
    <w:rsid w:val="00BB04F7"/>
    <w:rsid w:val="00BB052C"/>
    <w:rsid w:val="00BB0613"/>
    <w:rsid w:val="00BB0EC1"/>
    <w:rsid w:val="00BB13C2"/>
    <w:rsid w:val="00BB15F1"/>
    <w:rsid w:val="00BB1D7E"/>
    <w:rsid w:val="00BB28A6"/>
    <w:rsid w:val="00BB29CB"/>
    <w:rsid w:val="00BB3168"/>
    <w:rsid w:val="00BB3237"/>
    <w:rsid w:val="00BB32E2"/>
    <w:rsid w:val="00BB3F66"/>
    <w:rsid w:val="00BB404E"/>
    <w:rsid w:val="00BB4AAD"/>
    <w:rsid w:val="00BB4B9B"/>
    <w:rsid w:val="00BB4BB0"/>
    <w:rsid w:val="00BB4CDE"/>
    <w:rsid w:val="00BB51E8"/>
    <w:rsid w:val="00BB565D"/>
    <w:rsid w:val="00BB5DD2"/>
    <w:rsid w:val="00BB65E3"/>
    <w:rsid w:val="00BB6CF7"/>
    <w:rsid w:val="00BB7752"/>
    <w:rsid w:val="00BC0134"/>
    <w:rsid w:val="00BC1267"/>
    <w:rsid w:val="00BC1976"/>
    <w:rsid w:val="00BC305C"/>
    <w:rsid w:val="00BC4A14"/>
    <w:rsid w:val="00BC54AB"/>
    <w:rsid w:val="00BC5795"/>
    <w:rsid w:val="00BC5F74"/>
    <w:rsid w:val="00BC6388"/>
    <w:rsid w:val="00BC654E"/>
    <w:rsid w:val="00BC6E43"/>
    <w:rsid w:val="00BC707B"/>
    <w:rsid w:val="00BC7232"/>
    <w:rsid w:val="00BC76FD"/>
    <w:rsid w:val="00BC781B"/>
    <w:rsid w:val="00BC78F3"/>
    <w:rsid w:val="00BC79F1"/>
    <w:rsid w:val="00BD0DC3"/>
    <w:rsid w:val="00BD1482"/>
    <w:rsid w:val="00BD173F"/>
    <w:rsid w:val="00BD2394"/>
    <w:rsid w:val="00BD23FD"/>
    <w:rsid w:val="00BD2944"/>
    <w:rsid w:val="00BD2ED5"/>
    <w:rsid w:val="00BD2F0F"/>
    <w:rsid w:val="00BD38A5"/>
    <w:rsid w:val="00BD3DB5"/>
    <w:rsid w:val="00BD3F12"/>
    <w:rsid w:val="00BD4920"/>
    <w:rsid w:val="00BD4CA1"/>
    <w:rsid w:val="00BD528A"/>
    <w:rsid w:val="00BD5508"/>
    <w:rsid w:val="00BD556E"/>
    <w:rsid w:val="00BD58CB"/>
    <w:rsid w:val="00BD5EAC"/>
    <w:rsid w:val="00BD63BF"/>
    <w:rsid w:val="00BD64B9"/>
    <w:rsid w:val="00BD6800"/>
    <w:rsid w:val="00BD7383"/>
    <w:rsid w:val="00BD76A8"/>
    <w:rsid w:val="00BD7AB3"/>
    <w:rsid w:val="00BD7DCB"/>
    <w:rsid w:val="00BD7E28"/>
    <w:rsid w:val="00BE0036"/>
    <w:rsid w:val="00BE056E"/>
    <w:rsid w:val="00BE059F"/>
    <w:rsid w:val="00BE0733"/>
    <w:rsid w:val="00BE090E"/>
    <w:rsid w:val="00BE09FA"/>
    <w:rsid w:val="00BE0D23"/>
    <w:rsid w:val="00BE13BF"/>
    <w:rsid w:val="00BE17E6"/>
    <w:rsid w:val="00BE1937"/>
    <w:rsid w:val="00BE1EB6"/>
    <w:rsid w:val="00BE1EFD"/>
    <w:rsid w:val="00BE22ED"/>
    <w:rsid w:val="00BE26C9"/>
    <w:rsid w:val="00BE2F77"/>
    <w:rsid w:val="00BE30E6"/>
    <w:rsid w:val="00BE33F4"/>
    <w:rsid w:val="00BE3899"/>
    <w:rsid w:val="00BE3AF4"/>
    <w:rsid w:val="00BE3E48"/>
    <w:rsid w:val="00BE483F"/>
    <w:rsid w:val="00BE48BC"/>
    <w:rsid w:val="00BE4950"/>
    <w:rsid w:val="00BE4A9F"/>
    <w:rsid w:val="00BE5192"/>
    <w:rsid w:val="00BE6208"/>
    <w:rsid w:val="00BE62C3"/>
    <w:rsid w:val="00BE62FC"/>
    <w:rsid w:val="00BE6AE7"/>
    <w:rsid w:val="00BE6E6E"/>
    <w:rsid w:val="00BE7C33"/>
    <w:rsid w:val="00BF03F6"/>
    <w:rsid w:val="00BF0916"/>
    <w:rsid w:val="00BF0A1C"/>
    <w:rsid w:val="00BF0FC2"/>
    <w:rsid w:val="00BF1841"/>
    <w:rsid w:val="00BF20B2"/>
    <w:rsid w:val="00BF24F9"/>
    <w:rsid w:val="00BF3009"/>
    <w:rsid w:val="00BF31BE"/>
    <w:rsid w:val="00BF3883"/>
    <w:rsid w:val="00BF3B82"/>
    <w:rsid w:val="00BF3DD8"/>
    <w:rsid w:val="00BF3E58"/>
    <w:rsid w:val="00BF3F2A"/>
    <w:rsid w:val="00BF4734"/>
    <w:rsid w:val="00BF4773"/>
    <w:rsid w:val="00BF4826"/>
    <w:rsid w:val="00BF5033"/>
    <w:rsid w:val="00BF5146"/>
    <w:rsid w:val="00BF53DA"/>
    <w:rsid w:val="00BF5F59"/>
    <w:rsid w:val="00BF5FAA"/>
    <w:rsid w:val="00BF673B"/>
    <w:rsid w:val="00BF674F"/>
    <w:rsid w:val="00BF7234"/>
    <w:rsid w:val="00BF7CAF"/>
    <w:rsid w:val="00BF7D79"/>
    <w:rsid w:val="00C00322"/>
    <w:rsid w:val="00C003DB"/>
    <w:rsid w:val="00C0055D"/>
    <w:rsid w:val="00C00BA4"/>
    <w:rsid w:val="00C00C85"/>
    <w:rsid w:val="00C01741"/>
    <w:rsid w:val="00C01793"/>
    <w:rsid w:val="00C020A2"/>
    <w:rsid w:val="00C0247D"/>
    <w:rsid w:val="00C02664"/>
    <w:rsid w:val="00C0279C"/>
    <w:rsid w:val="00C039D9"/>
    <w:rsid w:val="00C03BF5"/>
    <w:rsid w:val="00C03C61"/>
    <w:rsid w:val="00C03E8B"/>
    <w:rsid w:val="00C04CCC"/>
    <w:rsid w:val="00C04F74"/>
    <w:rsid w:val="00C0541A"/>
    <w:rsid w:val="00C054A5"/>
    <w:rsid w:val="00C056F3"/>
    <w:rsid w:val="00C06246"/>
    <w:rsid w:val="00C06515"/>
    <w:rsid w:val="00C06E39"/>
    <w:rsid w:val="00C079AE"/>
    <w:rsid w:val="00C07D6E"/>
    <w:rsid w:val="00C10DFA"/>
    <w:rsid w:val="00C11549"/>
    <w:rsid w:val="00C123A7"/>
    <w:rsid w:val="00C126B6"/>
    <w:rsid w:val="00C1278B"/>
    <w:rsid w:val="00C1283F"/>
    <w:rsid w:val="00C12CC6"/>
    <w:rsid w:val="00C13F19"/>
    <w:rsid w:val="00C14008"/>
    <w:rsid w:val="00C14BF9"/>
    <w:rsid w:val="00C14FAF"/>
    <w:rsid w:val="00C150EB"/>
    <w:rsid w:val="00C151C8"/>
    <w:rsid w:val="00C1523E"/>
    <w:rsid w:val="00C16953"/>
    <w:rsid w:val="00C16962"/>
    <w:rsid w:val="00C16F1D"/>
    <w:rsid w:val="00C17918"/>
    <w:rsid w:val="00C17F33"/>
    <w:rsid w:val="00C2028C"/>
    <w:rsid w:val="00C204B6"/>
    <w:rsid w:val="00C206FF"/>
    <w:rsid w:val="00C207D7"/>
    <w:rsid w:val="00C20AF1"/>
    <w:rsid w:val="00C20D3F"/>
    <w:rsid w:val="00C20E26"/>
    <w:rsid w:val="00C20ED3"/>
    <w:rsid w:val="00C20F61"/>
    <w:rsid w:val="00C2133E"/>
    <w:rsid w:val="00C21D58"/>
    <w:rsid w:val="00C2242D"/>
    <w:rsid w:val="00C23326"/>
    <w:rsid w:val="00C234BD"/>
    <w:rsid w:val="00C23DD0"/>
    <w:rsid w:val="00C23E71"/>
    <w:rsid w:val="00C24F21"/>
    <w:rsid w:val="00C253E0"/>
    <w:rsid w:val="00C25806"/>
    <w:rsid w:val="00C25AA9"/>
    <w:rsid w:val="00C25B6F"/>
    <w:rsid w:val="00C25FF2"/>
    <w:rsid w:val="00C260B7"/>
    <w:rsid w:val="00C2643A"/>
    <w:rsid w:val="00C2694C"/>
    <w:rsid w:val="00C26A91"/>
    <w:rsid w:val="00C26ADE"/>
    <w:rsid w:val="00C26B22"/>
    <w:rsid w:val="00C26F57"/>
    <w:rsid w:val="00C27041"/>
    <w:rsid w:val="00C27087"/>
    <w:rsid w:val="00C27465"/>
    <w:rsid w:val="00C276A4"/>
    <w:rsid w:val="00C276AA"/>
    <w:rsid w:val="00C27B5D"/>
    <w:rsid w:val="00C27C1F"/>
    <w:rsid w:val="00C27F03"/>
    <w:rsid w:val="00C30426"/>
    <w:rsid w:val="00C30CD3"/>
    <w:rsid w:val="00C3193A"/>
    <w:rsid w:val="00C3199E"/>
    <w:rsid w:val="00C32453"/>
    <w:rsid w:val="00C33173"/>
    <w:rsid w:val="00C331E3"/>
    <w:rsid w:val="00C33D1B"/>
    <w:rsid w:val="00C34E5E"/>
    <w:rsid w:val="00C35780"/>
    <w:rsid w:val="00C3581E"/>
    <w:rsid w:val="00C35D75"/>
    <w:rsid w:val="00C35E2D"/>
    <w:rsid w:val="00C360A8"/>
    <w:rsid w:val="00C3643A"/>
    <w:rsid w:val="00C36507"/>
    <w:rsid w:val="00C366EA"/>
    <w:rsid w:val="00C36C98"/>
    <w:rsid w:val="00C36CF2"/>
    <w:rsid w:val="00C36D00"/>
    <w:rsid w:val="00C37035"/>
    <w:rsid w:val="00C37159"/>
    <w:rsid w:val="00C37672"/>
    <w:rsid w:val="00C37CAE"/>
    <w:rsid w:val="00C40164"/>
    <w:rsid w:val="00C40708"/>
    <w:rsid w:val="00C409F6"/>
    <w:rsid w:val="00C4126F"/>
    <w:rsid w:val="00C41375"/>
    <w:rsid w:val="00C414DA"/>
    <w:rsid w:val="00C4188A"/>
    <w:rsid w:val="00C428C7"/>
    <w:rsid w:val="00C42E8F"/>
    <w:rsid w:val="00C44236"/>
    <w:rsid w:val="00C44263"/>
    <w:rsid w:val="00C447FE"/>
    <w:rsid w:val="00C44CD1"/>
    <w:rsid w:val="00C4589B"/>
    <w:rsid w:val="00C45933"/>
    <w:rsid w:val="00C46614"/>
    <w:rsid w:val="00C466F2"/>
    <w:rsid w:val="00C469CC"/>
    <w:rsid w:val="00C474B1"/>
    <w:rsid w:val="00C476A1"/>
    <w:rsid w:val="00C47A41"/>
    <w:rsid w:val="00C47A5E"/>
    <w:rsid w:val="00C47E0B"/>
    <w:rsid w:val="00C47EBC"/>
    <w:rsid w:val="00C504BA"/>
    <w:rsid w:val="00C5057A"/>
    <w:rsid w:val="00C50D1C"/>
    <w:rsid w:val="00C51E3D"/>
    <w:rsid w:val="00C52A90"/>
    <w:rsid w:val="00C52E6F"/>
    <w:rsid w:val="00C530FA"/>
    <w:rsid w:val="00C5330F"/>
    <w:rsid w:val="00C5370E"/>
    <w:rsid w:val="00C5412B"/>
    <w:rsid w:val="00C55101"/>
    <w:rsid w:val="00C55228"/>
    <w:rsid w:val="00C55729"/>
    <w:rsid w:val="00C55DD2"/>
    <w:rsid w:val="00C568A1"/>
    <w:rsid w:val="00C56F27"/>
    <w:rsid w:val="00C5744E"/>
    <w:rsid w:val="00C57965"/>
    <w:rsid w:val="00C57BB6"/>
    <w:rsid w:val="00C57DB5"/>
    <w:rsid w:val="00C60B2F"/>
    <w:rsid w:val="00C6158F"/>
    <w:rsid w:val="00C615F5"/>
    <w:rsid w:val="00C6208E"/>
    <w:rsid w:val="00C6232D"/>
    <w:rsid w:val="00C6260B"/>
    <w:rsid w:val="00C62729"/>
    <w:rsid w:val="00C62890"/>
    <w:rsid w:val="00C62A50"/>
    <w:rsid w:val="00C62AD9"/>
    <w:rsid w:val="00C6372D"/>
    <w:rsid w:val="00C637BB"/>
    <w:rsid w:val="00C638B4"/>
    <w:rsid w:val="00C63998"/>
    <w:rsid w:val="00C63B27"/>
    <w:rsid w:val="00C64098"/>
    <w:rsid w:val="00C64845"/>
    <w:rsid w:val="00C64A9E"/>
    <w:rsid w:val="00C6570D"/>
    <w:rsid w:val="00C65925"/>
    <w:rsid w:val="00C666B7"/>
    <w:rsid w:val="00C66D02"/>
    <w:rsid w:val="00C670CA"/>
    <w:rsid w:val="00C67180"/>
    <w:rsid w:val="00C67356"/>
    <w:rsid w:val="00C6775A"/>
    <w:rsid w:val="00C67BAD"/>
    <w:rsid w:val="00C70D18"/>
    <w:rsid w:val="00C71355"/>
    <w:rsid w:val="00C7299E"/>
    <w:rsid w:val="00C73D81"/>
    <w:rsid w:val="00C73FE3"/>
    <w:rsid w:val="00C740F5"/>
    <w:rsid w:val="00C744A4"/>
    <w:rsid w:val="00C74708"/>
    <w:rsid w:val="00C74877"/>
    <w:rsid w:val="00C74B4A"/>
    <w:rsid w:val="00C74D09"/>
    <w:rsid w:val="00C74EA4"/>
    <w:rsid w:val="00C76557"/>
    <w:rsid w:val="00C76821"/>
    <w:rsid w:val="00C768F7"/>
    <w:rsid w:val="00C77734"/>
    <w:rsid w:val="00C7778C"/>
    <w:rsid w:val="00C778D4"/>
    <w:rsid w:val="00C77BF1"/>
    <w:rsid w:val="00C77FCF"/>
    <w:rsid w:val="00C806D2"/>
    <w:rsid w:val="00C80B00"/>
    <w:rsid w:val="00C81872"/>
    <w:rsid w:val="00C81A01"/>
    <w:rsid w:val="00C81C5A"/>
    <w:rsid w:val="00C81CE5"/>
    <w:rsid w:val="00C81D18"/>
    <w:rsid w:val="00C82303"/>
    <w:rsid w:val="00C83150"/>
    <w:rsid w:val="00C83F92"/>
    <w:rsid w:val="00C84A32"/>
    <w:rsid w:val="00C84ACE"/>
    <w:rsid w:val="00C84DD9"/>
    <w:rsid w:val="00C857DA"/>
    <w:rsid w:val="00C85CD7"/>
    <w:rsid w:val="00C86206"/>
    <w:rsid w:val="00C86742"/>
    <w:rsid w:val="00C86AD0"/>
    <w:rsid w:val="00C86E68"/>
    <w:rsid w:val="00C870DF"/>
    <w:rsid w:val="00C87430"/>
    <w:rsid w:val="00C87841"/>
    <w:rsid w:val="00C909AE"/>
    <w:rsid w:val="00C90A41"/>
    <w:rsid w:val="00C90AAF"/>
    <w:rsid w:val="00C92272"/>
    <w:rsid w:val="00C9242A"/>
    <w:rsid w:val="00C930D1"/>
    <w:rsid w:val="00C93399"/>
    <w:rsid w:val="00C93ED6"/>
    <w:rsid w:val="00C94190"/>
    <w:rsid w:val="00C94400"/>
    <w:rsid w:val="00C94ADE"/>
    <w:rsid w:val="00C94FF5"/>
    <w:rsid w:val="00C9598F"/>
    <w:rsid w:val="00C95C4B"/>
    <w:rsid w:val="00C9659F"/>
    <w:rsid w:val="00C968A1"/>
    <w:rsid w:val="00C97795"/>
    <w:rsid w:val="00C97948"/>
    <w:rsid w:val="00C97B20"/>
    <w:rsid w:val="00C97BC7"/>
    <w:rsid w:val="00C97E01"/>
    <w:rsid w:val="00CA043E"/>
    <w:rsid w:val="00CA0E46"/>
    <w:rsid w:val="00CA1254"/>
    <w:rsid w:val="00CA1595"/>
    <w:rsid w:val="00CA1F04"/>
    <w:rsid w:val="00CA2619"/>
    <w:rsid w:val="00CA29D1"/>
    <w:rsid w:val="00CA3037"/>
    <w:rsid w:val="00CA34AE"/>
    <w:rsid w:val="00CA37AD"/>
    <w:rsid w:val="00CA3825"/>
    <w:rsid w:val="00CA4771"/>
    <w:rsid w:val="00CA4F5A"/>
    <w:rsid w:val="00CA5121"/>
    <w:rsid w:val="00CA59F3"/>
    <w:rsid w:val="00CA6813"/>
    <w:rsid w:val="00CA703F"/>
    <w:rsid w:val="00CA7602"/>
    <w:rsid w:val="00CA780D"/>
    <w:rsid w:val="00CA783B"/>
    <w:rsid w:val="00CB0454"/>
    <w:rsid w:val="00CB0F8C"/>
    <w:rsid w:val="00CB14DB"/>
    <w:rsid w:val="00CB161A"/>
    <w:rsid w:val="00CB2358"/>
    <w:rsid w:val="00CB236C"/>
    <w:rsid w:val="00CB2390"/>
    <w:rsid w:val="00CB247B"/>
    <w:rsid w:val="00CB24F4"/>
    <w:rsid w:val="00CB2CBA"/>
    <w:rsid w:val="00CB2EC2"/>
    <w:rsid w:val="00CB49BD"/>
    <w:rsid w:val="00CB4A27"/>
    <w:rsid w:val="00CB594E"/>
    <w:rsid w:val="00CB608E"/>
    <w:rsid w:val="00CB6999"/>
    <w:rsid w:val="00CB6FEB"/>
    <w:rsid w:val="00CB794B"/>
    <w:rsid w:val="00CB7F66"/>
    <w:rsid w:val="00CC042E"/>
    <w:rsid w:val="00CC0794"/>
    <w:rsid w:val="00CC0E02"/>
    <w:rsid w:val="00CC0E8B"/>
    <w:rsid w:val="00CC0F70"/>
    <w:rsid w:val="00CC1165"/>
    <w:rsid w:val="00CC1EE6"/>
    <w:rsid w:val="00CC201D"/>
    <w:rsid w:val="00CC2398"/>
    <w:rsid w:val="00CC2DAA"/>
    <w:rsid w:val="00CC3897"/>
    <w:rsid w:val="00CC3CB9"/>
    <w:rsid w:val="00CC3DBF"/>
    <w:rsid w:val="00CC4052"/>
    <w:rsid w:val="00CC45AD"/>
    <w:rsid w:val="00CC4F8B"/>
    <w:rsid w:val="00CC5E30"/>
    <w:rsid w:val="00CC5F94"/>
    <w:rsid w:val="00CC6C77"/>
    <w:rsid w:val="00CC771C"/>
    <w:rsid w:val="00CD04E9"/>
    <w:rsid w:val="00CD0AA8"/>
    <w:rsid w:val="00CD0B96"/>
    <w:rsid w:val="00CD0CA9"/>
    <w:rsid w:val="00CD31F4"/>
    <w:rsid w:val="00CD33F0"/>
    <w:rsid w:val="00CD458E"/>
    <w:rsid w:val="00CD4837"/>
    <w:rsid w:val="00CD4E7F"/>
    <w:rsid w:val="00CD4F1F"/>
    <w:rsid w:val="00CD4F7C"/>
    <w:rsid w:val="00CD56EF"/>
    <w:rsid w:val="00CD5766"/>
    <w:rsid w:val="00CD5A75"/>
    <w:rsid w:val="00CD608A"/>
    <w:rsid w:val="00CD60AC"/>
    <w:rsid w:val="00CD663E"/>
    <w:rsid w:val="00CD6AFC"/>
    <w:rsid w:val="00CD7663"/>
    <w:rsid w:val="00CD781E"/>
    <w:rsid w:val="00CD7C3C"/>
    <w:rsid w:val="00CD7EAB"/>
    <w:rsid w:val="00CE024A"/>
    <w:rsid w:val="00CE038D"/>
    <w:rsid w:val="00CE0409"/>
    <w:rsid w:val="00CE0A63"/>
    <w:rsid w:val="00CE151F"/>
    <w:rsid w:val="00CE15DD"/>
    <w:rsid w:val="00CE1780"/>
    <w:rsid w:val="00CE1F98"/>
    <w:rsid w:val="00CE233D"/>
    <w:rsid w:val="00CE2BC3"/>
    <w:rsid w:val="00CE340A"/>
    <w:rsid w:val="00CE3BA0"/>
    <w:rsid w:val="00CE47B6"/>
    <w:rsid w:val="00CE4930"/>
    <w:rsid w:val="00CE4A32"/>
    <w:rsid w:val="00CE4F31"/>
    <w:rsid w:val="00CE566A"/>
    <w:rsid w:val="00CE56EB"/>
    <w:rsid w:val="00CE5B21"/>
    <w:rsid w:val="00CE6274"/>
    <w:rsid w:val="00CE6555"/>
    <w:rsid w:val="00CE6A7A"/>
    <w:rsid w:val="00CE6C06"/>
    <w:rsid w:val="00CE6CE1"/>
    <w:rsid w:val="00CE719F"/>
    <w:rsid w:val="00CE78D8"/>
    <w:rsid w:val="00CF0B5C"/>
    <w:rsid w:val="00CF0C2D"/>
    <w:rsid w:val="00CF19C2"/>
    <w:rsid w:val="00CF1F77"/>
    <w:rsid w:val="00CF2436"/>
    <w:rsid w:val="00CF2441"/>
    <w:rsid w:val="00CF24E1"/>
    <w:rsid w:val="00CF25D5"/>
    <w:rsid w:val="00CF25DC"/>
    <w:rsid w:val="00CF30DD"/>
    <w:rsid w:val="00CF3AD0"/>
    <w:rsid w:val="00CF43BB"/>
    <w:rsid w:val="00CF444B"/>
    <w:rsid w:val="00CF49F9"/>
    <w:rsid w:val="00CF4CB6"/>
    <w:rsid w:val="00CF58FC"/>
    <w:rsid w:val="00CF605B"/>
    <w:rsid w:val="00CF6202"/>
    <w:rsid w:val="00CF6D3F"/>
    <w:rsid w:val="00CF6F24"/>
    <w:rsid w:val="00CF7DD1"/>
    <w:rsid w:val="00D00506"/>
    <w:rsid w:val="00D013B3"/>
    <w:rsid w:val="00D0140E"/>
    <w:rsid w:val="00D01738"/>
    <w:rsid w:val="00D017D0"/>
    <w:rsid w:val="00D01908"/>
    <w:rsid w:val="00D01B25"/>
    <w:rsid w:val="00D01B85"/>
    <w:rsid w:val="00D0306F"/>
    <w:rsid w:val="00D0321F"/>
    <w:rsid w:val="00D03CC8"/>
    <w:rsid w:val="00D045A6"/>
    <w:rsid w:val="00D046B4"/>
    <w:rsid w:val="00D0482D"/>
    <w:rsid w:val="00D04E94"/>
    <w:rsid w:val="00D055B5"/>
    <w:rsid w:val="00D055FC"/>
    <w:rsid w:val="00D05FF5"/>
    <w:rsid w:val="00D06048"/>
    <w:rsid w:val="00D06982"/>
    <w:rsid w:val="00D06FF5"/>
    <w:rsid w:val="00D07CD6"/>
    <w:rsid w:val="00D07FA7"/>
    <w:rsid w:val="00D102CB"/>
    <w:rsid w:val="00D10462"/>
    <w:rsid w:val="00D105A3"/>
    <w:rsid w:val="00D10959"/>
    <w:rsid w:val="00D1104C"/>
    <w:rsid w:val="00D1184B"/>
    <w:rsid w:val="00D118CC"/>
    <w:rsid w:val="00D119B2"/>
    <w:rsid w:val="00D11A52"/>
    <w:rsid w:val="00D12781"/>
    <w:rsid w:val="00D129C1"/>
    <w:rsid w:val="00D12C0E"/>
    <w:rsid w:val="00D12DBB"/>
    <w:rsid w:val="00D1340F"/>
    <w:rsid w:val="00D138CD"/>
    <w:rsid w:val="00D13968"/>
    <w:rsid w:val="00D13E48"/>
    <w:rsid w:val="00D1413D"/>
    <w:rsid w:val="00D145A5"/>
    <w:rsid w:val="00D14C46"/>
    <w:rsid w:val="00D15BE1"/>
    <w:rsid w:val="00D169DB"/>
    <w:rsid w:val="00D16B50"/>
    <w:rsid w:val="00D16D1B"/>
    <w:rsid w:val="00D17062"/>
    <w:rsid w:val="00D17CCA"/>
    <w:rsid w:val="00D17F1D"/>
    <w:rsid w:val="00D2077B"/>
    <w:rsid w:val="00D2128D"/>
    <w:rsid w:val="00D21331"/>
    <w:rsid w:val="00D215B9"/>
    <w:rsid w:val="00D22403"/>
    <w:rsid w:val="00D22976"/>
    <w:rsid w:val="00D22A0F"/>
    <w:rsid w:val="00D22AD9"/>
    <w:rsid w:val="00D22DCC"/>
    <w:rsid w:val="00D2301B"/>
    <w:rsid w:val="00D234D3"/>
    <w:rsid w:val="00D24343"/>
    <w:rsid w:val="00D24805"/>
    <w:rsid w:val="00D2484E"/>
    <w:rsid w:val="00D24D00"/>
    <w:rsid w:val="00D25C99"/>
    <w:rsid w:val="00D25D0B"/>
    <w:rsid w:val="00D25F22"/>
    <w:rsid w:val="00D2616D"/>
    <w:rsid w:val="00D262DA"/>
    <w:rsid w:val="00D2683B"/>
    <w:rsid w:val="00D26E61"/>
    <w:rsid w:val="00D2702E"/>
    <w:rsid w:val="00D27545"/>
    <w:rsid w:val="00D278F3"/>
    <w:rsid w:val="00D27A84"/>
    <w:rsid w:val="00D27EC6"/>
    <w:rsid w:val="00D27F24"/>
    <w:rsid w:val="00D27FF3"/>
    <w:rsid w:val="00D307AA"/>
    <w:rsid w:val="00D30BA4"/>
    <w:rsid w:val="00D30BAD"/>
    <w:rsid w:val="00D30BE5"/>
    <w:rsid w:val="00D321F2"/>
    <w:rsid w:val="00D33575"/>
    <w:rsid w:val="00D343E7"/>
    <w:rsid w:val="00D349EC"/>
    <w:rsid w:val="00D364F8"/>
    <w:rsid w:val="00D37191"/>
    <w:rsid w:val="00D376BD"/>
    <w:rsid w:val="00D37738"/>
    <w:rsid w:val="00D400D6"/>
    <w:rsid w:val="00D408DA"/>
    <w:rsid w:val="00D40D1F"/>
    <w:rsid w:val="00D411E7"/>
    <w:rsid w:val="00D41692"/>
    <w:rsid w:val="00D41AEA"/>
    <w:rsid w:val="00D41D35"/>
    <w:rsid w:val="00D42072"/>
    <w:rsid w:val="00D424E5"/>
    <w:rsid w:val="00D42739"/>
    <w:rsid w:val="00D42906"/>
    <w:rsid w:val="00D42974"/>
    <w:rsid w:val="00D430D8"/>
    <w:rsid w:val="00D43307"/>
    <w:rsid w:val="00D43E72"/>
    <w:rsid w:val="00D4477D"/>
    <w:rsid w:val="00D4483F"/>
    <w:rsid w:val="00D44B4F"/>
    <w:rsid w:val="00D44B57"/>
    <w:rsid w:val="00D44DF6"/>
    <w:rsid w:val="00D452D8"/>
    <w:rsid w:val="00D45B6F"/>
    <w:rsid w:val="00D46530"/>
    <w:rsid w:val="00D466EE"/>
    <w:rsid w:val="00D46730"/>
    <w:rsid w:val="00D477F6"/>
    <w:rsid w:val="00D503E7"/>
    <w:rsid w:val="00D50568"/>
    <w:rsid w:val="00D50992"/>
    <w:rsid w:val="00D50E65"/>
    <w:rsid w:val="00D519E2"/>
    <w:rsid w:val="00D51D28"/>
    <w:rsid w:val="00D51DCC"/>
    <w:rsid w:val="00D5234A"/>
    <w:rsid w:val="00D52544"/>
    <w:rsid w:val="00D527C0"/>
    <w:rsid w:val="00D52AE1"/>
    <w:rsid w:val="00D52DFF"/>
    <w:rsid w:val="00D53032"/>
    <w:rsid w:val="00D534B0"/>
    <w:rsid w:val="00D53E04"/>
    <w:rsid w:val="00D543EF"/>
    <w:rsid w:val="00D54457"/>
    <w:rsid w:val="00D54B79"/>
    <w:rsid w:val="00D54C31"/>
    <w:rsid w:val="00D54ED3"/>
    <w:rsid w:val="00D55978"/>
    <w:rsid w:val="00D55E56"/>
    <w:rsid w:val="00D56649"/>
    <w:rsid w:val="00D57140"/>
    <w:rsid w:val="00D575D2"/>
    <w:rsid w:val="00D57A4E"/>
    <w:rsid w:val="00D57F35"/>
    <w:rsid w:val="00D6037B"/>
    <w:rsid w:val="00D60A2C"/>
    <w:rsid w:val="00D60B99"/>
    <w:rsid w:val="00D61993"/>
    <w:rsid w:val="00D61A65"/>
    <w:rsid w:val="00D61A7E"/>
    <w:rsid w:val="00D61BDB"/>
    <w:rsid w:val="00D61C21"/>
    <w:rsid w:val="00D61F22"/>
    <w:rsid w:val="00D621E8"/>
    <w:rsid w:val="00D62E0C"/>
    <w:rsid w:val="00D62FE8"/>
    <w:rsid w:val="00D63447"/>
    <w:rsid w:val="00D6374D"/>
    <w:rsid w:val="00D63D8B"/>
    <w:rsid w:val="00D64428"/>
    <w:rsid w:val="00D64540"/>
    <w:rsid w:val="00D645BF"/>
    <w:rsid w:val="00D64C33"/>
    <w:rsid w:val="00D657EE"/>
    <w:rsid w:val="00D66494"/>
    <w:rsid w:val="00D66F5C"/>
    <w:rsid w:val="00D6775F"/>
    <w:rsid w:val="00D677C4"/>
    <w:rsid w:val="00D67BF9"/>
    <w:rsid w:val="00D7128B"/>
    <w:rsid w:val="00D7140D"/>
    <w:rsid w:val="00D72342"/>
    <w:rsid w:val="00D72547"/>
    <w:rsid w:val="00D72A66"/>
    <w:rsid w:val="00D73F4A"/>
    <w:rsid w:val="00D744AE"/>
    <w:rsid w:val="00D74596"/>
    <w:rsid w:val="00D74625"/>
    <w:rsid w:val="00D74B46"/>
    <w:rsid w:val="00D7511A"/>
    <w:rsid w:val="00D75330"/>
    <w:rsid w:val="00D75396"/>
    <w:rsid w:val="00D763F4"/>
    <w:rsid w:val="00D76B03"/>
    <w:rsid w:val="00D77350"/>
    <w:rsid w:val="00D77ECB"/>
    <w:rsid w:val="00D8023A"/>
    <w:rsid w:val="00D80458"/>
    <w:rsid w:val="00D80B2A"/>
    <w:rsid w:val="00D80C60"/>
    <w:rsid w:val="00D80CEB"/>
    <w:rsid w:val="00D8149C"/>
    <w:rsid w:val="00D81A04"/>
    <w:rsid w:val="00D81A07"/>
    <w:rsid w:val="00D82C94"/>
    <w:rsid w:val="00D82FD4"/>
    <w:rsid w:val="00D8308F"/>
    <w:rsid w:val="00D83221"/>
    <w:rsid w:val="00D83428"/>
    <w:rsid w:val="00D835B1"/>
    <w:rsid w:val="00D842FE"/>
    <w:rsid w:val="00D84921"/>
    <w:rsid w:val="00D84E84"/>
    <w:rsid w:val="00D850E3"/>
    <w:rsid w:val="00D850EA"/>
    <w:rsid w:val="00D852DF"/>
    <w:rsid w:val="00D85395"/>
    <w:rsid w:val="00D855B9"/>
    <w:rsid w:val="00D85E1E"/>
    <w:rsid w:val="00D867E8"/>
    <w:rsid w:val="00D8683F"/>
    <w:rsid w:val="00D86B39"/>
    <w:rsid w:val="00D86F16"/>
    <w:rsid w:val="00D870D7"/>
    <w:rsid w:val="00D8746D"/>
    <w:rsid w:val="00D87CCE"/>
    <w:rsid w:val="00D87D5E"/>
    <w:rsid w:val="00D87ED0"/>
    <w:rsid w:val="00D90823"/>
    <w:rsid w:val="00D90B8C"/>
    <w:rsid w:val="00D91DAB"/>
    <w:rsid w:val="00D923DF"/>
    <w:rsid w:val="00D92C37"/>
    <w:rsid w:val="00D930C3"/>
    <w:rsid w:val="00D93261"/>
    <w:rsid w:val="00D9339C"/>
    <w:rsid w:val="00D93FAA"/>
    <w:rsid w:val="00D945EA"/>
    <w:rsid w:val="00D949F5"/>
    <w:rsid w:val="00D94AF6"/>
    <w:rsid w:val="00D94FCB"/>
    <w:rsid w:val="00D9511B"/>
    <w:rsid w:val="00D95AFF"/>
    <w:rsid w:val="00D95E89"/>
    <w:rsid w:val="00D96582"/>
    <w:rsid w:val="00D9672F"/>
    <w:rsid w:val="00D96A77"/>
    <w:rsid w:val="00D9756E"/>
    <w:rsid w:val="00D9796A"/>
    <w:rsid w:val="00DA00E2"/>
    <w:rsid w:val="00DA023C"/>
    <w:rsid w:val="00DA069E"/>
    <w:rsid w:val="00DA0848"/>
    <w:rsid w:val="00DA08A4"/>
    <w:rsid w:val="00DA0F3A"/>
    <w:rsid w:val="00DA104E"/>
    <w:rsid w:val="00DA124F"/>
    <w:rsid w:val="00DA12F4"/>
    <w:rsid w:val="00DA2175"/>
    <w:rsid w:val="00DA233F"/>
    <w:rsid w:val="00DA3413"/>
    <w:rsid w:val="00DA3476"/>
    <w:rsid w:val="00DA3C2B"/>
    <w:rsid w:val="00DA3CAE"/>
    <w:rsid w:val="00DA3E5A"/>
    <w:rsid w:val="00DA49D3"/>
    <w:rsid w:val="00DA4B98"/>
    <w:rsid w:val="00DA4C8D"/>
    <w:rsid w:val="00DA4EB2"/>
    <w:rsid w:val="00DA517D"/>
    <w:rsid w:val="00DA532A"/>
    <w:rsid w:val="00DA5460"/>
    <w:rsid w:val="00DA6A02"/>
    <w:rsid w:val="00DA6BCF"/>
    <w:rsid w:val="00DA6F83"/>
    <w:rsid w:val="00DA7106"/>
    <w:rsid w:val="00DA7370"/>
    <w:rsid w:val="00DA760B"/>
    <w:rsid w:val="00DA7B66"/>
    <w:rsid w:val="00DB02FB"/>
    <w:rsid w:val="00DB0A0C"/>
    <w:rsid w:val="00DB0E17"/>
    <w:rsid w:val="00DB1050"/>
    <w:rsid w:val="00DB1098"/>
    <w:rsid w:val="00DB18C1"/>
    <w:rsid w:val="00DB1AE5"/>
    <w:rsid w:val="00DB1C5C"/>
    <w:rsid w:val="00DB2BC0"/>
    <w:rsid w:val="00DB2D39"/>
    <w:rsid w:val="00DB355C"/>
    <w:rsid w:val="00DB4491"/>
    <w:rsid w:val="00DB4BB0"/>
    <w:rsid w:val="00DB4E39"/>
    <w:rsid w:val="00DB4FF8"/>
    <w:rsid w:val="00DB544D"/>
    <w:rsid w:val="00DB58E6"/>
    <w:rsid w:val="00DB5E31"/>
    <w:rsid w:val="00DB6646"/>
    <w:rsid w:val="00DB68EA"/>
    <w:rsid w:val="00DB6980"/>
    <w:rsid w:val="00DB6B91"/>
    <w:rsid w:val="00DB6E9A"/>
    <w:rsid w:val="00DB79D4"/>
    <w:rsid w:val="00DB7A51"/>
    <w:rsid w:val="00DC0431"/>
    <w:rsid w:val="00DC08FA"/>
    <w:rsid w:val="00DC0A9F"/>
    <w:rsid w:val="00DC0E66"/>
    <w:rsid w:val="00DC0F82"/>
    <w:rsid w:val="00DC1069"/>
    <w:rsid w:val="00DC14E4"/>
    <w:rsid w:val="00DC20A2"/>
    <w:rsid w:val="00DC2523"/>
    <w:rsid w:val="00DC2892"/>
    <w:rsid w:val="00DC2B11"/>
    <w:rsid w:val="00DC2BB2"/>
    <w:rsid w:val="00DC2D81"/>
    <w:rsid w:val="00DC30C0"/>
    <w:rsid w:val="00DC3342"/>
    <w:rsid w:val="00DC3976"/>
    <w:rsid w:val="00DC3D52"/>
    <w:rsid w:val="00DC4D6D"/>
    <w:rsid w:val="00DC4FDB"/>
    <w:rsid w:val="00DC50B7"/>
    <w:rsid w:val="00DC510A"/>
    <w:rsid w:val="00DC5ED3"/>
    <w:rsid w:val="00DC66F9"/>
    <w:rsid w:val="00DC672E"/>
    <w:rsid w:val="00DC676B"/>
    <w:rsid w:val="00DC68D4"/>
    <w:rsid w:val="00DC695E"/>
    <w:rsid w:val="00DC7773"/>
    <w:rsid w:val="00DC7E92"/>
    <w:rsid w:val="00DD00AF"/>
    <w:rsid w:val="00DD01DA"/>
    <w:rsid w:val="00DD03E3"/>
    <w:rsid w:val="00DD0B44"/>
    <w:rsid w:val="00DD0F61"/>
    <w:rsid w:val="00DD1602"/>
    <w:rsid w:val="00DD1F6C"/>
    <w:rsid w:val="00DD22A7"/>
    <w:rsid w:val="00DD23FE"/>
    <w:rsid w:val="00DD2EA0"/>
    <w:rsid w:val="00DD30EC"/>
    <w:rsid w:val="00DD3EC5"/>
    <w:rsid w:val="00DD42A5"/>
    <w:rsid w:val="00DD4741"/>
    <w:rsid w:val="00DD4C97"/>
    <w:rsid w:val="00DD4FEE"/>
    <w:rsid w:val="00DD5468"/>
    <w:rsid w:val="00DD58D1"/>
    <w:rsid w:val="00DD5BA1"/>
    <w:rsid w:val="00DD5C8A"/>
    <w:rsid w:val="00DD60A1"/>
    <w:rsid w:val="00DD62F8"/>
    <w:rsid w:val="00DD732B"/>
    <w:rsid w:val="00DD737E"/>
    <w:rsid w:val="00DD794E"/>
    <w:rsid w:val="00DE011B"/>
    <w:rsid w:val="00DE0A9F"/>
    <w:rsid w:val="00DE0E74"/>
    <w:rsid w:val="00DE0FA7"/>
    <w:rsid w:val="00DE1095"/>
    <w:rsid w:val="00DE12D3"/>
    <w:rsid w:val="00DE1E5D"/>
    <w:rsid w:val="00DE26FC"/>
    <w:rsid w:val="00DE2DA3"/>
    <w:rsid w:val="00DE2DAC"/>
    <w:rsid w:val="00DE3AC0"/>
    <w:rsid w:val="00DE4249"/>
    <w:rsid w:val="00DE4556"/>
    <w:rsid w:val="00DE4964"/>
    <w:rsid w:val="00DE4A2D"/>
    <w:rsid w:val="00DE4BE2"/>
    <w:rsid w:val="00DE4F00"/>
    <w:rsid w:val="00DE5FBA"/>
    <w:rsid w:val="00DE60DA"/>
    <w:rsid w:val="00DE69CD"/>
    <w:rsid w:val="00DE7618"/>
    <w:rsid w:val="00DE7E41"/>
    <w:rsid w:val="00DF016E"/>
    <w:rsid w:val="00DF0ED0"/>
    <w:rsid w:val="00DF0FEF"/>
    <w:rsid w:val="00DF1379"/>
    <w:rsid w:val="00DF14AE"/>
    <w:rsid w:val="00DF15A4"/>
    <w:rsid w:val="00DF1947"/>
    <w:rsid w:val="00DF1A3E"/>
    <w:rsid w:val="00DF1D03"/>
    <w:rsid w:val="00DF23F6"/>
    <w:rsid w:val="00DF245F"/>
    <w:rsid w:val="00DF2A77"/>
    <w:rsid w:val="00DF2CCF"/>
    <w:rsid w:val="00DF317C"/>
    <w:rsid w:val="00DF3C47"/>
    <w:rsid w:val="00DF3FA2"/>
    <w:rsid w:val="00DF4445"/>
    <w:rsid w:val="00DF472C"/>
    <w:rsid w:val="00DF48C6"/>
    <w:rsid w:val="00DF4908"/>
    <w:rsid w:val="00DF5690"/>
    <w:rsid w:val="00DF5724"/>
    <w:rsid w:val="00DF5F46"/>
    <w:rsid w:val="00DF61F6"/>
    <w:rsid w:val="00DF6368"/>
    <w:rsid w:val="00DF654C"/>
    <w:rsid w:val="00DF69AE"/>
    <w:rsid w:val="00DF7217"/>
    <w:rsid w:val="00DF7513"/>
    <w:rsid w:val="00DF78D5"/>
    <w:rsid w:val="00DF7D9E"/>
    <w:rsid w:val="00DF7E93"/>
    <w:rsid w:val="00E00213"/>
    <w:rsid w:val="00E0038D"/>
    <w:rsid w:val="00E00900"/>
    <w:rsid w:val="00E00BA1"/>
    <w:rsid w:val="00E017A3"/>
    <w:rsid w:val="00E01BB6"/>
    <w:rsid w:val="00E01F5B"/>
    <w:rsid w:val="00E0222A"/>
    <w:rsid w:val="00E02262"/>
    <w:rsid w:val="00E0349A"/>
    <w:rsid w:val="00E03924"/>
    <w:rsid w:val="00E03BD4"/>
    <w:rsid w:val="00E045D4"/>
    <w:rsid w:val="00E058DB"/>
    <w:rsid w:val="00E0628B"/>
    <w:rsid w:val="00E0629B"/>
    <w:rsid w:val="00E068A5"/>
    <w:rsid w:val="00E075E9"/>
    <w:rsid w:val="00E076A6"/>
    <w:rsid w:val="00E07A9E"/>
    <w:rsid w:val="00E07C3E"/>
    <w:rsid w:val="00E07C8A"/>
    <w:rsid w:val="00E07D3B"/>
    <w:rsid w:val="00E104F0"/>
    <w:rsid w:val="00E10571"/>
    <w:rsid w:val="00E113B5"/>
    <w:rsid w:val="00E119A5"/>
    <w:rsid w:val="00E11F03"/>
    <w:rsid w:val="00E1200E"/>
    <w:rsid w:val="00E134E3"/>
    <w:rsid w:val="00E13836"/>
    <w:rsid w:val="00E13ED4"/>
    <w:rsid w:val="00E14C86"/>
    <w:rsid w:val="00E1543E"/>
    <w:rsid w:val="00E15760"/>
    <w:rsid w:val="00E15D12"/>
    <w:rsid w:val="00E16591"/>
    <w:rsid w:val="00E166E1"/>
    <w:rsid w:val="00E16D7E"/>
    <w:rsid w:val="00E16DFA"/>
    <w:rsid w:val="00E16DFB"/>
    <w:rsid w:val="00E1712A"/>
    <w:rsid w:val="00E179DE"/>
    <w:rsid w:val="00E17B19"/>
    <w:rsid w:val="00E2051A"/>
    <w:rsid w:val="00E20F5E"/>
    <w:rsid w:val="00E212B0"/>
    <w:rsid w:val="00E21389"/>
    <w:rsid w:val="00E21957"/>
    <w:rsid w:val="00E21AF2"/>
    <w:rsid w:val="00E23017"/>
    <w:rsid w:val="00E23664"/>
    <w:rsid w:val="00E238DA"/>
    <w:rsid w:val="00E238DC"/>
    <w:rsid w:val="00E23D75"/>
    <w:rsid w:val="00E2419D"/>
    <w:rsid w:val="00E2421B"/>
    <w:rsid w:val="00E24517"/>
    <w:rsid w:val="00E2465E"/>
    <w:rsid w:val="00E2481E"/>
    <w:rsid w:val="00E24F27"/>
    <w:rsid w:val="00E254FB"/>
    <w:rsid w:val="00E25739"/>
    <w:rsid w:val="00E25D3C"/>
    <w:rsid w:val="00E26EC8"/>
    <w:rsid w:val="00E2794C"/>
    <w:rsid w:val="00E27E9B"/>
    <w:rsid w:val="00E27F28"/>
    <w:rsid w:val="00E3050A"/>
    <w:rsid w:val="00E30780"/>
    <w:rsid w:val="00E31228"/>
    <w:rsid w:val="00E32147"/>
    <w:rsid w:val="00E325DF"/>
    <w:rsid w:val="00E328CF"/>
    <w:rsid w:val="00E3327F"/>
    <w:rsid w:val="00E3331E"/>
    <w:rsid w:val="00E3341F"/>
    <w:rsid w:val="00E33C64"/>
    <w:rsid w:val="00E33E61"/>
    <w:rsid w:val="00E33F72"/>
    <w:rsid w:val="00E34D9B"/>
    <w:rsid w:val="00E3560F"/>
    <w:rsid w:val="00E35FD4"/>
    <w:rsid w:val="00E35FEE"/>
    <w:rsid w:val="00E36A7F"/>
    <w:rsid w:val="00E36C91"/>
    <w:rsid w:val="00E36EE8"/>
    <w:rsid w:val="00E37C78"/>
    <w:rsid w:val="00E402EC"/>
    <w:rsid w:val="00E413F4"/>
    <w:rsid w:val="00E415E8"/>
    <w:rsid w:val="00E41D72"/>
    <w:rsid w:val="00E420F2"/>
    <w:rsid w:val="00E425DD"/>
    <w:rsid w:val="00E42667"/>
    <w:rsid w:val="00E42A2E"/>
    <w:rsid w:val="00E4314F"/>
    <w:rsid w:val="00E431B0"/>
    <w:rsid w:val="00E4337F"/>
    <w:rsid w:val="00E43C8E"/>
    <w:rsid w:val="00E44A0A"/>
    <w:rsid w:val="00E44F43"/>
    <w:rsid w:val="00E456EF"/>
    <w:rsid w:val="00E4596B"/>
    <w:rsid w:val="00E45DBA"/>
    <w:rsid w:val="00E45DCA"/>
    <w:rsid w:val="00E45E77"/>
    <w:rsid w:val="00E45E84"/>
    <w:rsid w:val="00E46742"/>
    <w:rsid w:val="00E46790"/>
    <w:rsid w:val="00E46B9F"/>
    <w:rsid w:val="00E46C06"/>
    <w:rsid w:val="00E46C6C"/>
    <w:rsid w:val="00E4719E"/>
    <w:rsid w:val="00E47302"/>
    <w:rsid w:val="00E47404"/>
    <w:rsid w:val="00E5086C"/>
    <w:rsid w:val="00E508A4"/>
    <w:rsid w:val="00E50A9B"/>
    <w:rsid w:val="00E50D71"/>
    <w:rsid w:val="00E50DE4"/>
    <w:rsid w:val="00E510A2"/>
    <w:rsid w:val="00E5114D"/>
    <w:rsid w:val="00E513DD"/>
    <w:rsid w:val="00E51ADD"/>
    <w:rsid w:val="00E52084"/>
    <w:rsid w:val="00E5217B"/>
    <w:rsid w:val="00E522A4"/>
    <w:rsid w:val="00E53A57"/>
    <w:rsid w:val="00E53BDE"/>
    <w:rsid w:val="00E53D1C"/>
    <w:rsid w:val="00E544DF"/>
    <w:rsid w:val="00E54546"/>
    <w:rsid w:val="00E54715"/>
    <w:rsid w:val="00E547D7"/>
    <w:rsid w:val="00E54A38"/>
    <w:rsid w:val="00E55253"/>
    <w:rsid w:val="00E554D2"/>
    <w:rsid w:val="00E55719"/>
    <w:rsid w:val="00E557EC"/>
    <w:rsid w:val="00E55CD2"/>
    <w:rsid w:val="00E57015"/>
    <w:rsid w:val="00E570C2"/>
    <w:rsid w:val="00E57455"/>
    <w:rsid w:val="00E578A2"/>
    <w:rsid w:val="00E6058B"/>
    <w:rsid w:val="00E60B07"/>
    <w:rsid w:val="00E610DA"/>
    <w:rsid w:val="00E61841"/>
    <w:rsid w:val="00E61AE4"/>
    <w:rsid w:val="00E6217D"/>
    <w:rsid w:val="00E62219"/>
    <w:rsid w:val="00E6270B"/>
    <w:rsid w:val="00E62940"/>
    <w:rsid w:val="00E62FA1"/>
    <w:rsid w:val="00E6305A"/>
    <w:rsid w:val="00E63A21"/>
    <w:rsid w:val="00E6469B"/>
    <w:rsid w:val="00E648A5"/>
    <w:rsid w:val="00E64B2E"/>
    <w:rsid w:val="00E64CFF"/>
    <w:rsid w:val="00E6535A"/>
    <w:rsid w:val="00E6536E"/>
    <w:rsid w:val="00E66110"/>
    <w:rsid w:val="00E66159"/>
    <w:rsid w:val="00E6620F"/>
    <w:rsid w:val="00E662D8"/>
    <w:rsid w:val="00E66659"/>
    <w:rsid w:val="00E673A3"/>
    <w:rsid w:val="00E673B9"/>
    <w:rsid w:val="00E70354"/>
    <w:rsid w:val="00E70513"/>
    <w:rsid w:val="00E7150C"/>
    <w:rsid w:val="00E722C6"/>
    <w:rsid w:val="00E726F4"/>
    <w:rsid w:val="00E72973"/>
    <w:rsid w:val="00E72F2A"/>
    <w:rsid w:val="00E72F3B"/>
    <w:rsid w:val="00E72FAB"/>
    <w:rsid w:val="00E735AB"/>
    <w:rsid w:val="00E73F97"/>
    <w:rsid w:val="00E7412E"/>
    <w:rsid w:val="00E748D4"/>
    <w:rsid w:val="00E74E86"/>
    <w:rsid w:val="00E7518F"/>
    <w:rsid w:val="00E7660F"/>
    <w:rsid w:val="00E76D27"/>
    <w:rsid w:val="00E77222"/>
    <w:rsid w:val="00E775BD"/>
    <w:rsid w:val="00E7765A"/>
    <w:rsid w:val="00E77CE3"/>
    <w:rsid w:val="00E77CEB"/>
    <w:rsid w:val="00E77E69"/>
    <w:rsid w:val="00E80240"/>
    <w:rsid w:val="00E8044F"/>
    <w:rsid w:val="00E80503"/>
    <w:rsid w:val="00E80A66"/>
    <w:rsid w:val="00E8153D"/>
    <w:rsid w:val="00E81933"/>
    <w:rsid w:val="00E82B38"/>
    <w:rsid w:val="00E82E8B"/>
    <w:rsid w:val="00E836FA"/>
    <w:rsid w:val="00E83D10"/>
    <w:rsid w:val="00E83D62"/>
    <w:rsid w:val="00E83E97"/>
    <w:rsid w:val="00E83ECA"/>
    <w:rsid w:val="00E83F5F"/>
    <w:rsid w:val="00E84373"/>
    <w:rsid w:val="00E85218"/>
    <w:rsid w:val="00E85219"/>
    <w:rsid w:val="00E85405"/>
    <w:rsid w:val="00E85591"/>
    <w:rsid w:val="00E86813"/>
    <w:rsid w:val="00E8706A"/>
    <w:rsid w:val="00E87457"/>
    <w:rsid w:val="00E87495"/>
    <w:rsid w:val="00E874B2"/>
    <w:rsid w:val="00E877FA"/>
    <w:rsid w:val="00E90CBA"/>
    <w:rsid w:val="00E91446"/>
    <w:rsid w:val="00E9165B"/>
    <w:rsid w:val="00E91B3A"/>
    <w:rsid w:val="00E91F77"/>
    <w:rsid w:val="00E92ECA"/>
    <w:rsid w:val="00E9319A"/>
    <w:rsid w:val="00E93277"/>
    <w:rsid w:val="00E93319"/>
    <w:rsid w:val="00E937D7"/>
    <w:rsid w:val="00E94049"/>
    <w:rsid w:val="00E940E8"/>
    <w:rsid w:val="00E942F6"/>
    <w:rsid w:val="00E94766"/>
    <w:rsid w:val="00E94DE8"/>
    <w:rsid w:val="00E95802"/>
    <w:rsid w:val="00E95868"/>
    <w:rsid w:val="00E965DB"/>
    <w:rsid w:val="00E967C0"/>
    <w:rsid w:val="00E96CD1"/>
    <w:rsid w:val="00E96CF9"/>
    <w:rsid w:val="00EA0021"/>
    <w:rsid w:val="00EA018B"/>
    <w:rsid w:val="00EA0392"/>
    <w:rsid w:val="00EA0697"/>
    <w:rsid w:val="00EA097C"/>
    <w:rsid w:val="00EA12BB"/>
    <w:rsid w:val="00EA12E1"/>
    <w:rsid w:val="00EA1DF4"/>
    <w:rsid w:val="00EA1DF9"/>
    <w:rsid w:val="00EA1F75"/>
    <w:rsid w:val="00EA250F"/>
    <w:rsid w:val="00EA2694"/>
    <w:rsid w:val="00EA2D3E"/>
    <w:rsid w:val="00EA31B7"/>
    <w:rsid w:val="00EA3CA1"/>
    <w:rsid w:val="00EA4753"/>
    <w:rsid w:val="00EA5943"/>
    <w:rsid w:val="00EA59CA"/>
    <w:rsid w:val="00EA64FE"/>
    <w:rsid w:val="00EA749B"/>
    <w:rsid w:val="00EA75BC"/>
    <w:rsid w:val="00EA76ED"/>
    <w:rsid w:val="00EB0053"/>
    <w:rsid w:val="00EB0614"/>
    <w:rsid w:val="00EB111E"/>
    <w:rsid w:val="00EB1220"/>
    <w:rsid w:val="00EB1593"/>
    <w:rsid w:val="00EB15BF"/>
    <w:rsid w:val="00EB1A70"/>
    <w:rsid w:val="00EB1A90"/>
    <w:rsid w:val="00EB1ED9"/>
    <w:rsid w:val="00EB1F3A"/>
    <w:rsid w:val="00EB2083"/>
    <w:rsid w:val="00EB20C0"/>
    <w:rsid w:val="00EB224D"/>
    <w:rsid w:val="00EB25C5"/>
    <w:rsid w:val="00EB303A"/>
    <w:rsid w:val="00EB36D0"/>
    <w:rsid w:val="00EB3BC0"/>
    <w:rsid w:val="00EB3D5F"/>
    <w:rsid w:val="00EB3E3C"/>
    <w:rsid w:val="00EB451C"/>
    <w:rsid w:val="00EB4AB6"/>
    <w:rsid w:val="00EB4B91"/>
    <w:rsid w:val="00EB53DA"/>
    <w:rsid w:val="00EB5863"/>
    <w:rsid w:val="00EB5A6A"/>
    <w:rsid w:val="00EB5E31"/>
    <w:rsid w:val="00EB5EC1"/>
    <w:rsid w:val="00EB6218"/>
    <w:rsid w:val="00EB6B31"/>
    <w:rsid w:val="00EB6F8B"/>
    <w:rsid w:val="00EB702B"/>
    <w:rsid w:val="00EB7045"/>
    <w:rsid w:val="00EB7271"/>
    <w:rsid w:val="00EB7414"/>
    <w:rsid w:val="00EB7CA5"/>
    <w:rsid w:val="00EC034A"/>
    <w:rsid w:val="00EC0581"/>
    <w:rsid w:val="00EC106B"/>
    <w:rsid w:val="00EC10EA"/>
    <w:rsid w:val="00EC1320"/>
    <w:rsid w:val="00EC1506"/>
    <w:rsid w:val="00EC163A"/>
    <w:rsid w:val="00EC1F1D"/>
    <w:rsid w:val="00EC213F"/>
    <w:rsid w:val="00EC294D"/>
    <w:rsid w:val="00EC2AEA"/>
    <w:rsid w:val="00EC349C"/>
    <w:rsid w:val="00EC3CB8"/>
    <w:rsid w:val="00EC4846"/>
    <w:rsid w:val="00EC4DF5"/>
    <w:rsid w:val="00EC4FD7"/>
    <w:rsid w:val="00EC500E"/>
    <w:rsid w:val="00EC5EB8"/>
    <w:rsid w:val="00EC6260"/>
    <w:rsid w:val="00EC64E4"/>
    <w:rsid w:val="00EC6691"/>
    <w:rsid w:val="00EC669B"/>
    <w:rsid w:val="00EC6C4A"/>
    <w:rsid w:val="00EC6E54"/>
    <w:rsid w:val="00EC6EF1"/>
    <w:rsid w:val="00ED02E2"/>
    <w:rsid w:val="00ED04D2"/>
    <w:rsid w:val="00ED0BBB"/>
    <w:rsid w:val="00ED23D6"/>
    <w:rsid w:val="00ED2433"/>
    <w:rsid w:val="00ED26AA"/>
    <w:rsid w:val="00ED2F3F"/>
    <w:rsid w:val="00ED33A4"/>
    <w:rsid w:val="00ED34BD"/>
    <w:rsid w:val="00ED39B0"/>
    <w:rsid w:val="00ED4974"/>
    <w:rsid w:val="00ED4D01"/>
    <w:rsid w:val="00ED58F8"/>
    <w:rsid w:val="00ED62A8"/>
    <w:rsid w:val="00ED647A"/>
    <w:rsid w:val="00EE0899"/>
    <w:rsid w:val="00EE2176"/>
    <w:rsid w:val="00EE3067"/>
    <w:rsid w:val="00EE3140"/>
    <w:rsid w:val="00EE33E9"/>
    <w:rsid w:val="00EE34F3"/>
    <w:rsid w:val="00EE3ABC"/>
    <w:rsid w:val="00EE3FE6"/>
    <w:rsid w:val="00EE3FF7"/>
    <w:rsid w:val="00EE4433"/>
    <w:rsid w:val="00EE485F"/>
    <w:rsid w:val="00EE55A9"/>
    <w:rsid w:val="00EE631D"/>
    <w:rsid w:val="00EE649D"/>
    <w:rsid w:val="00EE64F0"/>
    <w:rsid w:val="00EE6AAA"/>
    <w:rsid w:val="00EE6AF4"/>
    <w:rsid w:val="00EE6B8C"/>
    <w:rsid w:val="00EE72E6"/>
    <w:rsid w:val="00EE774D"/>
    <w:rsid w:val="00EE7A6C"/>
    <w:rsid w:val="00EE7C08"/>
    <w:rsid w:val="00EF0C23"/>
    <w:rsid w:val="00EF0D1D"/>
    <w:rsid w:val="00EF10C8"/>
    <w:rsid w:val="00EF137B"/>
    <w:rsid w:val="00EF1634"/>
    <w:rsid w:val="00EF19B8"/>
    <w:rsid w:val="00EF1F3A"/>
    <w:rsid w:val="00EF3A01"/>
    <w:rsid w:val="00EF3A5B"/>
    <w:rsid w:val="00EF3BDA"/>
    <w:rsid w:val="00EF3E93"/>
    <w:rsid w:val="00EF4858"/>
    <w:rsid w:val="00EF4A4E"/>
    <w:rsid w:val="00EF51BE"/>
    <w:rsid w:val="00EF62C7"/>
    <w:rsid w:val="00EF6471"/>
    <w:rsid w:val="00EF6579"/>
    <w:rsid w:val="00EF6CBE"/>
    <w:rsid w:val="00EF6D57"/>
    <w:rsid w:val="00EF7056"/>
    <w:rsid w:val="00F006AA"/>
    <w:rsid w:val="00F008A2"/>
    <w:rsid w:val="00F016AE"/>
    <w:rsid w:val="00F016B8"/>
    <w:rsid w:val="00F019D2"/>
    <w:rsid w:val="00F01AB2"/>
    <w:rsid w:val="00F01F86"/>
    <w:rsid w:val="00F02951"/>
    <w:rsid w:val="00F02AFA"/>
    <w:rsid w:val="00F02E47"/>
    <w:rsid w:val="00F03595"/>
    <w:rsid w:val="00F035C8"/>
    <w:rsid w:val="00F03A94"/>
    <w:rsid w:val="00F03E8B"/>
    <w:rsid w:val="00F05093"/>
    <w:rsid w:val="00F05545"/>
    <w:rsid w:val="00F0563F"/>
    <w:rsid w:val="00F05F6E"/>
    <w:rsid w:val="00F061EF"/>
    <w:rsid w:val="00F0707B"/>
    <w:rsid w:val="00F073F8"/>
    <w:rsid w:val="00F077B3"/>
    <w:rsid w:val="00F108C2"/>
    <w:rsid w:val="00F11164"/>
    <w:rsid w:val="00F114AF"/>
    <w:rsid w:val="00F115D1"/>
    <w:rsid w:val="00F11925"/>
    <w:rsid w:val="00F11A45"/>
    <w:rsid w:val="00F11A50"/>
    <w:rsid w:val="00F12242"/>
    <w:rsid w:val="00F1268E"/>
    <w:rsid w:val="00F126E4"/>
    <w:rsid w:val="00F12D91"/>
    <w:rsid w:val="00F12FC4"/>
    <w:rsid w:val="00F132EB"/>
    <w:rsid w:val="00F1371E"/>
    <w:rsid w:val="00F13BDD"/>
    <w:rsid w:val="00F13E25"/>
    <w:rsid w:val="00F14634"/>
    <w:rsid w:val="00F14D0A"/>
    <w:rsid w:val="00F14D36"/>
    <w:rsid w:val="00F15724"/>
    <w:rsid w:val="00F15921"/>
    <w:rsid w:val="00F15D62"/>
    <w:rsid w:val="00F15F34"/>
    <w:rsid w:val="00F16514"/>
    <w:rsid w:val="00F166A5"/>
    <w:rsid w:val="00F17013"/>
    <w:rsid w:val="00F1736C"/>
    <w:rsid w:val="00F17BCD"/>
    <w:rsid w:val="00F17FED"/>
    <w:rsid w:val="00F209F1"/>
    <w:rsid w:val="00F20AB8"/>
    <w:rsid w:val="00F20E2C"/>
    <w:rsid w:val="00F20F88"/>
    <w:rsid w:val="00F21D4D"/>
    <w:rsid w:val="00F22696"/>
    <w:rsid w:val="00F22CD4"/>
    <w:rsid w:val="00F22F46"/>
    <w:rsid w:val="00F230FF"/>
    <w:rsid w:val="00F24100"/>
    <w:rsid w:val="00F246CF"/>
    <w:rsid w:val="00F24888"/>
    <w:rsid w:val="00F24B32"/>
    <w:rsid w:val="00F25531"/>
    <w:rsid w:val="00F2556D"/>
    <w:rsid w:val="00F256C4"/>
    <w:rsid w:val="00F25DD5"/>
    <w:rsid w:val="00F26066"/>
    <w:rsid w:val="00F260CD"/>
    <w:rsid w:val="00F26EDA"/>
    <w:rsid w:val="00F27356"/>
    <w:rsid w:val="00F27CCA"/>
    <w:rsid w:val="00F3053B"/>
    <w:rsid w:val="00F3066C"/>
    <w:rsid w:val="00F30794"/>
    <w:rsid w:val="00F31437"/>
    <w:rsid w:val="00F3220B"/>
    <w:rsid w:val="00F32335"/>
    <w:rsid w:val="00F32909"/>
    <w:rsid w:val="00F32B9E"/>
    <w:rsid w:val="00F34BE5"/>
    <w:rsid w:val="00F350AD"/>
    <w:rsid w:val="00F3529F"/>
    <w:rsid w:val="00F358C7"/>
    <w:rsid w:val="00F3653A"/>
    <w:rsid w:val="00F36D48"/>
    <w:rsid w:val="00F3726B"/>
    <w:rsid w:val="00F37A67"/>
    <w:rsid w:val="00F37C03"/>
    <w:rsid w:val="00F40089"/>
    <w:rsid w:val="00F40120"/>
    <w:rsid w:val="00F406AD"/>
    <w:rsid w:val="00F40764"/>
    <w:rsid w:val="00F40AC7"/>
    <w:rsid w:val="00F40B7F"/>
    <w:rsid w:val="00F40E9B"/>
    <w:rsid w:val="00F4130F"/>
    <w:rsid w:val="00F41AB0"/>
    <w:rsid w:val="00F41C26"/>
    <w:rsid w:val="00F41D0A"/>
    <w:rsid w:val="00F42C96"/>
    <w:rsid w:val="00F4302C"/>
    <w:rsid w:val="00F43288"/>
    <w:rsid w:val="00F43873"/>
    <w:rsid w:val="00F43AA5"/>
    <w:rsid w:val="00F43B62"/>
    <w:rsid w:val="00F43EFD"/>
    <w:rsid w:val="00F43FD3"/>
    <w:rsid w:val="00F441C1"/>
    <w:rsid w:val="00F4495A"/>
    <w:rsid w:val="00F449D2"/>
    <w:rsid w:val="00F44CAD"/>
    <w:rsid w:val="00F458CE"/>
    <w:rsid w:val="00F45CA1"/>
    <w:rsid w:val="00F46951"/>
    <w:rsid w:val="00F46D28"/>
    <w:rsid w:val="00F47824"/>
    <w:rsid w:val="00F4788D"/>
    <w:rsid w:val="00F4794E"/>
    <w:rsid w:val="00F47CFA"/>
    <w:rsid w:val="00F47D16"/>
    <w:rsid w:val="00F47E22"/>
    <w:rsid w:val="00F47FFC"/>
    <w:rsid w:val="00F5025F"/>
    <w:rsid w:val="00F50378"/>
    <w:rsid w:val="00F5055E"/>
    <w:rsid w:val="00F50ABC"/>
    <w:rsid w:val="00F50E44"/>
    <w:rsid w:val="00F510FC"/>
    <w:rsid w:val="00F5139B"/>
    <w:rsid w:val="00F52157"/>
    <w:rsid w:val="00F521C1"/>
    <w:rsid w:val="00F5233B"/>
    <w:rsid w:val="00F52367"/>
    <w:rsid w:val="00F53296"/>
    <w:rsid w:val="00F535E4"/>
    <w:rsid w:val="00F537B0"/>
    <w:rsid w:val="00F539B4"/>
    <w:rsid w:val="00F543B0"/>
    <w:rsid w:val="00F54AAD"/>
    <w:rsid w:val="00F55265"/>
    <w:rsid w:val="00F5552F"/>
    <w:rsid w:val="00F555CE"/>
    <w:rsid w:val="00F55CDF"/>
    <w:rsid w:val="00F56660"/>
    <w:rsid w:val="00F56856"/>
    <w:rsid w:val="00F56984"/>
    <w:rsid w:val="00F57922"/>
    <w:rsid w:val="00F579F1"/>
    <w:rsid w:val="00F57A7B"/>
    <w:rsid w:val="00F6048C"/>
    <w:rsid w:val="00F605F5"/>
    <w:rsid w:val="00F60A03"/>
    <w:rsid w:val="00F60A56"/>
    <w:rsid w:val="00F61DA6"/>
    <w:rsid w:val="00F620C6"/>
    <w:rsid w:val="00F62177"/>
    <w:rsid w:val="00F6234B"/>
    <w:rsid w:val="00F62A63"/>
    <w:rsid w:val="00F63FB5"/>
    <w:rsid w:val="00F641AB"/>
    <w:rsid w:val="00F645C5"/>
    <w:rsid w:val="00F647A1"/>
    <w:rsid w:val="00F64A1C"/>
    <w:rsid w:val="00F64DB4"/>
    <w:rsid w:val="00F657DA"/>
    <w:rsid w:val="00F66EB1"/>
    <w:rsid w:val="00F672B3"/>
    <w:rsid w:val="00F6742E"/>
    <w:rsid w:val="00F678D9"/>
    <w:rsid w:val="00F67E73"/>
    <w:rsid w:val="00F7036D"/>
    <w:rsid w:val="00F709FE"/>
    <w:rsid w:val="00F71491"/>
    <w:rsid w:val="00F71C71"/>
    <w:rsid w:val="00F72099"/>
    <w:rsid w:val="00F7273F"/>
    <w:rsid w:val="00F72881"/>
    <w:rsid w:val="00F72F09"/>
    <w:rsid w:val="00F733AF"/>
    <w:rsid w:val="00F733BE"/>
    <w:rsid w:val="00F73501"/>
    <w:rsid w:val="00F735B6"/>
    <w:rsid w:val="00F73B71"/>
    <w:rsid w:val="00F73BE8"/>
    <w:rsid w:val="00F73C99"/>
    <w:rsid w:val="00F747DE"/>
    <w:rsid w:val="00F749A2"/>
    <w:rsid w:val="00F74A0D"/>
    <w:rsid w:val="00F7532D"/>
    <w:rsid w:val="00F7555D"/>
    <w:rsid w:val="00F7558E"/>
    <w:rsid w:val="00F7604B"/>
    <w:rsid w:val="00F763FB"/>
    <w:rsid w:val="00F7656F"/>
    <w:rsid w:val="00F77298"/>
    <w:rsid w:val="00F77FAC"/>
    <w:rsid w:val="00F801DC"/>
    <w:rsid w:val="00F81016"/>
    <w:rsid w:val="00F81074"/>
    <w:rsid w:val="00F812FB"/>
    <w:rsid w:val="00F817A4"/>
    <w:rsid w:val="00F819B2"/>
    <w:rsid w:val="00F82181"/>
    <w:rsid w:val="00F82381"/>
    <w:rsid w:val="00F826B2"/>
    <w:rsid w:val="00F82AAF"/>
    <w:rsid w:val="00F82F46"/>
    <w:rsid w:val="00F84460"/>
    <w:rsid w:val="00F85340"/>
    <w:rsid w:val="00F85BB2"/>
    <w:rsid w:val="00F85DAC"/>
    <w:rsid w:val="00F868F5"/>
    <w:rsid w:val="00F87DD4"/>
    <w:rsid w:val="00F87E1C"/>
    <w:rsid w:val="00F87F53"/>
    <w:rsid w:val="00F912DC"/>
    <w:rsid w:val="00F913D8"/>
    <w:rsid w:val="00F91622"/>
    <w:rsid w:val="00F919F6"/>
    <w:rsid w:val="00F91E2A"/>
    <w:rsid w:val="00F91F15"/>
    <w:rsid w:val="00F9217A"/>
    <w:rsid w:val="00F9275F"/>
    <w:rsid w:val="00F92F74"/>
    <w:rsid w:val="00F93241"/>
    <w:rsid w:val="00F9331E"/>
    <w:rsid w:val="00F9387E"/>
    <w:rsid w:val="00F94465"/>
    <w:rsid w:val="00F94A45"/>
    <w:rsid w:val="00F952D4"/>
    <w:rsid w:val="00F9587E"/>
    <w:rsid w:val="00F95D3F"/>
    <w:rsid w:val="00F95F9F"/>
    <w:rsid w:val="00F96025"/>
    <w:rsid w:val="00F964D6"/>
    <w:rsid w:val="00F967D9"/>
    <w:rsid w:val="00F96BBA"/>
    <w:rsid w:val="00F96DBE"/>
    <w:rsid w:val="00F9721E"/>
    <w:rsid w:val="00F97E7D"/>
    <w:rsid w:val="00FA018F"/>
    <w:rsid w:val="00FA0718"/>
    <w:rsid w:val="00FA07DF"/>
    <w:rsid w:val="00FA087D"/>
    <w:rsid w:val="00FA0C94"/>
    <w:rsid w:val="00FA0F11"/>
    <w:rsid w:val="00FA1099"/>
    <w:rsid w:val="00FA1681"/>
    <w:rsid w:val="00FA1C6F"/>
    <w:rsid w:val="00FA221F"/>
    <w:rsid w:val="00FA2936"/>
    <w:rsid w:val="00FA3231"/>
    <w:rsid w:val="00FA33DE"/>
    <w:rsid w:val="00FA3DB8"/>
    <w:rsid w:val="00FA3E3A"/>
    <w:rsid w:val="00FA40D1"/>
    <w:rsid w:val="00FA413A"/>
    <w:rsid w:val="00FA49D3"/>
    <w:rsid w:val="00FA4AA3"/>
    <w:rsid w:val="00FA4C36"/>
    <w:rsid w:val="00FA5241"/>
    <w:rsid w:val="00FA5829"/>
    <w:rsid w:val="00FA590A"/>
    <w:rsid w:val="00FA5AF3"/>
    <w:rsid w:val="00FA5BD6"/>
    <w:rsid w:val="00FA5F09"/>
    <w:rsid w:val="00FA65A1"/>
    <w:rsid w:val="00FA68A6"/>
    <w:rsid w:val="00FA7004"/>
    <w:rsid w:val="00FA7029"/>
    <w:rsid w:val="00FA74C5"/>
    <w:rsid w:val="00FA7B87"/>
    <w:rsid w:val="00FA7BF9"/>
    <w:rsid w:val="00FB0654"/>
    <w:rsid w:val="00FB0886"/>
    <w:rsid w:val="00FB0A69"/>
    <w:rsid w:val="00FB0B48"/>
    <w:rsid w:val="00FB10D3"/>
    <w:rsid w:val="00FB13AD"/>
    <w:rsid w:val="00FB20A7"/>
    <w:rsid w:val="00FB26A2"/>
    <w:rsid w:val="00FB2781"/>
    <w:rsid w:val="00FB27E3"/>
    <w:rsid w:val="00FB280E"/>
    <w:rsid w:val="00FB2B00"/>
    <w:rsid w:val="00FB2C06"/>
    <w:rsid w:val="00FB3683"/>
    <w:rsid w:val="00FB3809"/>
    <w:rsid w:val="00FB3E8D"/>
    <w:rsid w:val="00FB3FC5"/>
    <w:rsid w:val="00FB451A"/>
    <w:rsid w:val="00FB4690"/>
    <w:rsid w:val="00FB46A8"/>
    <w:rsid w:val="00FB4AA2"/>
    <w:rsid w:val="00FB6AB7"/>
    <w:rsid w:val="00FB6C92"/>
    <w:rsid w:val="00FB6CE3"/>
    <w:rsid w:val="00FB7201"/>
    <w:rsid w:val="00FB767F"/>
    <w:rsid w:val="00FB7FB1"/>
    <w:rsid w:val="00FC00FA"/>
    <w:rsid w:val="00FC094E"/>
    <w:rsid w:val="00FC0B43"/>
    <w:rsid w:val="00FC0C01"/>
    <w:rsid w:val="00FC0CB9"/>
    <w:rsid w:val="00FC10DB"/>
    <w:rsid w:val="00FC1336"/>
    <w:rsid w:val="00FC14A3"/>
    <w:rsid w:val="00FC1D70"/>
    <w:rsid w:val="00FC261A"/>
    <w:rsid w:val="00FC2B01"/>
    <w:rsid w:val="00FC2DD9"/>
    <w:rsid w:val="00FC2E1C"/>
    <w:rsid w:val="00FC2F72"/>
    <w:rsid w:val="00FC319C"/>
    <w:rsid w:val="00FC33C1"/>
    <w:rsid w:val="00FC3608"/>
    <w:rsid w:val="00FC3EAC"/>
    <w:rsid w:val="00FC3F38"/>
    <w:rsid w:val="00FC3F6B"/>
    <w:rsid w:val="00FC40E4"/>
    <w:rsid w:val="00FC41E5"/>
    <w:rsid w:val="00FC4995"/>
    <w:rsid w:val="00FC4D21"/>
    <w:rsid w:val="00FC4FF3"/>
    <w:rsid w:val="00FC5794"/>
    <w:rsid w:val="00FC5AAD"/>
    <w:rsid w:val="00FC610C"/>
    <w:rsid w:val="00FC6636"/>
    <w:rsid w:val="00FC67F5"/>
    <w:rsid w:val="00FC6AE1"/>
    <w:rsid w:val="00FC6E68"/>
    <w:rsid w:val="00FC789E"/>
    <w:rsid w:val="00FC7A37"/>
    <w:rsid w:val="00FD0001"/>
    <w:rsid w:val="00FD047F"/>
    <w:rsid w:val="00FD0485"/>
    <w:rsid w:val="00FD0894"/>
    <w:rsid w:val="00FD0C23"/>
    <w:rsid w:val="00FD1327"/>
    <w:rsid w:val="00FD13D4"/>
    <w:rsid w:val="00FD1991"/>
    <w:rsid w:val="00FD1BBA"/>
    <w:rsid w:val="00FD1FC0"/>
    <w:rsid w:val="00FD2AED"/>
    <w:rsid w:val="00FD2C93"/>
    <w:rsid w:val="00FD2DE0"/>
    <w:rsid w:val="00FD3011"/>
    <w:rsid w:val="00FD32DA"/>
    <w:rsid w:val="00FD3ABB"/>
    <w:rsid w:val="00FD3C88"/>
    <w:rsid w:val="00FD3FA7"/>
    <w:rsid w:val="00FD44BD"/>
    <w:rsid w:val="00FD47CC"/>
    <w:rsid w:val="00FD55A9"/>
    <w:rsid w:val="00FD5E4C"/>
    <w:rsid w:val="00FD6158"/>
    <w:rsid w:val="00FD6552"/>
    <w:rsid w:val="00FD6B38"/>
    <w:rsid w:val="00FD6B7B"/>
    <w:rsid w:val="00FD6C77"/>
    <w:rsid w:val="00FD6D4E"/>
    <w:rsid w:val="00FD747F"/>
    <w:rsid w:val="00FD76E4"/>
    <w:rsid w:val="00FD7CCB"/>
    <w:rsid w:val="00FE0176"/>
    <w:rsid w:val="00FE0C85"/>
    <w:rsid w:val="00FE0DE5"/>
    <w:rsid w:val="00FE0F50"/>
    <w:rsid w:val="00FE0FC1"/>
    <w:rsid w:val="00FE103D"/>
    <w:rsid w:val="00FE131C"/>
    <w:rsid w:val="00FE2025"/>
    <w:rsid w:val="00FE22FE"/>
    <w:rsid w:val="00FE2636"/>
    <w:rsid w:val="00FE2DEF"/>
    <w:rsid w:val="00FE30FE"/>
    <w:rsid w:val="00FE3102"/>
    <w:rsid w:val="00FE371C"/>
    <w:rsid w:val="00FE39F0"/>
    <w:rsid w:val="00FE3F30"/>
    <w:rsid w:val="00FE4CDF"/>
    <w:rsid w:val="00FE52C8"/>
    <w:rsid w:val="00FE5B6D"/>
    <w:rsid w:val="00FE67FD"/>
    <w:rsid w:val="00FE68C8"/>
    <w:rsid w:val="00FE6F77"/>
    <w:rsid w:val="00FE6F9E"/>
    <w:rsid w:val="00FE7156"/>
    <w:rsid w:val="00FE771B"/>
    <w:rsid w:val="00FF0092"/>
    <w:rsid w:val="00FF027F"/>
    <w:rsid w:val="00FF0466"/>
    <w:rsid w:val="00FF052A"/>
    <w:rsid w:val="00FF0A53"/>
    <w:rsid w:val="00FF0BF9"/>
    <w:rsid w:val="00FF0D1E"/>
    <w:rsid w:val="00FF18F3"/>
    <w:rsid w:val="00FF1AF2"/>
    <w:rsid w:val="00FF1B15"/>
    <w:rsid w:val="00FF21C4"/>
    <w:rsid w:val="00FF2757"/>
    <w:rsid w:val="00FF2E9B"/>
    <w:rsid w:val="00FF318A"/>
    <w:rsid w:val="00FF3494"/>
    <w:rsid w:val="00FF350E"/>
    <w:rsid w:val="00FF37FE"/>
    <w:rsid w:val="00FF385B"/>
    <w:rsid w:val="00FF3D4E"/>
    <w:rsid w:val="00FF4046"/>
    <w:rsid w:val="00FF485F"/>
    <w:rsid w:val="00FF49E8"/>
    <w:rsid w:val="00FF5785"/>
    <w:rsid w:val="00FF58AF"/>
    <w:rsid w:val="00FF6010"/>
    <w:rsid w:val="00FF6CC2"/>
    <w:rsid w:val="00FF7529"/>
    <w:rsid w:val="00FF76BB"/>
    <w:rsid w:val="00FF7BAE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50B8B"/>
  <w15:docId w15:val="{834C8C6C-B39F-44CC-95FB-2B5229AC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17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F5F4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7379"/>
    <w:pPr>
      <w:keepNext/>
      <w:keepLines/>
      <w:spacing w:before="40" w:after="6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2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5E3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F5F40"/>
    <w:rPr>
      <w:rFonts w:asciiTheme="majorHAnsi" w:eastAsiaTheme="majorEastAsia" w:hAnsiTheme="majorHAnsi" w:cstheme="majorBidi"/>
      <w:b/>
      <w:sz w:val="28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46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EAD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46E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EAD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B5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1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37379"/>
    <w:rPr>
      <w:rFonts w:ascii="Calibri" w:eastAsiaTheme="majorEastAsia" w:hAnsi="Calibri" w:cstheme="majorBidi"/>
      <w:b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B06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SV"/>
    </w:rPr>
  </w:style>
  <w:style w:type="table" w:customStyle="1" w:styleId="Tabladecuadrcula2-nfasis11">
    <w:name w:val="Tabla de cuadrícula 2 - Énfasis 11"/>
    <w:basedOn w:val="Tablanormal"/>
    <w:uiPriority w:val="47"/>
    <w:rsid w:val="009B33F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9E68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adecuadrcula4-nfasis11">
    <w:name w:val="Tabla de cuadrícula 4 - Énfasis 11"/>
    <w:basedOn w:val="Tablanormal"/>
    <w:uiPriority w:val="49"/>
    <w:rsid w:val="009E6827"/>
    <w:pPr>
      <w:spacing w:after="0" w:line="240" w:lineRule="auto"/>
    </w:pPr>
    <w:rPr>
      <w:rFonts w:ascii="Museo Sans 100" w:hAnsi="Museo Sans 100" w:cs="Calibri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DD5C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274DB"/>
    <w:pPr>
      <w:spacing w:before="240" w:after="0" w:line="259" w:lineRule="auto"/>
      <w:jc w:val="left"/>
      <w:outlineLvl w:val="9"/>
    </w:pPr>
    <w:rPr>
      <w:b w:val="0"/>
      <w:sz w:val="32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274DB"/>
    <w:pPr>
      <w:spacing w:after="100"/>
    </w:pPr>
  </w:style>
  <w:style w:type="table" w:styleId="Tablaconcuadrcula2-nfasis1">
    <w:name w:val="Grid Table 2 Accent 1"/>
    <w:basedOn w:val="Tablanormal"/>
    <w:uiPriority w:val="47"/>
    <w:rsid w:val="00D527C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D527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D527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D527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A635-E5F3-492F-A617-39913EA5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8178</TotalTime>
  <Pages>9</Pages>
  <Words>2659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Callejas</dc:creator>
  <cp:lastModifiedBy>Jorge Callejas</cp:lastModifiedBy>
  <cp:revision>2684</cp:revision>
  <cp:lastPrinted>2019-06-05T16:52:00Z</cp:lastPrinted>
  <dcterms:created xsi:type="dcterms:W3CDTF">2020-03-02T14:14:00Z</dcterms:created>
  <dcterms:modified xsi:type="dcterms:W3CDTF">2022-01-03T18:35:00Z</dcterms:modified>
</cp:coreProperties>
</file>