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52" w:rsidRPr="00E66C92" w:rsidRDefault="00500852" w:rsidP="00500852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574773" w:rsidRDefault="00574773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726A6F" w:rsidRDefault="00726A6F" w:rsidP="00726A6F">
      <w:pPr>
        <w:jc w:val="right"/>
      </w:pPr>
      <w:r>
        <w:t xml:space="preserve">N° de Solicitud: ILP-2017-0012 </w:t>
      </w:r>
    </w:p>
    <w:p w:rsidR="00726A6F" w:rsidRDefault="00726A6F" w:rsidP="00726A6F"/>
    <w:p w:rsidR="00726A6F" w:rsidRDefault="00726A6F" w:rsidP="00726A6F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Ciudad de San </w:t>
      </w:r>
      <w:r w:rsidRPr="00430482">
        <w:rPr>
          <w:rFonts w:cstheme="minorHAnsi"/>
          <w:sz w:val="24"/>
          <w:szCs w:val="24"/>
        </w:rPr>
        <w:t xml:space="preserve">Salvador, </w:t>
      </w:r>
      <w:r w:rsidR="00430482" w:rsidRPr="00430482">
        <w:rPr>
          <w:rFonts w:cstheme="minorHAnsi"/>
          <w:sz w:val="24"/>
          <w:szCs w:val="24"/>
        </w:rPr>
        <w:t>a las dos</w:t>
      </w:r>
      <w:r w:rsidRPr="00430482">
        <w:rPr>
          <w:rFonts w:cstheme="minorHAnsi"/>
          <w:sz w:val="24"/>
          <w:szCs w:val="24"/>
        </w:rPr>
        <w:t xml:space="preserve"> horas y </w:t>
      </w:r>
      <w:r w:rsidR="00430482" w:rsidRPr="00430482">
        <w:rPr>
          <w:rFonts w:cstheme="minorHAnsi"/>
          <w:sz w:val="24"/>
          <w:szCs w:val="24"/>
        </w:rPr>
        <w:t>cinco</w:t>
      </w:r>
      <w:r w:rsidRPr="00430482">
        <w:rPr>
          <w:rFonts w:cstheme="minorHAnsi"/>
          <w:sz w:val="24"/>
          <w:szCs w:val="24"/>
        </w:rPr>
        <w:t xml:space="preserve"> minuto del día veint</w:t>
      </w:r>
      <w:r w:rsidR="00430482" w:rsidRPr="00430482">
        <w:rPr>
          <w:rFonts w:cstheme="minorHAnsi"/>
          <w:sz w:val="24"/>
          <w:szCs w:val="24"/>
        </w:rPr>
        <w:t xml:space="preserve">icinco </w:t>
      </w:r>
      <w:r w:rsidRPr="00430482">
        <w:rPr>
          <w:rFonts w:cstheme="minorHAnsi"/>
          <w:sz w:val="24"/>
          <w:szCs w:val="24"/>
        </w:rPr>
        <w:t>del mes de septiembre del año dos mil diecisiete.</w:t>
      </w:r>
    </w:p>
    <w:p w:rsidR="00726A6F" w:rsidRPr="00D76CCF" w:rsidRDefault="00726A6F" w:rsidP="00726A6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726A6F" w:rsidRDefault="00726A6F" w:rsidP="00726A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el día catorce de septiembre</w:t>
      </w:r>
      <w:r w:rsidRPr="00DE3738">
        <w:rPr>
          <w:rFonts w:cstheme="minorHAnsi"/>
          <w:sz w:val="24"/>
          <w:szCs w:val="24"/>
        </w:rPr>
        <w:t xml:space="preserve"> de dos mil diecisiete, se recibió </w:t>
      </w:r>
      <w:r>
        <w:rPr>
          <w:rFonts w:cstheme="minorHAnsi"/>
          <w:sz w:val="24"/>
          <w:szCs w:val="24"/>
        </w:rPr>
        <w:t>la s</w:t>
      </w:r>
      <w:r w:rsidRPr="00DE3738">
        <w:rPr>
          <w:rFonts w:cstheme="minorHAnsi"/>
          <w:sz w:val="24"/>
          <w:szCs w:val="24"/>
        </w:rPr>
        <w:t xml:space="preserve">olicitud de </w:t>
      </w:r>
      <w:r>
        <w:rPr>
          <w:rFonts w:cstheme="minorHAnsi"/>
          <w:sz w:val="24"/>
          <w:szCs w:val="24"/>
        </w:rPr>
        <w:t>a</w:t>
      </w:r>
      <w:r w:rsidRPr="00DE3738">
        <w:rPr>
          <w:rFonts w:cstheme="minorHAnsi"/>
          <w:sz w:val="24"/>
          <w:szCs w:val="24"/>
        </w:rPr>
        <w:t xml:space="preserve">cceso de </w:t>
      </w:r>
      <w:r>
        <w:rPr>
          <w:rFonts w:cstheme="minorHAnsi"/>
          <w:sz w:val="24"/>
          <w:szCs w:val="24"/>
        </w:rPr>
        <w:t>información</w:t>
      </w:r>
      <w:r w:rsidRPr="00DE37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vía Gobierno Abierto, por </w:t>
      </w:r>
      <w:r w:rsidRPr="00232CB1">
        <w:rPr>
          <w:rFonts w:ascii="Helvetica" w:hAnsi="Helvetica"/>
          <w:sz w:val="21"/>
          <w:szCs w:val="21"/>
          <w:shd w:val="clear" w:color="auto" w:fill="FFFFFF"/>
        </w:rPr>
        <w:t>GERMAN ANIBAL ALVARENGA BARAHONA</w:t>
      </w:r>
      <w:r w:rsidRPr="00DE3738">
        <w:rPr>
          <w:rFonts w:cstheme="minorHAnsi"/>
          <w:sz w:val="24"/>
          <w:szCs w:val="24"/>
        </w:rPr>
        <w:t xml:space="preserve">, mayor de edad, del domicilio de </w:t>
      </w:r>
      <w:r w:rsidR="00C24F91">
        <w:rPr>
          <w:rFonts w:cstheme="minorHAnsi"/>
          <w:sz w:val="24"/>
          <w:szCs w:val="24"/>
        </w:rPr>
        <w:t>San Salvador</w:t>
      </w:r>
      <w:r>
        <w:rPr>
          <w:rFonts w:cstheme="minorHAnsi"/>
          <w:sz w:val="24"/>
          <w:szCs w:val="24"/>
        </w:rPr>
        <w:t>, d</w:t>
      </w:r>
      <w:r w:rsidRPr="00DE3738">
        <w:rPr>
          <w:rFonts w:cstheme="minorHAnsi"/>
          <w:sz w:val="24"/>
          <w:szCs w:val="24"/>
        </w:rPr>
        <w:t xml:space="preserve">epartamento de </w:t>
      </w:r>
      <w:r>
        <w:rPr>
          <w:rFonts w:cstheme="minorHAnsi"/>
          <w:sz w:val="24"/>
          <w:szCs w:val="24"/>
        </w:rPr>
        <w:t>San Salvador</w:t>
      </w:r>
      <w:r w:rsidRPr="00DE3738">
        <w:rPr>
          <w:rFonts w:cstheme="minorHAnsi"/>
          <w:sz w:val="24"/>
          <w:szCs w:val="24"/>
        </w:rPr>
        <w:t>, portador de su Documento Único de Identidad número</w:t>
      </w:r>
      <w:r>
        <w:rPr>
          <w:rFonts w:cstheme="minorHAnsi"/>
          <w:sz w:val="24"/>
          <w:szCs w:val="24"/>
        </w:rPr>
        <w:t xml:space="preserve">, cero </w:t>
      </w:r>
      <w:proofErr w:type="spellStart"/>
      <w:r>
        <w:rPr>
          <w:rFonts w:cstheme="minorHAnsi"/>
          <w:sz w:val="24"/>
          <w:szCs w:val="24"/>
        </w:rPr>
        <w:t>cero</w:t>
      </w:r>
      <w:proofErr w:type="spellEnd"/>
      <w:r>
        <w:rPr>
          <w:rFonts w:cstheme="minorHAnsi"/>
          <w:sz w:val="24"/>
          <w:szCs w:val="24"/>
        </w:rPr>
        <w:t xml:space="preserve"> dos tres nueve cuatro cero dos – tres </w:t>
      </w:r>
      <w:r w:rsidRPr="00DE3738">
        <w:rPr>
          <w:rFonts w:cstheme="minorHAnsi"/>
          <w:sz w:val="24"/>
          <w:szCs w:val="24"/>
        </w:rPr>
        <w:t>en su calidad de persona natural; solicitando la información</w:t>
      </w:r>
      <w:r>
        <w:rPr>
          <w:rFonts w:cstheme="minorHAnsi"/>
          <w:sz w:val="24"/>
          <w:szCs w:val="24"/>
        </w:rPr>
        <w:t xml:space="preserve"> del correlativo ILP-2017-0012 relativa a:</w:t>
      </w:r>
    </w:p>
    <w:p w:rsidR="00726A6F" w:rsidRPr="00405897" w:rsidRDefault="00405897" w:rsidP="00726A6F">
      <w:pPr>
        <w:pStyle w:val="Prrafodelista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¿Cuá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>ntas propiedades en proindiviso se partieron por ese Instituto? </w:t>
      </w:r>
    </w:p>
    <w:p w:rsidR="00726A6F" w:rsidRPr="00405897" w:rsidRDefault="00405897" w:rsidP="00726A6F">
      <w:pPr>
        <w:pStyle w:val="Prrafodelista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¿Cuáles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 xml:space="preserve"> son los nombres y donde se ubican? </w:t>
      </w:r>
    </w:p>
    <w:p w:rsidR="00726A6F" w:rsidRPr="00405897" w:rsidRDefault="00405897" w:rsidP="00726A6F">
      <w:pPr>
        <w:pStyle w:val="Prrafodelista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¿Cuá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>ntas personas se beneficiaron con esas particiones? </w:t>
      </w:r>
    </w:p>
    <w:p w:rsidR="00726A6F" w:rsidRPr="00405897" w:rsidRDefault="00405897" w:rsidP="00726A6F">
      <w:pPr>
        <w:pStyle w:val="Prrafodelista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¿Cuántas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 xml:space="preserve"> propiedades </w:t>
      </w: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aún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 xml:space="preserve"> </w:t>
      </w: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están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 xml:space="preserve"> en Proindiviso? </w:t>
      </w:r>
    </w:p>
    <w:p w:rsidR="00726A6F" w:rsidRPr="00405897" w:rsidRDefault="00405897" w:rsidP="00726A6F">
      <w:pPr>
        <w:pStyle w:val="Prrafodelista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405897">
        <w:rPr>
          <w:rFonts w:ascii="Helvetica" w:hAnsi="Helvetica"/>
          <w:i/>
          <w:sz w:val="21"/>
          <w:szCs w:val="21"/>
          <w:shd w:val="clear" w:color="auto" w:fill="FFFFFF"/>
        </w:rPr>
        <w:t>¿Cuá</w:t>
      </w:r>
      <w:r w:rsidR="00726A6F" w:rsidRPr="00405897">
        <w:rPr>
          <w:rFonts w:ascii="Helvetica" w:hAnsi="Helvetica"/>
          <w:i/>
          <w:sz w:val="21"/>
          <w:szCs w:val="21"/>
          <w:shd w:val="clear" w:color="auto" w:fill="FFFFFF"/>
        </w:rPr>
        <w:t>ntas personas tienen su derecho de propiedad aun en proindiviso?</w:t>
      </w:r>
    </w:p>
    <w:p w:rsidR="00726A6F" w:rsidRPr="00DE3738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478"/>
        <w:jc w:val="both"/>
        <w:rPr>
          <w:rFonts w:cstheme="minorHAnsi"/>
          <w:i/>
          <w:sz w:val="24"/>
          <w:szCs w:val="24"/>
          <w:shd w:val="clear" w:color="auto" w:fill="FFFFFF"/>
        </w:rPr>
      </w:pPr>
    </w:p>
    <w:p w:rsidR="00726A6F" w:rsidRDefault="00726A6F" w:rsidP="00726A6F">
      <w:pPr>
        <w:pStyle w:val="Prrafodelista"/>
        <w:widowControl w:val="0"/>
        <w:numPr>
          <w:ilvl w:val="0"/>
          <w:numId w:val="1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726A6F" w:rsidRPr="00DE3738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III. RESOLUCIÓN </w:t>
      </w:r>
    </w:p>
    <w:p w:rsidR="00405897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</w:t>
      </w:r>
    </w:p>
    <w:p w:rsidR="00405897" w:rsidRDefault="00405897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RESUELVE: </w:t>
      </w:r>
    </w:p>
    <w:p w:rsidR="00430482" w:rsidRDefault="00726A6F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solicitada en formato requerido por el solicitante</w:t>
      </w:r>
      <w:r w:rsidR="00232CB1">
        <w:rPr>
          <w:rFonts w:cstheme="minorHAnsi"/>
          <w:sz w:val="24"/>
          <w:szCs w:val="24"/>
        </w:rPr>
        <w:t>, correspondientes a las preguntas 1, 2 y 3</w:t>
      </w:r>
      <w:r>
        <w:rPr>
          <w:rFonts w:cstheme="minorHAnsi"/>
          <w:sz w:val="24"/>
          <w:szCs w:val="24"/>
        </w:rPr>
        <w:t>.</w:t>
      </w:r>
      <w:r w:rsidR="00232CB1">
        <w:rPr>
          <w:rFonts w:cstheme="minorHAnsi"/>
          <w:sz w:val="24"/>
          <w:szCs w:val="24"/>
        </w:rPr>
        <w:t xml:space="preserve"> Mientras que las preguntas 4 y 5 nos encontramos frente a información inexistente, </w:t>
      </w:r>
      <w:r w:rsidR="001833B6" w:rsidRPr="00430482">
        <w:rPr>
          <w:rFonts w:cstheme="minorHAnsi"/>
          <w:sz w:val="24"/>
          <w:szCs w:val="24"/>
        </w:rPr>
        <w:t>considerando que la Ley de Acceso a la Información Pública dispone en el Art. 73, lo que impide brindar lo requerido por el peticionario</w:t>
      </w:r>
      <w:r w:rsidR="00430482" w:rsidRPr="00430482">
        <w:rPr>
          <w:rFonts w:cstheme="minorHAnsi"/>
          <w:sz w:val="24"/>
          <w:szCs w:val="24"/>
        </w:rPr>
        <w:t xml:space="preserve">. </w:t>
      </w:r>
    </w:p>
    <w:p w:rsidR="00430482" w:rsidRDefault="00430482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232CB1" w:rsidRPr="00430482" w:rsidRDefault="00430482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993366"/>
        </w:rPr>
      </w:pPr>
      <w:r w:rsidRPr="00430482">
        <w:rPr>
          <w:rFonts w:cstheme="minorHAnsi"/>
          <w:sz w:val="24"/>
          <w:szCs w:val="24"/>
        </w:rPr>
        <w:t xml:space="preserve">El </w:t>
      </w:r>
      <w:r w:rsidR="00232CB1">
        <w:rPr>
          <w:rFonts w:cstheme="minorHAnsi"/>
          <w:sz w:val="24"/>
          <w:szCs w:val="24"/>
        </w:rPr>
        <w:t>ILP solo legalizó las comunidades que el Banco Tierra le proporcionó información; quedando pendiente otras comunidades q</w:t>
      </w:r>
      <w:r w:rsidR="001833B6">
        <w:rPr>
          <w:rFonts w:cstheme="minorHAnsi"/>
          <w:sz w:val="24"/>
          <w:szCs w:val="24"/>
        </w:rPr>
        <w:t xml:space="preserve">ue por diferentes motivos como la falta de expedientes completos, comunidades que </w:t>
      </w:r>
      <w:r>
        <w:rPr>
          <w:rFonts w:cstheme="minorHAnsi"/>
          <w:sz w:val="24"/>
          <w:szCs w:val="24"/>
        </w:rPr>
        <w:t xml:space="preserve">ya </w:t>
      </w:r>
      <w:r w:rsidR="001833B6">
        <w:rPr>
          <w:rFonts w:cstheme="minorHAnsi"/>
          <w:sz w:val="24"/>
          <w:szCs w:val="24"/>
        </w:rPr>
        <w:t>no estaban en proindivis</w:t>
      </w:r>
      <w:r>
        <w:rPr>
          <w:rFonts w:cstheme="minorHAnsi"/>
          <w:sz w:val="24"/>
          <w:szCs w:val="24"/>
        </w:rPr>
        <w:t>ión</w:t>
      </w:r>
      <w:r w:rsidR="001833B6">
        <w:rPr>
          <w:rFonts w:cstheme="minorHAnsi"/>
          <w:sz w:val="24"/>
          <w:szCs w:val="24"/>
        </w:rPr>
        <w:t>, no fueron remitidas al ILP para formar parte del universo de estudio a trabajar. El Instituto de Transformación Agraria (ISTA), absorbió al Banco de Tierra, que aparecía como responsable del PTT en los Acuerdos de Paz.</w:t>
      </w:r>
    </w:p>
    <w:p w:rsidR="001833B6" w:rsidRDefault="001833B6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232CB1" w:rsidRPr="00430482" w:rsidRDefault="00232CB1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405897" w:rsidRPr="00430482" w:rsidRDefault="00405897" w:rsidP="00430482">
      <w:pPr>
        <w:pStyle w:val="Prrafodelist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>¿Cuantas propiedades en proindiviso se partieron por ese Instituto? </w:t>
      </w:r>
    </w:p>
    <w:p w:rsidR="00405897" w:rsidRPr="00430482" w:rsidRDefault="00405897" w:rsidP="00405897">
      <w:pPr>
        <w:rPr>
          <w:rFonts w:cstheme="minorHAnsi"/>
          <w:sz w:val="24"/>
          <w:szCs w:val="24"/>
        </w:rPr>
      </w:pPr>
      <w:r w:rsidRPr="00430482">
        <w:rPr>
          <w:rFonts w:cstheme="minorHAnsi"/>
          <w:sz w:val="24"/>
          <w:szCs w:val="24"/>
        </w:rPr>
        <w:t>R/ 2,070 propiedades se partieron</w:t>
      </w:r>
    </w:p>
    <w:p w:rsidR="00405897" w:rsidRPr="00430482" w:rsidRDefault="00405897" w:rsidP="00430482">
      <w:pPr>
        <w:pStyle w:val="Prrafodelist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>¿Cuáles son los nombres y donde se ubican? </w:t>
      </w:r>
    </w:p>
    <w:p w:rsidR="00405897" w:rsidRPr="00430482" w:rsidRDefault="00405897" w:rsidP="00405897">
      <w:pPr>
        <w:rPr>
          <w:rFonts w:cstheme="minorHAnsi"/>
          <w:sz w:val="24"/>
          <w:szCs w:val="24"/>
        </w:rPr>
      </w:pPr>
      <w:r w:rsidRPr="00430482">
        <w:rPr>
          <w:rFonts w:cstheme="minorHAnsi"/>
          <w:sz w:val="24"/>
          <w:szCs w:val="24"/>
        </w:rPr>
        <w:t>R/ se anexa a esta resolución un archivo en formato Excel con el detalle de nombre de la comunidad, ubicación y número de personas beneficiadas.</w:t>
      </w:r>
    </w:p>
    <w:p w:rsidR="00405897" w:rsidRPr="00430482" w:rsidRDefault="00405897" w:rsidP="00430482">
      <w:pPr>
        <w:pStyle w:val="Prrafodelist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>¿Cuántas personas se beneficiaron con esas particiones? </w:t>
      </w:r>
    </w:p>
    <w:p w:rsidR="00405897" w:rsidRPr="00430482" w:rsidRDefault="00405897" w:rsidP="00405897">
      <w:pPr>
        <w:rPr>
          <w:rFonts w:cstheme="minorHAnsi"/>
          <w:sz w:val="24"/>
          <w:szCs w:val="24"/>
        </w:rPr>
      </w:pPr>
      <w:r w:rsidRPr="00430482">
        <w:rPr>
          <w:rFonts w:cstheme="minorHAnsi"/>
          <w:sz w:val="24"/>
          <w:szCs w:val="24"/>
        </w:rPr>
        <w:t>R/ 27,377 personas se beneficiaron</w:t>
      </w:r>
    </w:p>
    <w:p w:rsidR="00726A6F" w:rsidRDefault="00726A6F" w:rsidP="00726A6F">
      <w:pPr>
        <w:pStyle w:val="Default"/>
      </w:pPr>
    </w:p>
    <w:p w:rsidR="00726A6F" w:rsidRPr="006248E9" w:rsidRDefault="00726A6F" w:rsidP="00726A6F">
      <w:pPr>
        <w:jc w:val="both"/>
        <w:rPr>
          <w:rFonts w:cstheme="minorHAnsi"/>
          <w:sz w:val="24"/>
          <w:szCs w:val="24"/>
        </w:rPr>
      </w:pPr>
    </w:p>
    <w:p w:rsidR="00726A6F" w:rsidRPr="00DE3738" w:rsidRDefault="00726A6F" w:rsidP="00726A6F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500852" w:rsidRDefault="00500852" w:rsidP="00500852">
      <w:pPr>
        <w:spacing w:line="360" w:lineRule="auto"/>
        <w:jc w:val="both"/>
        <w:rPr>
          <w:rFonts w:cs="Calibri"/>
        </w:rPr>
      </w:pPr>
    </w:p>
    <w:p w:rsidR="00500852" w:rsidRDefault="00500852" w:rsidP="0050085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500852" w:rsidRDefault="00500852" w:rsidP="00500852">
      <w:pPr>
        <w:spacing w:after="0" w:line="240" w:lineRule="auto"/>
        <w:jc w:val="both"/>
        <w:rPr>
          <w:rFonts w:cs="Calibri"/>
        </w:rPr>
      </w:pPr>
    </w:p>
    <w:p w:rsidR="00500852" w:rsidRDefault="00500852" w:rsidP="00500852">
      <w:pPr>
        <w:spacing w:after="0" w:line="240" w:lineRule="auto"/>
        <w:jc w:val="both"/>
        <w:rPr>
          <w:rFonts w:cs="Calibri"/>
        </w:rPr>
      </w:pPr>
    </w:p>
    <w:p w:rsidR="00500852" w:rsidRDefault="00500852" w:rsidP="00500852">
      <w:pPr>
        <w:spacing w:after="0" w:line="240" w:lineRule="auto"/>
        <w:jc w:val="both"/>
        <w:rPr>
          <w:rFonts w:cs="Calibri"/>
        </w:rPr>
      </w:pPr>
    </w:p>
    <w:p w:rsidR="00500852" w:rsidRDefault="00500852" w:rsidP="00500852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500852" w:rsidRDefault="00500852" w:rsidP="00500852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574773" w:rsidRDefault="00574773" w:rsidP="00500852">
      <w:pPr>
        <w:spacing w:after="0" w:line="240" w:lineRule="auto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sectPr w:rsidR="005747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4F" w:rsidRDefault="00B43D4F" w:rsidP="00726A6F">
      <w:pPr>
        <w:spacing w:after="0" w:line="240" w:lineRule="auto"/>
      </w:pPr>
      <w:r>
        <w:separator/>
      </w:r>
    </w:p>
  </w:endnote>
  <w:endnote w:type="continuationSeparator" w:id="0">
    <w:p w:rsidR="00B43D4F" w:rsidRDefault="00B43D4F" w:rsidP="007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726A6F" w:rsidRDefault="00726A6F" w:rsidP="00726A6F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>
      <w:rPr>
        <w:sz w:val="20"/>
        <w:lang w:val="es-ES"/>
      </w:rPr>
      <w:t xml:space="preserve">2245-4348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726A6F" w:rsidRDefault="00726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4F" w:rsidRDefault="00B43D4F" w:rsidP="00726A6F">
      <w:pPr>
        <w:spacing w:after="0" w:line="240" w:lineRule="auto"/>
      </w:pPr>
      <w:r>
        <w:separator/>
      </w:r>
    </w:p>
  </w:footnote>
  <w:footnote w:type="continuationSeparator" w:id="0">
    <w:p w:rsidR="00B43D4F" w:rsidRDefault="00B43D4F" w:rsidP="0072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1E0A3B" w:rsidRDefault="00726A6F" w:rsidP="00726A6F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728CACD5" wp14:editId="19CF6DCE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726A6F" w:rsidRPr="001E0A3B" w:rsidRDefault="00B43D4F" w:rsidP="00726A6F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726A6F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726A6F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726A6F" w:rsidRDefault="00726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DE6"/>
    <w:multiLevelType w:val="hybridMultilevel"/>
    <w:tmpl w:val="A824D7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19FB"/>
    <w:multiLevelType w:val="hybridMultilevel"/>
    <w:tmpl w:val="93603E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7"/>
    <w:rsid w:val="001833B6"/>
    <w:rsid w:val="00232CB1"/>
    <w:rsid w:val="002F3DD8"/>
    <w:rsid w:val="003040B3"/>
    <w:rsid w:val="00405897"/>
    <w:rsid w:val="00430482"/>
    <w:rsid w:val="004D2D97"/>
    <w:rsid w:val="00500852"/>
    <w:rsid w:val="00574773"/>
    <w:rsid w:val="00726A6F"/>
    <w:rsid w:val="007D260F"/>
    <w:rsid w:val="00B43D4F"/>
    <w:rsid w:val="00B84C57"/>
    <w:rsid w:val="00C2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5125-064C-4283-AF23-03D0542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A6F"/>
  </w:style>
  <w:style w:type="paragraph" w:styleId="Piedepgina">
    <w:name w:val="footer"/>
    <w:basedOn w:val="Normal"/>
    <w:link w:val="Piedepgina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A6F"/>
  </w:style>
  <w:style w:type="character" w:styleId="Hipervnculo">
    <w:name w:val="Hyperlink"/>
    <w:basedOn w:val="Fuentedeprrafopredeter"/>
    <w:uiPriority w:val="99"/>
    <w:unhideWhenUsed/>
    <w:rsid w:val="00726A6F"/>
    <w:rPr>
      <w:color w:val="0563C1" w:themeColor="hyperlink"/>
      <w:u w:val="single"/>
    </w:rPr>
  </w:style>
  <w:style w:type="paragraph" w:customStyle="1" w:styleId="Default">
    <w:name w:val="Default"/>
    <w:rsid w:val="00726A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5</cp:revision>
  <cp:lastPrinted>2017-09-25T20:07:00Z</cp:lastPrinted>
  <dcterms:created xsi:type="dcterms:W3CDTF">2017-09-25T20:06:00Z</dcterms:created>
  <dcterms:modified xsi:type="dcterms:W3CDTF">2018-01-08T21:14:00Z</dcterms:modified>
</cp:coreProperties>
</file>