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80F" w:rsidRDefault="004B180F" w:rsidP="00807C95">
      <w:pPr>
        <w:jc w:val="center"/>
        <w:rPr>
          <w:rFonts w:cs="Calibri"/>
          <w:b/>
          <w:bCs/>
          <w:spacing w:val="-1"/>
          <w:sz w:val="32"/>
        </w:rPr>
      </w:pPr>
    </w:p>
    <w:p w:rsidR="004B180F" w:rsidRPr="00E66C92" w:rsidRDefault="004B180F" w:rsidP="004B180F">
      <w:pPr>
        <w:jc w:val="center"/>
        <w:rPr>
          <w:rFonts w:eastAsia="Arial Unicode MS" w:cs="Arial Unicode MS"/>
          <w:b/>
          <w:color w:val="C00000"/>
          <w:sz w:val="16"/>
        </w:rPr>
      </w:pPr>
      <w:r w:rsidRPr="00E66C92">
        <w:rPr>
          <w:rFonts w:eastAsia="Arial Unicode MS" w:cs="Arial Unicode MS"/>
          <w:b/>
          <w:color w:val="C00000"/>
          <w:sz w:val="16"/>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4B180F" w:rsidRDefault="004B180F" w:rsidP="00807C95">
      <w:pPr>
        <w:jc w:val="center"/>
        <w:rPr>
          <w:rFonts w:cs="Calibri"/>
          <w:b/>
          <w:bCs/>
          <w:spacing w:val="-1"/>
          <w:sz w:val="32"/>
        </w:rPr>
      </w:pPr>
    </w:p>
    <w:p w:rsidR="00807C95" w:rsidRPr="00F425A5" w:rsidRDefault="00807C95" w:rsidP="00807C95">
      <w:pPr>
        <w:jc w:val="center"/>
        <w:rPr>
          <w:rFonts w:cs="Calibri"/>
          <w:b/>
          <w:bCs/>
          <w:spacing w:val="-1"/>
          <w:sz w:val="32"/>
        </w:rPr>
      </w:pPr>
      <w:r w:rsidRPr="00F425A5">
        <w:rPr>
          <w:rFonts w:cs="Calibri"/>
          <w:b/>
          <w:bCs/>
          <w:spacing w:val="-1"/>
          <w:sz w:val="32"/>
        </w:rPr>
        <w:t>RESOLUCI</w:t>
      </w:r>
      <w:r>
        <w:rPr>
          <w:rFonts w:cs="Calibri"/>
          <w:b/>
          <w:bCs/>
          <w:spacing w:val="-1"/>
          <w:sz w:val="32"/>
        </w:rPr>
        <w:t>Ó</w:t>
      </w:r>
      <w:r w:rsidRPr="00F425A5">
        <w:rPr>
          <w:rFonts w:cs="Calibri"/>
          <w:b/>
          <w:bCs/>
          <w:spacing w:val="-1"/>
          <w:sz w:val="32"/>
        </w:rPr>
        <w:t>N DE ENTREGA DE INFORMACI</w:t>
      </w:r>
      <w:r>
        <w:rPr>
          <w:rFonts w:cs="Calibri"/>
          <w:b/>
          <w:bCs/>
          <w:spacing w:val="-1"/>
          <w:sz w:val="32"/>
        </w:rPr>
        <w:t>Ó</w:t>
      </w:r>
      <w:r w:rsidRPr="00F425A5">
        <w:rPr>
          <w:rFonts w:cs="Calibri"/>
          <w:b/>
          <w:bCs/>
          <w:spacing w:val="-1"/>
          <w:sz w:val="32"/>
        </w:rPr>
        <w:t>N</w:t>
      </w:r>
    </w:p>
    <w:p w:rsidR="00807C95" w:rsidRDefault="00807C95" w:rsidP="00807C95"/>
    <w:p w:rsidR="00807C95" w:rsidRPr="009047C5" w:rsidRDefault="00807C95" w:rsidP="00807C95">
      <w:pPr>
        <w:jc w:val="both"/>
      </w:pPr>
      <w:r w:rsidRPr="009047C5">
        <w:t>En la Oficina de Información y Respuesta del Instituto de Legalización de la Propiedad</w:t>
      </w:r>
      <w:r>
        <w:t xml:space="preserve"> (ILP)</w:t>
      </w:r>
      <w:r w:rsidRPr="009047C5">
        <w:t xml:space="preserve">, San Salvador, a las </w:t>
      </w:r>
      <w:r w:rsidR="00925858">
        <w:t>catorce horas y treinta minutos</w:t>
      </w:r>
      <w:r w:rsidRPr="00717D58">
        <w:t xml:space="preserve"> del día </w:t>
      </w:r>
      <w:r w:rsidR="00F55D45">
        <w:t>veintitrés</w:t>
      </w:r>
      <w:r w:rsidRPr="009047C5">
        <w:t xml:space="preserve"> de </w:t>
      </w:r>
      <w:r w:rsidR="00F55D45">
        <w:t>noviemb</w:t>
      </w:r>
      <w:r w:rsidR="00907831">
        <w:t>re</w:t>
      </w:r>
      <w:r w:rsidRPr="009047C5">
        <w:t xml:space="preserve"> de 2016. La suscrita oficial de información, CONSIDERANDO:</w:t>
      </w:r>
    </w:p>
    <w:p w:rsidR="00807C95" w:rsidRPr="009047C5" w:rsidRDefault="00807C95" w:rsidP="00807C95">
      <w:pPr>
        <w:jc w:val="both"/>
      </w:pPr>
    </w:p>
    <w:p w:rsidR="00962A06" w:rsidRDefault="00807C95" w:rsidP="00962A06">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 xml:space="preserve">Que el día </w:t>
      </w:r>
      <w:r w:rsidR="00907831">
        <w:rPr>
          <w:rFonts w:asciiTheme="minorHAnsi" w:hAnsiTheme="minorHAnsi"/>
          <w:sz w:val="24"/>
          <w:szCs w:val="24"/>
        </w:rPr>
        <w:t>veinti</w:t>
      </w:r>
      <w:r w:rsidR="00F55D45">
        <w:rPr>
          <w:rFonts w:asciiTheme="minorHAnsi" w:hAnsiTheme="minorHAnsi"/>
          <w:sz w:val="24"/>
          <w:szCs w:val="24"/>
        </w:rPr>
        <w:t>uno</w:t>
      </w:r>
      <w:r w:rsidRPr="009047C5">
        <w:rPr>
          <w:rFonts w:asciiTheme="minorHAnsi" w:hAnsiTheme="minorHAnsi"/>
          <w:sz w:val="24"/>
          <w:szCs w:val="24"/>
        </w:rPr>
        <w:t xml:space="preserve"> del mes de </w:t>
      </w:r>
      <w:r w:rsidR="00F55D45">
        <w:rPr>
          <w:rFonts w:asciiTheme="minorHAnsi" w:hAnsiTheme="minorHAnsi"/>
          <w:sz w:val="24"/>
          <w:szCs w:val="24"/>
        </w:rPr>
        <w:t>noviembre</w:t>
      </w:r>
      <w:r w:rsidR="00851B8C">
        <w:rPr>
          <w:rFonts w:asciiTheme="minorHAnsi" w:hAnsiTheme="minorHAnsi"/>
          <w:sz w:val="24"/>
          <w:szCs w:val="24"/>
        </w:rPr>
        <w:t xml:space="preserve"> </w:t>
      </w:r>
      <w:r w:rsidRPr="009047C5">
        <w:rPr>
          <w:rFonts w:asciiTheme="minorHAnsi" w:hAnsiTheme="minorHAnsi"/>
          <w:sz w:val="24"/>
          <w:szCs w:val="24"/>
        </w:rPr>
        <w:t xml:space="preserve">del año en curso, se recibió la solicitud de acceso </w:t>
      </w:r>
      <w:r w:rsidR="00851B8C">
        <w:rPr>
          <w:rFonts w:asciiTheme="minorHAnsi" w:hAnsiTheme="minorHAnsi"/>
          <w:sz w:val="24"/>
          <w:szCs w:val="24"/>
        </w:rPr>
        <w:t>a la</w:t>
      </w:r>
      <w:r w:rsidRPr="009047C5">
        <w:rPr>
          <w:rFonts w:asciiTheme="minorHAnsi" w:hAnsiTheme="minorHAnsi"/>
          <w:sz w:val="24"/>
          <w:szCs w:val="24"/>
        </w:rPr>
        <w:t xml:space="preserve"> información número </w:t>
      </w:r>
      <w:r w:rsidR="00F55D45">
        <w:rPr>
          <w:rFonts w:asciiTheme="minorHAnsi" w:hAnsiTheme="minorHAnsi"/>
          <w:sz w:val="24"/>
          <w:szCs w:val="24"/>
        </w:rPr>
        <w:t>diecisiete</w:t>
      </w:r>
      <w:r w:rsidRPr="009047C5">
        <w:rPr>
          <w:rFonts w:asciiTheme="minorHAnsi" w:hAnsiTheme="minorHAnsi"/>
          <w:sz w:val="24"/>
          <w:szCs w:val="24"/>
        </w:rPr>
        <w:t xml:space="preserve">, por parte de </w:t>
      </w:r>
      <w:r w:rsidR="004B180F" w:rsidRPr="004B180F">
        <w:rPr>
          <w:rFonts w:asciiTheme="minorHAnsi" w:hAnsiTheme="minorHAnsi"/>
          <w:color w:val="002060"/>
          <w:sz w:val="24"/>
          <w:szCs w:val="24"/>
          <w:highlight w:val="darkBlue"/>
        </w:rPr>
        <w:t>XXXXX</w:t>
      </w:r>
      <w:r w:rsidR="00F55D45" w:rsidRPr="004B180F">
        <w:rPr>
          <w:rFonts w:asciiTheme="minorHAnsi" w:hAnsiTheme="minorHAnsi"/>
          <w:color w:val="002060"/>
          <w:sz w:val="24"/>
          <w:szCs w:val="24"/>
          <w:highlight w:val="darkBlue"/>
        </w:rPr>
        <w:t>,</w:t>
      </w:r>
      <w:r w:rsidR="00F55D45" w:rsidRPr="004B180F">
        <w:rPr>
          <w:rFonts w:asciiTheme="minorHAnsi" w:hAnsiTheme="minorHAnsi"/>
          <w:color w:val="002060"/>
          <w:sz w:val="24"/>
          <w:szCs w:val="24"/>
        </w:rPr>
        <w:t xml:space="preserve"> </w:t>
      </w:r>
      <w:r w:rsidR="00F55D45">
        <w:rPr>
          <w:rFonts w:asciiTheme="minorHAnsi" w:hAnsiTheme="minorHAnsi"/>
          <w:sz w:val="24"/>
          <w:szCs w:val="24"/>
        </w:rPr>
        <w:t xml:space="preserve">identificada con el Documento Único de Identidad número </w:t>
      </w:r>
      <w:r w:rsidR="004B180F" w:rsidRPr="004B180F">
        <w:rPr>
          <w:rFonts w:asciiTheme="minorHAnsi" w:hAnsiTheme="minorHAnsi"/>
          <w:color w:val="002060"/>
          <w:sz w:val="24"/>
          <w:szCs w:val="24"/>
          <w:highlight w:val="darkBlue"/>
        </w:rPr>
        <w:t>XXXXXX</w:t>
      </w:r>
      <w:r w:rsidR="00F55D45">
        <w:rPr>
          <w:rFonts w:asciiTheme="minorHAnsi" w:hAnsiTheme="minorHAnsi"/>
          <w:sz w:val="24"/>
          <w:szCs w:val="24"/>
        </w:rPr>
        <w:t>, quien reside en el departamento de San Miguel;</w:t>
      </w:r>
      <w:r w:rsidR="00962A06">
        <w:rPr>
          <w:rFonts w:asciiTheme="minorHAnsi" w:hAnsiTheme="minorHAnsi"/>
          <w:sz w:val="24"/>
          <w:szCs w:val="24"/>
        </w:rPr>
        <w:t xml:space="preserve"> </w:t>
      </w:r>
      <w:r w:rsidRPr="009047C5">
        <w:rPr>
          <w:rFonts w:asciiTheme="minorHAnsi" w:hAnsiTheme="minorHAnsi"/>
          <w:sz w:val="24"/>
          <w:szCs w:val="24"/>
        </w:rPr>
        <w:t xml:space="preserve">quien solicitó: </w:t>
      </w:r>
    </w:p>
    <w:p w:rsidR="00F55D45" w:rsidRDefault="00F55D45" w:rsidP="00F55D45">
      <w:pPr>
        <w:pStyle w:val="Prrafodelista"/>
        <w:ind w:left="765"/>
        <w:jc w:val="both"/>
        <w:rPr>
          <w:rFonts w:asciiTheme="minorHAnsi" w:hAnsiTheme="minorHAnsi"/>
          <w:sz w:val="24"/>
          <w:szCs w:val="24"/>
        </w:rPr>
      </w:pPr>
    </w:p>
    <w:p w:rsidR="00907831" w:rsidRPr="00D640DA" w:rsidRDefault="00F55D45" w:rsidP="00907831">
      <w:pPr>
        <w:pStyle w:val="Prrafodelista"/>
        <w:jc w:val="both"/>
        <w:rPr>
          <w:rFonts w:asciiTheme="minorHAnsi" w:hAnsiTheme="minorHAnsi"/>
          <w:i/>
          <w:sz w:val="24"/>
          <w:szCs w:val="24"/>
        </w:rPr>
      </w:pPr>
      <w:r w:rsidRPr="00D640DA">
        <w:rPr>
          <w:rFonts w:asciiTheme="minorHAnsi" w:hAnsiTheme="minorHAnsi"/>
          <w:i/>
          <w:sz w:val="24"/>
          <w:szCs w:val="24"/>
        </w:rPr>
        <w:t>Títulos de propiedad entregados a familias de escasos recursos económicos, desde el 2009 hasta la fecha y la can</w:t>
      </w:r>
      <w:r w:rsidR="00D640DA">
        <w:rPr>
          <w:rFonts w:asciiTheme="minorHAnsi" w:hAnsiTheme="minorHAnsi"/>
          <w:i/>
          <w:sz w:val="24"/>
          <w:szCs w:val="24"/>
        </w:rPr>
        <w:t>tidad de familias beneficiadas; e</w:t>
      </w:r>
      <w:r w:rsidRPr="00D640DA">
        <w:rPr>
          <w:rFonts w:asciiTheme="minorHAnsi" w:hAnsiTheme="minorHAnsi"/>
          <w:i/>
          <w:sz w:val="24"/>
          <w:szCs w:val="24"/>
        </w:rPr>
        <w:t>s decir, desde la llegada de gobiernos del FMLN.</w:t>
      </w:r>
    </w:p>
    <w:p w:rsidR="00F55D45" w:rsidRPr="00D501DE" w:rsidRDefault="00F55D45" w:rsidP="00907831">
      <w:pPr>
        <w:pStyle w:val="Prrafodelista"/>
        <w:jc w:val="both"/>
      </w:pPr>
    </w:p>
    <w:p w:rsidR="00807C95" w:rsidRPr="00907831" w:rsidRDefault="00807C95" w:rsidP="00907831">
      <w:pPr>
        <w:pStyle w:val="Prrafodelista"/>
        <w:numPr>
          <w:ilvl w:val="0"/>
          <w:numId w:val="1"/>
        </w:numPr>
        <w:jc w:val="both"/>
        <w:rPr>
          <w:sz w:val="24"/>
          <w:szCs w:val="24"/>
        </w:rPr>
      </w:pPr>
      <w:r w:rsidRPr="00907831">
        <w:rPr>
          <w:sz w:val="24"/>
          <w:szCs w:val="24"/>
        </w:rPr>
        <w:t xml:space="preserve">El acceso a la información en poder de las Instituciones Públicas es un derecho reconocido en el ordenamiento jurídico nacional, lo que supone el cumplimiento del “Principio de Máxima Publicidad” reconocido en el art.4 LAIP, por el cual, la información en poder de los entes obligados es pública y su difusión irrestricta, salvo las excepciones contenidas en la Ley. </w:t>
      </w:r>
    </w:p>
    <w:p w:rsidR="00807C95" w:rsidRPr="009047C5" w:rsidRDefault="00807C95" w:rsidP="00807C95">
      <w:pPr>
        <w:pStyle w:val="Prrafodelista"/>
        <w:rPr>
          <w:rFonts w:asciiTheme="minorHAnsi" w:hAnsiTheme="minorHAnsi"/>
          <w:sz w:val="24"/>
          <w:szCs w:val="24"/>
        </w:rPr>
      </w:pPr>
    </w:p>
    <w:p w:rsidR="00807C95" w:rsidRPr="009047C5" w:rsidRDefault="00807C95" w:rsidP="00907831">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 xml:space="preserve">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solicitante de una manera oportuna y veraz. </w:t>
      </w:r>
    </w:p>
    <w:p w:rsidR="00807C95" w:rsidRPr="009047C5" w:rsidRDefault="00807C95" w:rsidP="00807C95">
      <w:pPr>
        <w:pStyle w:val="Prrafodelista"/>
        <w:rPr>
          <w:rFonts w:asciiTheme="minorHAnsi" w:hAnsiTheme="minorHAnsi"/>
          <w:sz w:val="24"/>
          <w:szCs w:val="24"/>
        </w:rPr>
      </w:pPr>
    </w:p>
    <w:p w:rsidR="00807C95" w:rsidRDefault="00807C95" w:rsidP="00907831">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Es de aclarar que el Oficial de Información es el vínculo entre la Institución Pública y el solicitante, realizando las gestiones necesarias, para facilitar el acceso a la información.</w:t>
      </w:r>
    </w:p>
    <w:p w:rsidR="00807C95" w:rsidRPr="00D454FD" w:rsidRDefault="00807C95" w:rsidP="00807C95">
      <w:pPr>
        <w:pStyle w:val="Prrafodelista"/>
        <w:rPr>
          <w:rFonts w:asciiTheme="minorHAnsi" w:hAnsiTheme="minorHAnsi"/>
          <w:sz w:val="24"/>
          <w:szCs w:val="24"/>
        </w:rPr>
      </w:pPr>
    </w:p>
    <w:p w:rsidR="00807C95" w:rsidRPr="00AC77CC" w:rsidRDefault="00807C95" w:rsidP="00807C95">
      <w:pPr>
        <w:pStyle w:val="Prrafodelista"/>
        <w:jc w:val="both"/>
        <w:rPr>
          <w:sz w:val="24"/>
        </w:rPr>
      </w:pPr>
    </w:p>
    <w:p w:rsidR="00807C95" w:rsidRPr="00AC77CC" w:rsidRDefault="00807C95" w:rsidP="00907831">
      <w:pPr>
        <w:pStyle w:val="Prrafodelista"/>
        <w:numPr>
          <w:ilvl w:val="0"/>
          <w:numId w:val="1"/>
        </w:numPr>
        <w:jc w:val="both"/>
        <w:rPr>
          <w:sz w:val="24"/>
        </w:rPr>
      </w:pPr>
      <w:r w:rsidRPr="00AC77CC">
        <w:rPr>
          <w:sz w:val="24"/>
        </w:rPr>
        <w:t xml:space="preserve">RESOLUCIÓN </w:t>
      </w:r>
    </w:p>
    <w:p w:rsidR="00807C95" w:rsidRPr="009047C5" w:rsidRDefault="00807C95" w:rsidP="00807C95">
      <w:pPr>
        <w:jc w:val="both"/>
        <w:rPr>
          <w:rFonts w:ascii="Calibri" w:eastAsia="Calibri" w:hAnsi="Calibri"/>
        </w:rPr>
      </w:pPr>
      <w:r w:rsidRPr="009047C5">
        <w:rPr>
          <w:rFonts w:ascii="Calibri" w:eastAsia="Calibri" w:hAnsi="Calibri"/>
        </w:rPr>
        <w:t>De conformidad al art. 65, 66, 72 de la Ley de Acceso a la Información Pública, y art. 54 del Reglamento de la Ley de Acceso a la Información Pública; la suscrita Oficial de Información,</w:t>
      </w:r>
    </w:p>
    <w:p w:rsidR="00D501DE" w:rsidRDefault="00D501DE" w:rsidP="00807C95">
      <w:pPr>
        <w:jc w:val="both"/>
        <w:rPr>
          <w:rFonts w:ascii="Calibri" w:eastAsia="Calibri" w:hAnsi="Calibri"/>
        </w:rPr>
      </w:pPr>
    </w:p>
    <w:p w:rsidR="00807C95" w:rsidRPr="009047C5" w:rsidRDefault="00807C95" w:rsidP="00807C95">
      <w:pPr>
        <w:jc w:val="both"/>
        <w:rPr>
          <w:rFonts w:ascii="Calibri" w:eastAsia="Calibri" w:hAnsi="Calibri"/>
        </w:rPr>
      </w:pPr>
      <w:r w:rsidRPr="009047C5">
        <w:rPr>
          <w:rFonts w:ascii="Calibri" w:eastAsia="Calibri" w:hAnsi="Calibri"/>
        </w:rPr>
        <w:lastRenderedPageBreak/>
        <w:t xml:space="preserve">RESUELVE: </w:t>
      </w:r>
    </w:p>
    <w:p w:rsidR="007E3DC0" w:rsidRDefault="00C16B8D" w:rsidP="00807C95">
      <w:r>
        <w:t>Entregar la información solicitada.</w:t>
      </w:r>
    </w:p>
    <w:p w:rsidR="00851B8C" w:rsidRDefault="00851B8C" w:rsidP="00807C95"/>
    <w:p w:rsidR="00851B8C" w:rsidRDefault="00851B8C" w:rsidP="00807C95"/>
    <w:p w:rsidR="00D640DA" w:rsidRDefault="00D640DA" w:rsidP="00807C95"/>
    <w:p w:rsidR="00D640DA" w:rsidRDefault="00D640DA" w:rsidP="00807C95"/>
    <w:tbl>
      <w:tblPr>
        <w:tblStyle w:val="Tablaconcuadrcula"/>
        <w:tblW w:w="0" w:type="auto"/>
        <w:tblLook w:val="04A0" w:firstRow="1" w:lastRow="0" w:firstColumn="1" w:lastColumn="0" w:noHBand="0" w:noVBand="1"/>
      </w:tblPr>
      <w:tblGrid>
        <w:gridCol w:w="2547"/>
        <w:gridCol w:w="2977"/>
        <w:gridCol w:w="3304"/>
      </w:tblGrid>
      <w:tr w:rsidR="002E47B7" w:rsidRPr="002E47B7" w:rsidTr="002E47B7">
        <w:trPr>
          <w:trHeight w:val="885"/>
        </w:trPr>
        <w:tc>
          <w:tcPr>
            <w:tcW w:w="8828" w:type="dxa"/>
            <w:gridSpan w:val="3"/>
            <w:hideMark/>
          </w:tcPr>
          <w:p w:rsidR="002E47B7" w:rsidRPr="002E47B7" w:rsidRDefault="002E47B7" w:rsidP="002E47B7">
            <w:pPr>
              <w:jc w:val="center"/>
            </w:pPr>
            <w:r w:rsidRPr="002E47B7">
              <w:rPr>
                <w:sz w:val="28"/>
              </w:rPr>
              <w:t>Número de familias beneficiadas con escrituras de propiedad inscritas</w:t>
            </w:r>
            <w:r w:rsidRPr="002E47B7">
              <w:rPr>
                <w:sz w:val="28"/>
              </w:rPr>
              <w:br/>
              <w:t xml:space="preserve"> durante el periodo enero 2009 a octubre 2016</w:t>
            </w:r>
          </w:p>
        </w:tc>
      </w:tr>
      <w:tr w:rsidR="002E47B7" w:rsidRPr="002E47B7" w:rsidTr="00925858">
        <w:trPr>
          <w:trHeight w:val="630"/>
        </w:trPr>
        <w:tc>
          <w:tcPr>
            <w:tcW w:w="2547" w:type="dxa"/>
            <w:noWrap/>
            <w:hideMark/>
          </w:tcPr>
          <w:p w:rsidR="002E47B7" w:rsidRPr="00925858" w:rsidRDefault="002E47B7" w:rsidP="00925858">
            <w:pPr>
              <w:jc w:val="center"/>
              <w:rPr>
                <w:b/>
              </w:rPr>
            </w:pPr>
            <w:r w:rsidRPr="00925858">
              <w:rPr>
                <w:b/>
              </w:rPr>
              <w:t>Año</w:t>
            </w:r>
          </w:p>
        </w:tc>
        <w:tc>
          <w:tcPr>
            <w:tcW w:w="2977" w:type="dxa"/>
            <w:hideMark/>
          </w:tcPr>
          <w:p w:rsidR="002E47B7" w:rsidRPr="00925858" w:rsidRDefault="002E47B7" w:rsidP="00925858">
            <w:pPr>
              <w:jc w:val="center"/>
              <w:rPr>
                <w:b/>
              </w:rPr>
            </w:pPr>
            <w:r w:rsidRPr="00925858">
              <w:rPr>
                <w:b/>
              </w:rPr>
              <w:t>Escrituras inscritas</w:t>
            </w:r>
            <w:r w:rsidRPr="00925858">
              <w:rPr>
                <w:b/>
              </w:rPr>
              <w:br/>
              <w:t xml:space="preserve"> entregadas</w:t>
            </w:r>
          </w:p>
        </w:tc>
        <w:tc>
          <w:tcPr>
            <w:tcW w:w="3304" w:type="dxa"/>
            <w:hideMark/>
          </w:tcPr>
          <w:p w:rsidR="002E47B7" w:rsidRPr="00925858" w:rsidRDefault="002E47B7" w:rsidP="00925858">
            <w:pPr>
              <w:jc w:val="center"/>
              <w:rPr>
                <w:b/>
              </w:rPr>
            </w:pPr>
            <w:r w:rsidRPr="00925858">
              <w:rPr>
                <w:b/>
              </w:rPr>
              <w:t xml:space="preserve">Familias beneficiadas </w:t>
            </w:r>
            <w:r w:rsidRPr="00925858">
              <w:rPr>
                <w:b/>
              </w:rPr>
              <w:br/>
              <w:t>con escrituras</w:t>
            </w:r>
          </w:p>
        </w:tc>
      </w:tr>
      <w:tr w:rsidR="002E47B7" w:rsidRPr="002E47B7" w:rsidTr="00925858">
        <w:trPr>
          <w:trHeight w:val="315"/>
        </w:trPr>
        <w:tc>
          <w:tcPr>
            <w:tcW w:w="2547" w:type="dxa"/>
            <w:noWrap/>
            <w:hideMark/>
          </w:tcPr>
          <w:p w:rsidR="002E47B7" w:rsidRPr="002E47B7" w:rsidRDefault="002E47B7" w:rsidP="00925858">
            <w:pPr>
              <w:jc w:val="center"/>
            </w:pPr>
            <w:r w:rsidRPr="002E47B7">
              <w:t>2009</w:t>
            </w:r>
          </w:p>
        </w:tc>
        <w:tc>
          <w:tcPr>
            <w:tcW w:w="2977" w:type="dxa"/>
            <w:noWrap/>
            <w:hideMark/>
          </w:tcPr>
          <w:p w:rsidR="002E47B7" w:rsidRPr="002E47B7" w:rsidRDefault="002E47B7" w:rsidP="00925858">
            <w:pPr>
              <w:jc w:val="center"/>
            </w:pPr>
            <w:r w:rsidRPr="002E47B7">
              <w:t>774</w:t>
            </w:r>
          </w:p>
        </w:tc>
        <w:tc>
          <w:tcPr>
            <w:tcW w:w="3304" w:type="dxa"/>
            <w:noWrap/>
            <w:hideMark/>
          </w:tcPr>
          <w:p w:rsidR="002E47B7" w:rsidRPr="002E47B7" w:rsidRDefault="002E47B7" w:rsidP="00925858">
            <w:pPr>
              <w:jc w:val="center"/>
            </w:pPr>
            <w:r w:rsidRPr="002E47B7">
              <w:t>774</w:t>
            </w:r>
          </w:p>
        </w:tc>
      </w:tr>
      <w:tr w:rsidR="002E47B7" w:rsidRPr="002E47B7" w:rsidTr="00925858">
        <w:trPr>
          <w:trHeight w:val="315"/>
        </w:trPr>
        <w:tc>
          <w:tcPr>
            <w:tcW w:w="2547" w:type="dxa"/>
            <w:noWrap/>
            <w:hideMark/>
          </w:tcPr>
          <w:p w:rsidR="002E47B7" w:rsidRPr="002E47B7" w:rsidRDefault="002E47B7" w:rsidP="00925858">
            <w:pPr>
              <w:jc w:val="center"/>
            </w:pPr>
            <w:r w:rsidRPr="002E47B7">
              <w:t>2010</w:t>
            </w:r>
          </w:p>
        </w:tc>
        <w:tc>
          <w:tcPr>
            <w:tcW w:w="2977" w:type="dxa"/>
            <w:noWrap/>
            <w:hideMark/>
          </w:tcPr>
          <w:p w:rsidR="002E47B7" w:rsidRPr="002E47B7" w:rsidRDefault="002E47B7" w:rsidP="00925858">
            <w:pPr>
              <w:jc w:val="center"/>
            </w:pPr>
            <w:r w:rsidRPr="002E47B7">
              <w:t>1745</w:t>
            </w:r>
          </w:p>
        </w:tc>
        <w:tc>
          <w:tcPr>
            <w:tcW w:w="3304" w:type="dxa"/>
            <w:noWrap/>
            <w:hideMark/>
          </w:tcPr>
          <w:p w:rsidR="002E47B7" w:rsidRPr="002E47B7" w:rsidRDefault="002E47B7" w:rsidP="00925858">
            <w:pPr>
              <w:jc w:val="center"/>
            </w:pPr>
            <w:r w:rsidRPr="002E47B7">
              <w:t>1745</w:t>
            </w:r>
          </w:p>
        </w:tc>
      </w:tr>
      <w:tr w:rsidR="002E47B7" w:rsidRPr="002E47B7" w:rsidTr="00925858">
        <w:trPr>
          <w:trHeight w:val="315"/>
        </w:trPr>
        <w:tc>
          <w:tcPr>
            <w:tcW w:w="2547" w:type="dxa"/>
            <w:noWrap/>
            <w:hideMark/>
          </w:tcPr>
          <w:p w:rsidR="002E47B7" w:rsidRPr="002E47B7" w:rsidRDefault="002E47B7" w:rsidP="00925858">
            <w:pPr>
              <w:jc w:val="center"/>
            </w:pPr>
            <w:r w:rsidRPr="002E47B7">
              <w:t>2011</w:t>
            </w:r>
          </w:p>
        </w:tc>
        <w:tc>
          <w:tcPr>
            <w:tcW w:w="2977" w:type="dxa"/>
            <w:noWrap/>
            <w:hideMark/>
          </w:tcPr>
          <w:p w:rsidR="002E47B7" w:rsidRPr="002E47B7" w:rsidRDefault="002E47B7" w:rsidP="00925858">
            <w:pPr>
              <w:jc w:val="center"/>
            </w:pPr>
            <w:r w:rsidRPr="002E47B7">
              <w:t>513</w:t>
            </w:r>
          </w:p>
        </w:tc>
        <w:tc>
          <w:tcPr>
            <w:tcW w:w="3304" w:type="dxa"/>
            <w:noWrap/>
            <w:hideMark/>
          </w:tcPr>
          <w:p w:rsidR="002E47B7" w:rsidRPr="002E47B7" w:rsidRDefault="002E47B7" w:rsidP="00925858">
            <w:pPr>
              <w:jc w:val="center"/>
            </w:pPr>
            <w:r w:rsidRPr="002E47B7">
              <w:t>513</w:t>
            </w:r>
          </w:p>
        </w:tc>
      </w:tr>
      <w:tr w:rsidR="002E47B7" w:rsidRPr="002E47B7" w:rsidTr="00925858">
        <w:trPr>
          <w:trHeight w:val="315"/>
        </w:trPr>
        <w:tc>
          <w:tcPr>
            <w:tcW w:w="2547" w:type="dxa"/>
            <w:noWrap/>
            <w:hideMark/>
          </w:tcPr>
          <w:p w:rsidR="002E47B7" w:rsidRPr="002E47B7" w:rsidRDefault="002E47B7" w:rsidP="00925858">
            <w:pPr>
              <w:jc w:val="center"/>
            </w:pPr>
            <w:r w:rsidRPr="002E47B7">
              <w:t>2012</w:t>
            </w:r>
          </w:p>
        </w:tc>
        <w:tc>
          <w:tcPr>
            <w:tcW w:w="2977" w:type="dxa"/>
            <w:noWrap/>
            <w:hideMark/>
          </w:tcPr>
          <w:p w:rsidR="002E47B7" w:rsidRPr="002E47B7" w:rsidRDefault="002E47B7" w:rsidP="00925858">
            <w:pPr>
              <w:jc w:val="center"/>
            </w:pPr>
            <w:r w:rsidRPr="002E47B7">
              <w:t>704</w:t>
            </w:r>
          </w:p>
        </w:tc>
        <w:tc>
          <w:tcPr>
            <w:tcW w:w="3304" w:type="dxa"/>
            <w:noWrap/>
            <w:hideMark/>
          </w:tcPr>
          <w:p w:rsidR="002E47B7" w:rsidRPr="002E47B7" w:rsidRDefault="002E47B7" w:rsidP="00925858">
            <w:pPr>
              <w:jc w:val="center"/>
            </w:pPr>
            <w:r w:rsidRPr="002E47B7">
              <w:t>704</w:t>
            </w:r>
          </w:p>
        </w:tc>
      </w:tr>
      <w:tr w:rsidR="002E47B7" w:rsidRPr="002E47B7" w:rsidTr="00925858">
        <w:trPr>
          <w:trHeight w:val="315"/>
        </w:trPr>
        <w:tc>
          <w:tcPr>
            <w:tcW w:w="2547" w:type="dxa"/>
            <w:noWrap/>
            <w:hideMark/>
          </w:tcPr>
          <w:p w:rsidR="002E47B7" w:rsidRPr="002E47B7" w:rsidRDefault="002E47B7" w:rsidP="00925858">
            <w:pPr>
              <w:jc w:val="center"/>
            </w:pPr>
            <w:r w:rsidRPr="002E47B7">
              <w:t>2013</w:t>
            </w:r>
          </w:p>
        </w:tc>
        <w:tc>
          <w:tcPr>
            <w:tcW w:w="2977" w:type="dxa"/>
            <w:noWrap/>
            <w:hideMark/>
          </w:tcPr>
          <w:p w:rsidR="002E47B7" w:rsidRPr="002E47B7" w:rsidRDefault="002E47B7" w:rsidP="00925858">
            <w:pPr>
              <w:jc w:val="center"/>
            </w:pPr>
            <w:r w:rsidRPr="002E47B7">
              <w:t>1870</w:t>
            </w:r>
          </w:p>
        </w:tc>
        <w:tc>
          <w:tcPr>
            <w:tcW w:w="3304" w:type="dxa"/>
            <w:noWrap/>
            <w:hideMark/>
          </w:tcPr>
          <w:p w:rsidR="002E47B7" w:rsidRPr="002E47B7" w:rsidRDefault="002E47B7" w:rsidP="00925858">
            <w:pPr>
              <w:jc w:val="center"/>
            </w:pPr>
            <w:r w:rsidRPr="002E47B7">
              <w:t>1870</w:t>
            </w:r>
          </w:p>
        </w:tc>
      </w:tr>
      <w:tr w:rsidR="002E47B7" w:rsidRPr="002E47B7" w:rsidTr="00925858">
        <w:trPr>
          <w:trHeight w:val="315"/>
        </w:trPr>
        <w:tc>
          <w:tcPr>
            <w:tcW w:w="2547" w:type="dxa"/>
            <w:noWrap/>
            <w:hideMark/>
          </w:tcPr>
          <w:p w:rsidR="002E47B7" w:rsidRPr="002E47B7" w:rsidRDefault="002E47B7" w:rsidP="00925858">
            <w:pPr>
              <w:jc w:val="center"/>
            </w:pPr>
            <w:r w:rsidRPr="002E47B7">
              <w:t>2014</w:t>
            </w:r>
          </w:p>
        </w:tc>
        <w:tc>
          <w:tcPr>
            <w:tcW w:w="2977" w:type="dxa"/>
            <w:noWrap/>
            <w:hideMark/>
          </w:tcPr>
          <w:p w:rsidR="002E47B7" w:rsidRPr="002E47B7" w:rsidRDefault="002E47B7" w:rsidP="00925858">
            <w:pPr>
              <w:jc w:val="center"/>
            </w:pPr>
            <w:r w:rsidRPr="002E47B7">
              <w:t>2007</w:t>
            </w:r>
          </w:p>
        </w:tc>
        <w:tc>
          <w:tcPr>
            <w:tcW w:w="3304" w:type="dxa"/>
            <w:noWrap/>
            <w:hideMark/>
          </w:tcPr>
          <w:p w:rsidR="002E47B7" w:rsidRPr="002E47B7" w:rsidRDefault="002E47B7" w:rsidP="00925858">
            <w:pPr>
              <w:jc w:val="center"/>
            </w:pPr>
            <w:r w:rsidRPr="002E47B7">
              <w:t>2007</w:t>
            </w:r>
          </w:p>
        </w:tc>
      </w:tr>
      <w:tr w:rsidR="002E47B7" w:rsidRPr="002E47B7" w:rsidTr="00925858">
        <w:trPr>
          <w:trHeight w:val="315"/>
        </w:trPr>
        <w:tc>
          <w:tcPr>
            <w:tcW w:w="2547" w:type="dxa"/>
            <w:noWrap/>
            <w:hideMark/>
          </w:tcPr>
          <w:p w:rsidR="002E47B7" w:rsidRPr="002E47B7" w:rsidRDefault="002E47B7" w:rsidP="00925858">
            <w:pPr>
              <w:jc w:val="center"/>
            </w:pPr>
            <w:r w:rsidRPr="002E47B7">
              <w:t>2015</w:t>
            </w:r>
          </w:p>
        </w:tc>
        <w:tc>
          <w:tcPr>
            <w:tcW w:w="2977" w:type="dxa"/>
            <w:noWrap/>
            <w:hideMark/>
          </w:tcPr>
          <w:p w:rsidR="002E47B7" w:rsidRPr="002E47B7" w:rsidRDefault="002E47B7" w:rsidP="00925858">
            <w:pPr>
              <w:jc w:val="center"/>
            </w:pPr>
            <w:r w:rsidRPr="002E47B7">
              <w:t>1939</w:t>
            </w:r>
          </w:p>
        </w:tc>
        <w:tc>
          <w:tcPr>
            <w:tcW w:w="3304" w:type="dxa"/>
            <w:noWrap/>
            <w:hideMark/>
          </w:tcPr>
          <w:p w:rsidR="002E47B7" w:rsidRPr="002E47B7" w:rsidRDefault="002E47B7" w:rsidP="00925858">
            <w:pPr>
              <w:jc w:val="center"/>
            </w:pPr>
            <w:r w:rsidRPr="002E47B7">
              <w:t>1939</w:t>
            </w:r>
          </w:p>
        </w:tc>
      </w:tr>
      <w:tr w:rsidR="002E47B7" w:rsidRPr="002E47B7" w:rsidTr="00925858">
        <w:trPr>
          <w:trHeight w:val="315"/>
        </w:trPr>
        <w:tc>
          <w:tcPr>
            <w:tcW w:w="2547" w:type="dxa"/>
            <w:noWrap/>
            <w:hideMark/>
          </w:tcPr>
          <w:p w:rsidR="002E47B7" w:rsidRPr="002E47B7" w:rsidRDefault="002E47B7" w:rsidP="00925858">
            <w:pPr>
              <w:jc w:val="center"/>
            </w:pPr>
            <w:r w:rsidRPr="002E47B7">
              <w:t>2016</w:t>
            </w:r>
          </w:p>
        </w:tc>
        <w:tc>
          <w:tcPr>
            <w:tcW w:w="2977" w:type="dxa"/>
            <w:noWrap/>
            <w:hideMark/>
          </w:tcPr>
          <w:p w:rsidR="002E47B7" w:rsidRPr="002E47B7" w:rsidRDefault="002E47B7" w:rsidP="00925858">
            <w:pPr>
              <w:jc w:val="center"/>
            </w:pPr>
            <w:r w:rsidRPr="002E47B7">
              <w:t>1491</w:t>
            </w:r>
          </w:p>
        </w:tc>
        <w:tc>
          <w:tcPr>
            <w:tcW w:w="3304" w:type="dxa"/>
            <w:noWrap/>
            <w:hideMark/>
          </w:tcPr>
          <w:p w:rsidR="002E47B7" w:rsidRPr="002E47B7" w:rsidRDefault="002E47B7" w:rsidP="00925858">
            <w:pPr>
              <w:jc w:val="center"/>
            </w:pPr>
            <w:r w:rsidRPr="002E47B7">
              <w:t>1491</w:t>
            </w:r>
          </w:p>
        </w:tc>
      </w:tr>
    </w:tbl>
    <w:p w:rsidR="00851B8C" w:rsidRDefault="00851B8C" w:rsidP="00807C95"/>
    <w:p w:rsidR="007E3DC0" w:rsidRPr="00925858" w:rsidRDefault="00925858" w:rsidP="00925858">
      <w:pPr>
        <w:jc w:val="both"/>
        <w:rPr>
          <w:i/>
        </w:rPr>
      </w:pPr>
      <w:r>
        <w:t>*</w:t>
      </w:r>
      <w:r w:rsidRPr="00925858">
        <w:rPr>
          <w:i/>
        </w:rPr>
        <w:t>Es importante mencionar que el Instituto de Legalización de la Propiedad (ILP) beneficia a más familias con otros servicios como diagnósticos de campo y mediciones topográficas; no obstante, el cuadro sólo refleja el número de familias beneficiadas con escrituras</w:t>
      </w:r>
      <w:r>
        <w:rPr>
          <w:i/>
        </w:rPr>
        <w:t xml:space="preserve"> inscritas</w:t>
      </w:r>
      <w:r w:rsidRPr="00925858">
        <w:rPr>
          <w:i/>
        </w:rPr>
        <w:t>.</w:t>
      </w:r>
    </w:p>
    <w:p w:rsidR="00925858" w:rsidRDefault="00925858" w:rsidP="00807C95"/>
    <w:p w:rsidR="004D637E" w:rsidRDefault="004D637E" w:rsidP="00907831">
      <w:pPr>
        <w:pStyle w:val="Prrafodelista"/>
        <w:numPr>
          <w:ilvl w:val="0"/>
          <w:numId w:val="1"/>
        </w:numPr>
        <w:spacing w:after="200" w:line="276" w:lineRule="auto"/>
      </w:pPr>
      <w:r>
        <w:t>NOTIFÍQUESE</w:t>
      </w:r>
    </w:p>
    <w:p w:rsidR="00962A06" w:rsidRDefault="00962A06" w:rsidP="00962A06">
      <w:pPr>
        <w:spacing w:after="200" w:line="276" w:lineRule="auto"/>
      </w:pPr>
    </w:p>
    <w:p w:rsidR="00962A06" w:rsidRDefault="00962A06" w:rsidP="00962A06">
      <w:pPr>
        <w:spacing w:after="200" w:line="276" w:lineRule="auto"/>
      </w:pPr>
    </w:p>
    <w:p w:rsidR="004B180F" w:rsidRDefault="004B180F" w:rsidP="004B180F">
      <w:pPr>
        <w:spacing w:line="360" w:lineRule="auto"/>
        <w:jc w:val="both"/>
        <w:rPr>
          <w:rFonts w:cs="Calibri"/>
        </w:rPr>
      </w:pPr>
    </w:p>
    <w:p w:rsidR="004B180F" w:rsidRDefault="004B180F" w:rsidP="004B180F">
      <w:pPr>
        <w:jc w:val="both"/>
        <w:rPr>
          <w:rFonts w:cs="Calibri"/>
        </w:rPr>
      </w:pPr>
      <w:r>
        <w:rPr>
          <w:rFonts w:cs="Calibri"/>
        </w:rPr>
        <w:t>NOTA IMPORTANTE: después de analizar lo anteriormente expuesto puede interponer un recurso de apelación según lo normado en el Art. 82 y 83 de la LAIP.</w:t>
      </w:r>
    </w:p>
    <w:p w:rsidR="004B180F" w:rsidRDefault="004B180F" w:rsidP="004B180F">
      <w:pPr>
        <w:jc w:val="both"/>
        <w:rPr>
          <w:rFonts w:cs="Calibri"/>
        </w:rPr>
      </w:pPr>
    </w:p>
    <w:p w:rsidR="004B180F" w:rsidRDefault="004B180F" w:rsidP="004B180F">
      <w:pPr>
        <w:jc w:val="both"/>
        <w:rPr>
          <w:rFonts w:cs="Calibri"/>
        </w:rPr>
      </w:pPr>
    </w:p>
    <w:p w:rsidR="004B180F" w:rsidRDefault="004B180F" w:rsidP="004B180F">
      <w:pPr>
        <w:jc w:val="both"/>
        <w:rPr>
          <w:rFonts w:cs="Calibri"/>
        </w:rPr>
      </w:pPr>
    </w:p>
    <w:p w:rsidR="004B180F" w:rsidRDefault="004B180F" w:rsidP="004B180F">
      <w:pPr>
        <w:widowControl w:val="0"/>
        <w:autoSpaceDE w:val="0"/>
        <w:autoSpaceDN w:val="0"/>
        <w:adjustRightInd w:val="0"/>
        <w:ind w:left="2832"/>
        <w:rPr>
          <w:rFonts w:cs="Calibri"/>
          <w:spacing w:val="2"/>
          <w:sz w:val="21"/>
          <w:szCs w:val="21"/>
        </w:rPr>
      </w:pPr>
      <w:r>
        <w:rPr>
          <w:rFonts w:cs="Calibri"/>
          <w:spacing w:val="2"/>
          <w:sz w:val="21"/>
          <w:szCs w:val="21"/>
        </w:rPr>
        <w:t>Mariam Sofía Alfaro Zablah</w:t>
      </w:r>
    </w:p>
    <w:p w:rsidR="004B180F" w:rsidRDefault="004B180F" w:rsidP="004B180F">
      <w:pPr>
        <w:widowControl w:val="0"/>
        <w:autoSpaceDE w:val="0"/>
        <w:autoSpaceDN w:val="0"/>
        <w:adjustRightInd w:val="0"/>
        <w:ind w:left="2670"/>
        <w:rPr>
          <w:rFonts w:cs="Calibri"/>
          <w:sz w:val="21"/>
          <w:szCs w:val="21"/>
        </w:rPr>
      </w:pPr>
      <w:r>
        <w:rPr>
          <w:rFonts w:cs="Calibri"/>
          <w:spacing w:val="2"/>
          <w:sz w:val="21"/>
          <w:szCs w:val="21"/>
        </w:rPr>
        <w:t xml:space="preserve">     O</w:t>
      </w:r>
      <w:r>
        <w:rPr>
          <w:rFonts w:cs="Calibri"/>
          <w:spacing w:val="-3"/>
          <w:sz w:val="21"/>
          <w:szCs w:val="21"/>
        </w:rPr>
        <w:t>f</w:t>
      </w:r>
      <w:r>
        <w:rPr>
          <w:rFonts w:cs="Calibri"/>
          <w:spacing w:val="3"/>
          <w:sz w:val="21"/>
          <w:szCs w:val="21"/>
        </w:rPr>
        <w:t>i</w:t>
      </w:r>
      <w:r>
        <w:rPr>
          <w:rFonts w:cs="Calibri"/>
          <w:spacing w:val="-2"/>
          <w:sz w:val="21"/>
          <w:szCs w:val="21"/>
        </w:rPr>
        <w:t>c</w:t>
      </w:r>
      <w:r>
        <w:rPr>
          <w:rFonts w:cs="Calibri"/>
          <w:spacing w:val="1"/>
          <w:sz w:val="21"/>
          <w:szCs w:val="21"/>
        </w:rPr>
        <w:t>i</w:t>
      </w:r>
      <w:r>
        <w:rPr>
          <w:rFonts w:cs="Calibri"/>
          <w:spacing w:val="-2"/>
          <w:sz w:val="21"/>
          <w:szCs w:val="21"/>
        </w:rPr>
        <w:t>a</w:t>
      </w:r>
      <w:r>
        <w:rPr>
          <w:rFonts w:cs="Calibri"/>
          <w:sz w:val="21"/>
          <w:szCs w:val="21"/>
        </w:rPr>
        <w:t>l</w:t>
      </w:r>
      <w:r>
        <w:rPr>
          <w:rFonts w:ascii="Times New Roman" w:hAnsi="Times New Roman"/>
          <w:spacing w:val="7"/>
          <w:sz w:val="21"/>
          <w:szCs w:val="21"/>
        </w:rPr>
        <w:t xml:space="preserve"> </w:t>
      </w:r>
      <w:r>
        <w:rPr>
          <w:rFonts w:cs="Calibri"/>
          <w:sz w:val="21"/>
          <w:szCs w:val="21"/>
        </w:rPr>
        <w:t>de</w:t>
      </w:r>
      <w:r>
        <w:rPr>
          <w:rFonts w:ascii="Times New Roman" w:hAnsi="Times New Roman"/>
          <w:spacing w:val="-2"/>
          <w:sz w:val="21"/>
          <w:szCs w:val="21"/>
        </w:rPr>
        <w:t xml:space="preserve"> </w:t>
      </w:r>
      <w:r>
        <w:rPr>
          <w:rFonts w:cs="Calibri"/>
          <w:spacing w:val="1"/>
          <w:sz w:val="21"/>
          <w:szCs w:val="21"/>
        </w:rPr>
        <w:t>I</w:t>
      </w:r>
      <w:r>
        <w:rPr>
          <w:rFonts w:cs="Calibri"/>
          <w:sz w:val="21"/>
          <w:szCs w:val="21"/>
        </w:rPr>
        <w:t>n</w:t>
      </w:r>
      <w:r>
        <w:rPr>
          <w:rFonts w:cs="Calibri"/>
          <w:spacing w:val="-1"/>
          <w:sz w:val="21"/>
          <w:szCs w:val="21"/>
        </w:rPr>
        <w:t>fo</w:t>
      </w:r>
      <w:r>
        <w:rPr>
          <w:rFonts w:cs="Calibri"/>
          <w:sz w:val="21"/>
          <w:szCs w:val="21"/>
        </w:rPr>
        <w:t>r</w:t>
      </w:r>
      <w:r>
        <w:rPr>
          <w:rFonts w:cs="Calibri"/>
          <w:spacing w:val="1"/>
          <w:sz w:val="21"/>
          <w:szCs w:val="21"/>
        </w:rPr>
        <w:t>m</w:t>
      </w:r>
      <w:r>
        <w:rPr>
          <w:rFonts w:cs="Calibri"/>
          <w:spacing w:val="-2"/>
          <w:sz w:val="21"/>
          <w:szCs w:val="21"/>
        </w:rPr>
        <w:t>ac</w:t>
      </w:r>
      <w:r>
        <w:rPr>
          <w:rFonts w:cs="Calibri"/>
          <w:spacing w:val="1"/>
          <w:sz w:val="21"/>
          <w:szCs w:val="21"/>
        </w:rPr>
        <w:t>i</w:t>
      </w:r>
      <w:r>
        <w:rPr>
          <w:rFonts w:cs="Calibri"/>
          <w:spacing w:val="-1"/>
          <w:sz w:val="21"/>
          <w:szCs w:val="21"/>
        </w:rPr>
        <w:t>ó</w:t>
      </w:r>
      <w:r>
        <w:rPr>
          <w:rFonts w:cs="Calibri"/>
          <w:sz w:val="21"/>
          <w:szCs w:val="21"/>
        </w:rPr>
        <w:t>n</w:t>
      </w:r>
      <w:r>
        <w:rPr>
          <w:rFonts w:ascii="Times New Roman" w:hAnsi="Times New Roman"/>
          <w:spacing w:val="16"/>
          <w:sz w:val="21"/>
          <w:szCs w:val="21"/>
        </w:rPr>
        <w:t xml:space="preserve"> </w:t>
      </w:r>
      <w:r>
        <w:rPr>
          <w:rFonts w:cs="Calibri"/>
          <w:spacing w:val="3"/>
          <w:w w:val="102"/>
          <w:sz w:val="21"/>
          <w:szCs w:val="21"/>
        </w:rPr>
        <w:t>ILP</w:t>
      </w:r>
    </w:p>
    <w:p w:rsidR="004D637E" w:rsidRDefault="004D637E" w:rsidP="004B180F">
      <w:pPr>
        <w:jc w:val="center"/>
      </w:pPr>
      <w:bookmarkStart w:id="0" w:name="_GoBack"/>
      <w:bookmarkEnd w:id="0"/>
    </w:p>
    <w:sectPr w:rsidR="004D637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6A3" w:rsidRDefault="00D616A3" w:rsidP="00CE7648">
      <w:r>
        <w:separator/>
      </w:r>
    </w:p>
  </w:endnote>
  <w:endnote w:type="continuationSeparator" w:id="0">
    <w:p w:rsidR="00D616A3" w:rsidRDefault="00D616A3" w:rsidP="00CE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6A3" w:rsidRDefault="00D616A3" w:rsidP="00CE7648">
      <w:r>
        <w:separator/>
      </w:r>
    </w:p>
  </w:footnote>
  <w:footnote w:type="continuationSeparator" w:id="0">
    <w:p w:rsidR="00D616A3" w:rsidRDefault="00D616A3" w:rsidP="00CE7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48" w:rsidRPr="001E0A3B" w:rsidRDefault="00CE7648" w:rsidP="00CE7648">
    <w:pPr>
      <w:widowControl w:val="0"/>
      <w:autoSpaceDE w:val="0"/>
      <w:autoSpaceDN w:val="0"/>
      <w:adjustRightInd w:val="0"/>
      <w:spacing w:line="453" w:lineRule="exact"/>
      <w:ind w:left="20" w:right="-64"/>
      <w:jc w:val="center"/>
      <w:rPr>
        <w:rFonts w:cs="Calibri"/>
        <w:sz w:val="28"/>
        <w:szCs w:val="28"/>
      </w:rPr>
    </w:pPr>
    <w:r>
      <w:rPr>
        <w:noProof/>
        <w:lang w:eastAsia="es-SV"/>
      </w:rPr>
      <w:drawing>
        <wp:anchor distT="0" distB="0" distL="0" distR="0" simplePos="0" relativeHeight="251659264" behindDoc="0" locked="0" layoutInCell="1" allowOverlap="1" wp14:anchorId="35FF9838" wp14:editId="297F718A">
          <wp:simplePos x="0" y="0"/>
          <wp:positionH relativeFrom="page">
            <wp:posOffset>575310</wp:posOffset>
          </wp:positionH>
          <wp:positionV relativeFrom="page">
            <wp:posOffset>347345</wp:posOffset>
          </wp:positionV>
          <wp:extent cx="1595120" cy="760095"/>
          <wp:effectExtent l="0" t="0" r="5080"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76009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spacing w:val="2"/>
        <w:position w:val="2"/>
        <w:sz w:val="28"/>
        <w:szCs w:val="28"/>
      </w:rPr>
      <w:t>INSTITUTO DE LEGALIZACIÓN DE LA PROPIEDAD</w:t>
    </w:r>
  </w:p>
  <w:p w:rsidR="00CE7648" w:rsidRPr="001E0A3B" w:rsidRDefault="00D616A3" w:rsidP="00CE7648">
    <w:pPr>
      <w:widowControl w:val="0"/>
      <w:autoSpaceDE w:val="0"/>
      <w:autoSpaceDN w:val="0"/>
      <w:adjustRightInd w:val="0"/>
      <w:spacing w:before="10"/>
      <w:ind w:left="61" w:right="-23"/>
      <w:jc w:val="center"/>
      <w:rPr>
        <w:rFonts w:cs="Calibri"/>
        <w:sz w:val="28"/>
        <w:szCs w:val="28"/>
      </w:rPr>
    </w:pPr>
    <w:hyperlink r:id="rId2" w:history="1">
      <w:r w:rsidR="00CE7648" w:rsidRPr="00C856E0">
        <w:rPr>
          <w:rStyle w:val="Hipervnculo"/>
          <w:rFonts w:cs="Calibri"/>
          <w:b/>
          <w:bCs/>
          <w:spacing w:val="-1"/>
          <w:w w:val="101"/>
          <w:sz w:val="28"/>
          <w:szCs w:val="28"/>
        </w:rPr>
        <w:t>W</w:t>
      </w:r>
      <w:r w:rsidR="00CE7648" w:rsidRPr="00C856E0">
        <w:rPr>
          <w:rStyle w:val="Hipervnculo"/>
          <w:rFonts w:cs="Calibri"/>
          <w:b/>
          <w:bCs/>
          <w:spacing w:val="1"/>
          <w:w w:val="101"/>
          <w:sz w:val="28"/>
          <w:szCs w:val="28"/>
        </w:rPr>
        <w:t>W</w:t>
      </w:r>
      <w:r w:rsidR="00CE7648" w:rsidRPr="00C856E0">
        <w:rPr>
          <w:rStyle w:val="Hipervnculo"/>
          <w:rFonts w:cs="Calibri"/>
          <w:b/>
          <w:bCs/>
          <w:spacing w:val="-3"/>
          <w:w w:val="101"/>
          <w:sz w:val="28"/>
          <w:szCs w:val="28"/>
        </w:rPr>
        <w:t>W</w:t>
      </w:r>
      <w:r w:rsidR="00CE7648" w:rsidRPr="00C856E0">
        <w:rPr>
          <w:rStyle w:val="Hipervnculo"/>
          <w:rFonts w:cs="Calibri"/>
          <w:b/>
          <w:bCs/>
          <w:spacing w:val="3"/>
          <w:w w:val="101"/>
          <w:sz w:val="28"/>
          <w:szCs w:val="28"/>
        </w:rPr>
        <w:t>.</w:t>
      </w:r>
      <w:r w:rsidR="00CE7648" w:rsidRPr="00C856E0">
        <w:rPr>
          <w:rStyle w:val="Hipervnculo"/>
          <w:rFonts w:cs="Calibri"/>
          <w:b/>
          <w:bCs/>
          <w:spacing w:val="1"/>
          <w:w w:val="101"/>
          <w:sz w:val="28"/>
          <w:szCs w:val="28"/>
        </w:rPr>
        <w:t>I</w:t>
      </w:r>
      <w:r w:rsidR="00CE7648" w:rsidRPr="00C856E0">
        <w:rPr>
          <w:rStyle w:val="Hipervnculo"/>
          <w:rFonts w:cs="Calibri"/>
          <w:b/>
          <w:bCs/>
          <w:spacing w:val="2"/>
          <w:w w:val="101"/>
          <w:sz w:val="28"/>
          <w:szCs w:val="28"/>
        </w:rPr>
        <w:t>LP</w:t>
      </w:r>
      <w:r w:rsidR="00CE7648" w:rsidRPr="00C856E0">
        <w:rPr>
          <w:rStyle w:val="Hipervnculo"/>
          <w:rFonts w:cs="Calibri"/>
          <w:b/>
          <w:bCs/>
          <w:spacing w:val="1"/>
          <w:w w:val="101"/>
          <w:sz w:val="28"/>
          <w:szCs w:val="28"/>
        </w:rPr>
        <w:t>.G</w:t>
      </w:r>
      <w:r w:rsidR="00CE7648" w:rsidRPr="00C856E0">
        <w:rPr>
          <w:rStyle w:val="Hipervnculo"/>
          <w:rFonts w:cs="Calibri"/>
          <w:b/>
          <w:bCs/>
          <w:spacing w:val="-3"/>
          <w:w w:val="101"/>
          <w:sz w:val="28"/>
          <w:szCs w:val="28"/>
        </w:rPr>
        <w:t>O</w:t>
      </w:r>
      <w:r w:rsidR="00CE7648" w:rsidRPr="00C856E0">
        <w:rPr>
          <w:rStyle w:val="Hipervnculo"/>
          <w:rFonts w:cs="Calibri"/>
          <w:b/>
          <w:bCs/>
          <w:spacing w:val="6"/>
          <w:w w:val="101"/>
          <w:sz w:val="28"/>
          <w:szCs w:val="28"/>
        </w:rPr>
        <w:t>B</w:t>
      </w:r>
      <w:r w:rsidR="00CE7648" w:rsidRPr="00C856E0">
        <w:rPr>
          <w:rStyle w:val="Hipervnculo"/>
          <w:rFonts w:cs="Calibri"/>
          <w:b/>
          <w:bCs/>
          <w:spacing w:val="-1"/>
          <w:w w:val="101"/>
          <w:sz w:val="28"/>
          <w:szCs w:val="28"/>
        </w:rPr>
        <w:t>.</w:t>
      </w:r>
      <w:r w:rsidR="00CE7648" w:rsidRPr="00C856E0">
        <w:rPr>
          <w:rStyle w:val="Hipervnculo"/>
          <w:rFonts w:cs="Calibri"/>
          <w:b/>
          <w:bCs/>
          <w:w w:val="101"/>
          <w:sz w:val="28"/>
          <w:szCs w:val="28"/>
        </w:rPr>
        <w:t>SV</w:t>
      </w:r>
    </w:hyperlink>
  </w:p>
  <w:p w:rsidR="00CE7648" w:rsidRDefault="00CE76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4531B"/>
    <w:multiLevelType w:val="hybridMultilevel"/>
    <w:tmpl w:val="860CE9EE"/>
    <w:lvl w:ilvl="0" w:tplc="6FBE3E82">
      <w:start w:val="1"/>
      <w:numFmt w:val="decimal"/>
      <w:lvlText w:val="%1."/>
      <w:lvlJc w:val="left"/>
      <w:pPr>
        <w:ind w:left="1080" w:hanging="360"/>
      </w:pPr>
      <w:rPr>
        <w:rFonts w:ascii="Helvetica" w:hAnsi="Helvetica" w:cs="Helvetica" w:hint="default"/>
        <w:color w:val="333333"/>
        <w:sz w:val="21"/>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0AD37C9"/>
    <w:multiLevelType w:val="hybridMultilevel"/>
    <w:tmpl w:val="658E82DE"/>
    <w:lvl w:ilvl="0" w:tplc="B820521C">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E3267FF"/>
    <w:multiLevelType w:val="hybridMultilevel"/>
    <w:tmpl w:val="95BE0486"/>
    <w:lvl w:ilvl="0" w:tplc="E9DC5948">
      <w:start w:val="1"/>
      <w:numFmt w:val="decimal"/>
      <w:lvlText w:val="%1."/>
      <w:lvlJc w:val="left"/>
      <w:pPr>
        <w:ind w:left="1125" w:hanging="360"/>
      </w:pPr>
      <w:rPr>
        <w:rFonts w:hint="default"/>
      </w:r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3" w15:restartNumberingAfterBreak="0">
    <w:nsid w:val="30D33DE1"/>
    <w:multiLevelType w:val="hybridMultilevel"/>
    <w:tmpl w:val="EB20AE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E48011F"/>
    <w:multiLevelType w:val="hybridMultilevel"/>
    <w:tmpl w:val="252EB3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A3A5145"/>
    <w:multiLevelType w:val="hybridMultilevel"/>
    <w:tmpl w:val="95BE0486"/>
    <w:lvl w:ilvl="0" w:tplc="E9DC5948">
      <w:start w:val="1"/>
      <w:numFmt w:val="decimal"/>
      <w:lvlText w:val="%1."/>
      <w:lvlJc w:val="left"/>
      <w:pPr>
        <w:ind w:left="1125" w:hanging="360"/>
      </w:pPr>
      <w:rPr>
        <w:rFonts w:hint="default"/>
      </w:r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6" w15:restartNumberingAfterBreak="0">
    <w:nsid w:val="51921F4C"/>
    <w:multiLevelType w:val="hybridMultilevel"/>
    <w:tmpl w:val="0FC437A0"/>
    <w:lvl w:ilvl="0" w:tplc="8D9AF1B4">
      <w:start w:val="1"/>
      <w:numFmt w:val="upperRoman"/>
      <w:lvlText w:val="%1."/>
      <w:lvlJc w:val="left"/>
      <w:pPr>
        <w:ind w:left="765" w:hanging="720"/>
      </w:pPr>
      <w:rPr>
        <w:rFonts w:hint="default"/>
      </w:rPr>
    </w:lvl>
    <w:lvl w:ilvl="1" w:tplc="440A0019">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7" w15:restartNumberingAfterBreak="0">
    <w:nsid w:val="5CD77C72"/>
    <w:multiLevelType w:val="hybridMultilevel"/>
    <w:tmpl w:val="0FC437A0"/>
    <w:lvl w:ilvl="0" w:tplc="8D9AF1B4">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8" w15:restartNumberingAfterBreak="0">
    <w:nsid w:val="71715164"/>
    <w:multiLevelType w:val="hybridMultilevel"/>
    <w:tmpl w:val="ED70734C"/>
    <w:lvl w:ilvl="0" w:tplc="D986A4C0">
      <w:start w:val="1"/>
      <w:numFmt w:val="decimal"/>
      <w:lvlText w:val="%1."/>
      <w:lvlJc w:val="left"/>
      <w:pPr>
        <w:ind w:left="1485" w:hanging="360"/>
      </w:pPr>
      <w:rPr>
        <w:rFonts w:hint="default"/>
      </w:rPr>
    </w:lvl>
    <w:lvl w:ilvl="1" w:tplc="440A0019" w:tentative="1">
      <w:start w:val="1"/>
      <w:numFmt w:val="lowerLetter"/>
      <w:lvlText w:val="%2."/>
      <w:lvlJc w:val="left"/>
      <w:pPr>
        <w:ind w:left="2205" w:hanging="360"/>
      </w:pPr>
    </w:lvl>
    <w:lvl w:ilvl="2" w:tplc="440A001B" w:tentative="1">
      <w:start w:val="1"/>
      <w:numFmt w:val="lowerRoman"/>
      <w:lvlText w:val="%3."/>
      <w:lvlJc w:val="right"/>
      <w:pPr>
        <w:ind w:left="2925" w:hanging="180"/>
      </w:pPr>
    </w:lvl>
    <w:lvl w:ilvl="3" w:tplc="440A000F" w:tentative="1">
      <w:start w:val="1"/>
      <w:numFmt w:val="decimal"/>
      <w:lvlText w:val="%4."/>
      <w:lvlJc w:val="left"/>
      <w:pPr>
        <w:ind w:left="3645" w:hanging="360"/>
      </w:pPr>
    </w:lvl>
    <w:lvl w:ilvl="4" w:tplc="440A0019" w:tentative="1">
      <w:start w:val="1"/>
      <w:numFmt w:val="lowerLetter"/>
      <w:lvlText w:val="%5."/>
      <w:lvlJc w:val="left"/>
      <w:pPr>
        <w:ind w:left="4365" w:hanging="360"/>
      </w:pPr>
    </w:lvl>
    <w:lvl w:ilvl="5" w:tplc="440A001B" w:tentative="1">
      <w:start w:val="1"/>
      <w:numFmt w:val="lowerRoman"/>
      <w:lvlText w:val="%6."/>
      <w:lvlJc w:val="right"/>
      <w:pPr>
        <w:ind w:left="5085" w:hanging="180"/>
      </w:pPr>
    </w:lvl>
    <w:lvl w:ilvl="6" w:tplc="440A000F" w:tentative="1">
      <w:start w:val="1"/>
      <w:numFmt w:val="decimal"/>
      <w:lvlText w:val="%7."/>
      <w:lvlJc w:val="left"/>
      <w:pPr>
        <w:ind w:left="5805" w:hanging="360"/>
      </w:pPr>
    </w:lvl>
    <w:lvl w:ilvl="7" w:tplc="440A0019" w:tentative="1">
      <w:start w:val="1"/>
      <w:numFmt w:val="lowerLetter"/>
      <w:lvlText w:val="%8."/>
      <w:lvlJc w:val="left"/>
      <w:pPr>
        <w:ind w:left="6525" w:hanging="360"/>
      </w:pPr>
    </w:lvl>
    <w:lvl w:ilvl="8" w:tplc="440A001B" w:tentative="1">
      <w:start w:val="1"/>
      <w:numFmt w:val="lowerRoman"/>
      <w:lvlText w:val="%9."/>
      <w:lvlJc w:val="right"/>
      <w:pPr>
        <w:ind w:left="7245" w:hanging="180"/>
      </w:pPr>
    </w:lvl>
  </w:abstractNum>
  <w:num w:numId="1">
    <w:abstractNumId w:val="6"/>
  </w:num>
  <w:num w:numId="2">
    <w:abstractNumId w:val="7"/>
  </w:num>
  <w:num w:numId="3">
    <w:abstractNumId w:val="5"/>
  </w:num>
  <w:num w:numId="4">
    <w:abstractNumId w:val="2"/>
  </w:num>
  <w:num w:numId="5">
    <w:abstractNumId w:val="8"/>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95"/>
    <w:rsid w:val="00026EAC"/>
    <w:rsid w:val="002271CB"/>
    <w:rsid w:val="002E47B7"/>
    <w:rsid w:val="003C24E2"/>
    <w:rsid w:val="00496A01"/>
    <w:rsid w:val="004B180F"/>
    <w:rsid w:val="004D637E"/>
    <w:rsid w:val="005C6FFB"/>
    <w:rsid w:val="007E3DC0"/>
    <w:rsid w:val="00807C95"/>
    <w:rsid w:val="00851B8C"/>
    <w:rsid w:val="00864137"/>
    <w:rsid w:val="00907831"/>
    <w:rsid w:val="00925858"/>
    <w:rsid w:val="009263B3"/>
    <w:rsid w:val="00962A06"/>
    <w:rsid w:val="00A94069"/>
    <w:rsid w:val="00AE27B6"/>
    <w:rsid w:val="00BD25EF"/>
    <w:rsid w:val="00C16B8D"/>
    <w:rsid w:val="00CE7648"/>
    <w:rsid w:val="00D501DE"/>
    <w:rsid w:val="00D616A3"/>
    <w:rsid w:val="00D640DA"/>
    <w:rsid w:val="00EF381E"/>
    <w:rsid w:val="00F55D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1D0A3-F138-42BD-9163-C58FD865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95"/>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7C95"/>
    <w:pPr>
      <w:spacing w:after="160" w:line="259"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CE7648"/>
    <w:pPr>
      <w:tabs>
        <w:tab w:val="center" w:pos="4419"/>
        <w:tab w:val="right" w:pos="8838"/>
      </w:tabs>
    </w:pPr>
  </w:style>
  <w:style w:type="character" w:customStyle="1" w:styleId="EncabezadoCar">
    <w:name w:val="Encabezado Car"/>
    <w:basedOn w:val="Fuentedeprrafopredeter"/>
    <w:link w:val="Encabezado"/>
    <w:uiPriority w:val="99"/>
    <w:rsid w:val="00CE7648"/>
  </w:style>
  <w:style w:type="paragraph" w:styleId="Piedepgina">
    <w:name w:val="footer"/>
    <w:basedOn w:val="Normal"/>
    <w:link w:val="PiedepginaCar"/>
    <w:uiPriority w:val="99"/>
    <w:unhideWhenUsed/>
    <w:rsid w:val="00CE7648"/>
    <w:pPr>
      <w:tabs>
        <w:tab w:val="center" w:pos="4419"/>
        <w:tab w:val="right" w:pos="8838"/>
      </w:tabs>
    </w:pPr>
  </w:style>
  <w:style w:type="character" w:customStyle="1" w:styleId="PiedepginaCar">
    <w:name w:val="Pie de página Car"/>
    <w:basedOn w:val="Fuentedeprrafopredeter"/>
    <w:link w:val="Piedepgina"/>
    <w:uiPriority w:val="99"/>
    <w:rsid w:val="00CE7648"/>
  </w:style>
  <w:style w:type="character" w:styleId="Hipervnculo">
    <w:name w:val="Hyperlink"/>
    <w:rsid w:val="00CE7648"/>
    <w:rPr>
      <w:rFonts w:cs="Times New Roman"/>
      <w:color w:val="0000FF"/>
      <w:u w:val="single"/>
    </w:rPr>
  </w:style>
  <w:style w:type="character" w:customStyle="1" w:styleId="apple-converted-space">
    <w:name w:val="apple-converted-space"/>
    <w:basedOn w:val="Fuentedeprrafopredeter"/>
    <w:rsid w:val="00C16B8D"/>
  </w:style>
  <w:style w:type="paragraph" w:styleId="Textodeglobo">
    <w:name w:val="Balloon Text"/>
    <w:basedOn w:val="Normal"/>
    <w:link w:val="TextodegloboCar"/>
    <w:uiPriority w:val="99"/>
    <w:semiHidden/>
    <w:unhideWhenUsed/>
    <w:rsid w:val="002271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1CB"/>
    <w:rPr>
      <w:rFonts w:ascii="Segoe UI" w:hAnsi="Segoe UI" w:cs="Segoe UI"/>
      <w:sz w:val="18"/>
      <w:szCs w:val="18"/>
    </w:rPr>
  </w:style>
  <w:style w:type="paragraph" w:styleId="NormalWeb">
    <w:name w:val="Normal (Web)"/>
    <w:basedOn w:val="Normal"/>
    <w:uiPriority w:val="99"/>
    <w:semiHidden/>
    <w:unhideWhenUsed/>
    <w:rsid w:val="00907831"/>
    <w:pPr>
      <w:spacing w:before="100" w:beforeAutospacing="1" w:after="100" w:afterAutospacing="1"/>
    </w:pPr>
    <w:rPr>
      <w:rFonts w:ascii="Times New Roman" w:hAnsi="Times New Roman" w:cs="Times New Roman"/>
      <w:sz w:val="24"/>
      <w:szCs w:val="24"/>
      <w:lang w:eastAsia="es-SV"/>
    </w:rPr>
  </w:style>
  <w:style w:type="table" w:styleId="Tablaconcuadrcula">
    <w:name w:val="Table Grid"/>
    <w:basedOn w:val="Tablanormal"/>
    <w:uiPriority w:val="39"/>
    <w:rsid w:val="002E4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740562">
      <w:bodyDiv w:val="1"/>
      <w:marLeft w:val="0"/>
      <w:marRight w:val="0"/>
      <w:marTop w:val="0"/>
      <w:marBottom w:val="0"/>
      <w:divBdr>
        <w:top w:val="none" w:sz="0" w:space="0" w:color="auto"/>
        <w:left w:val="none" w:sz="0" w:space="0" w:color="auto"/>
        <w:bottom w:val="none" w:sz="0" w:space="0" w:color="auto"/>
        <w:right w:val="none" w:sz="0" w:space="0" w:color="auto"/>
      </w:divBdr>
    </w:div>
    <w:div w:id="576791757">
      <w:bodyDiv w:val="1"/>
      <w:marLeft w:val="0"/>
      <w:marRight w:val="0"/>
      <w:marTop w:val="0"/>
      <w:marBottom w:val="0"/>
      <w:divBdr>
        <w:top w:val="none" w:sz="0" w:space="0" w:color="auto"/>
        <w:left w:val="none" w:sz="0" w:space="0" w:color="auto"/>
        <w:bottom w:val="none" w:sz="0" w:space="0" w:color="auto"/>
        <w:right w:val="none" w:sz="0" w:space="0" w:color="auto"/>
      </w:divBdr>
    </w:div>
    <w:div w:id="954480353">
      <w:bodyDiv w:val="1"/>
      <w:marLeft w:val="0"/>
      <w:marRight w:val="0"/>
      <w:marTop w:val="0"/>
      <w:marBottom w:val="0"/>
      <w:divBdr>
        <w:top w:val="none" w:sz="0" w:space="0" w:color="auto"/>
        <w:left w:val="none" w:sz="0" w:space="0" w:color="auto"/>
        <w:bottom w:val="none" w:sz="0" w:space="0" w:color="auto"/>
        <w:right w:val="none" w:sz="0" w:space="0" w:color="auto"/>
      </w:divBdr>
    </w:div>
    <w:div w:id="1371806581">
      <w:bodyDiv w:val="1"/>
      <w:marLeft w:val="0"/>
      <w:marRight w:val="0"/>
      <w:marTop w:val="0"/>
      <w:marBottom w:val="0"/>
      <w:divBdr>
        <w:top w:val="none" w:sz="0" w:space="0" w:color="auto"/>
        <w:left w:val="none" w:sz="0" w:space="0" w:color="auto"/>
        <w:bottom w:val="none" w:sz="0" w:space="0" w:color="auto"/>
        <w:right w:val="none" w:sz="0" w:space="0" w:color="auto"/>
      </w:divBdr>
    </w:div>
    <w:div w:id="159292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LP.GOB.SV"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Alfaro</dc:creator>
  <cp:keywords/>
  <dc:description/>
  <cp:lastModifiedBy>Mariam Alfaro</cp:lastModifiedBy>
  <cp:revision>3</cp:revision>
  <cp:lastPrinted>2016-07-14T22:33:00Z</cp:lastPrinted>
  <dcterms:created xsi:type="dcterms:W3CDTF">2016-11-23T20:11:00Z</dcterms:created>
  <dcterms:modified xsi:type="dcterms:W3CDTF">2018-01-08T21:27:00Z</dcterms:modified>
</cp:coreProperties>
</file>