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38" w:rsidRDefault="00132A38" w:rsidP="00807C95">
      <w:pPr>
        <w:jc w:val="center"/>
        <w:rPr>
          <w:rFonts w:cs="Calibri"/>
          <w:b/>
          <w:bCs/>
          <w:spacing w:val="-1"/>
          <w:sz w:val="32"/>
        </w:rPr>
      </w:pPr>
    </w:p>
    <w:p w:rsidR="00132A38" w:rsidRPr="00E66C92" w:rsidRDefault="00132A38" w:rsidP="00132A38">
      <w:pPr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132A38" w:rsidRDefault="00132A38" w:rsidP="00807C95">
      <w:pPr>
        <w:jc w:val="center"/>
        <w:rPr>
          <w:rFonts w:cs="Calibri"/>
          <w:b/>
          <w:bCs/>
          <w:spacing w:val="-1"/>
          <w:sz w:val="32"/>
        </w:rPr>
      </w:pPr>
      <w:bookmarkStart w:id="0" w:name="_GoBack"/>
      <w:bookmarkEnd w:id="0"/>
    </w:p>
    <w:p w:rsidR="00807C95" w:rsidRPr="00F425A5" w:rsidRDefault="00807C95" w:rsidP="00807C95">
      <w:pPr>
        <w:jc w:val="center"/>
        <w:rPr>
          <w:rFonts w:cs="Calibri"/>
          <w:b/>
          <w:bCs/>
          <w:spacing w:val="-1"/>
          <w:sz w:val="32"/>
        </w:rPr>
      </w:pPr>
      <w:r w:rsidRPr="00F425A5">
        <w:rPr>
          <w:rFonts w:cs="Calibri"/>
          <w:b/>
          <w:bCs/>
          <w:spacing w:val="-1"/>
          <w:sz w:val="32"/>
        </w:rPr>
        <w:t>RESOLUCI</w:t>
      </w:r>
      <w:r>
        <w:rPr>
          <w:rFonts w:cs="Calibri"/>
          <w:b/>
          <w:bCs/>
          <w:spacing w:val="-1"/>
          <w:sz w:val="32"/>
        </w:rPr>
        <w:t>Ó</w:t>
      </w:r>
      <w:r w:rsidRPr="00F425A5">
        <w:rPr>
          <w:rFonts w:cs="Calibri"/>
          <w:b/>
          <w:bCs/>
          <w:spacing w:val="-1"/>
          <w:sz w:val="32"/>
        </w:rPr>
        <w:t>N DE ENTREGA DE INFORMACI</w:t>
      </w:r>
      <w:r>
        <w:rPr>
          <w:rFonts w:cs="Calibri"/>
          <w:b/>
          <w:bCs/>
          <w:spacing w:val="-1"/>
          <w:sz w:val="32"/>
        </w:rPr>
        <w:t>Ó</w:t>
      </w:r>
      <w:r w:rsidRPr="00F425A5">
        <w:rPr>
          <w:rFonts w:cs="Calibri"/>
          <w:b/>
          <w:bCs/>
          <w:spacing w:val="-1"/>
          <w:sz w:val="32"/>
        </w:rPr>
        <w:t>N</w:t>
      </w:r>
    </w:p>
    <w:p w:rsidR="00807C95" w:rsidRDefault="00807C95" w:rsidP="00807C95"/>
    <w:p w:rsidR="00807C95" w:rsidRDefault="00807C95" w:rsidP="00653F5C">
      <w:pPr>
        <w:spacing w:line="276" w:lineRule="auto"/>
        <w:jc w:val="both"/>
      </w:pPr>
      <w:r w:rsidRPr="009047C5">
        <w:t>En la Oficina de Información y Respuesta del Instituto de Legalización de la Propiedad</w:t>
      </w:r>
      <w:r>
        <w:t xml:space="preserve"> (ILP)</w:t>
      </w:r>
      <w:r w:rsidRPr="009047C5">
        <w:t xml:space="preserve">, San Salvador, a las </w:t>
      </w:r>
      <w:r w:rsidR="00653F5C">
        <w:t>3</w:t>
      </w:r>
      <w:r w:rsidR="00A94069">
        <w:t>:</w:t>
      </w:r>
      <w:r w:rsidR="00653F5C">
        <w:t>0</w:t>
      </w:r>
      <w:r w:rsidR="00D501DE">
        <w:t>0</w:t>
      </w:r>
      <w:r w:rsidRPr="00717D58">
        <w:t xml:space="preserve"> horas del día </w:t>
      </w:r>
      <w:r w:rsidR="00812A0C">
        <w:t>24</w:t>
      </w:r>
      <w:r w:rsidRPr="009047C5">
        <w:t xml:space="preserve"> de </w:t>
      </w:r>
      <w:r w:rsidR="00812A0C">
        <w:t>octu</w:t>
      </w:r>
      <w:r w:rsidR="00907831">
        <w:t>bre</w:t>
      </w:r>
      <w:r w:rsidRPr="009047C5">
        <w:t xml:space="preserve"> de 2016. La suscrita oficial de información, CONSIDERANDO:</w:t>
      </w:r>
    </w:p>
    <w:p w:rsidR="00812A0C" w:rsidRPr="009047C5" w:rsidRDefault="00812A0C" w:rsidP="00653F5C">
      <w:pPr>
        <w:spacing w:line="276" w:lineRule="auto"/>
        <w:jc w:val="both"/>
      </w:pPr>
    </w:p>
    <w:p w:rsidR="00807C95" w:rsidRPr="009047C5" w:rsidRDefault="00807C95" w:rsidP="00653F5C">
      <w:pPr>
        <w:spacing w:line="276" w:lineRule="auto"/>
        <w:jc w:val="both"/>
      </w:pPr>
    </w:p>
    <w:p w:rsidR="00962A06" w:rsidRDefault="00807C95" w:rsidP="00653F5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9047C5">
        <w:rPr>
          <w:rFonts w:asciiTheme="minorHAnsi" w:hAnsiTheme="minorHAnsi"/>
          <w:sz w:val="24"/>
          <w:szCs w:val="24"/>
        </w:rPr>
        <w:t xml:space="preserve">Que el día </w:t>
      </w:r>
      <w:r w:rsidR="00812A0C">
        <w:rPr>
          <w:rFonts w:asciiTheme="minorHAnsi" w:hAnsiTheme="minorHAnsi"/>
          <w:sz w:val="24"/>
          <w:szCs w:val="24"/>
        </w:rPr>
        <w:t>veinte</w:t>
      </w:r>
      <w:r w:rsidRPr="009047C5">
        <w:rPr>
          <w:rFonts w:asciiTheme="minorHAnsi" w:hAnsiTheme="minorHAnsi"/>
          <w:sz w:val="24"/>
          <w:szCs w:val="24"/>
        </w:rPr>
        <w:t xml:space="preserve"> del mes de </w:t>
      </w:r>
      <w:r w:rsidR="00812A0C">
        <w:rPr>
          <w:rFonts w:asciiTheme="minorHAnsi" w:hAnsiTheme="minorHAnsi"/>
          <w:sz w:val="24"/>
          <w:szCs w:val="24"/>
        </w:rPr>
        <w:t>octubre</w:t>
      </w:r>
      <w:r w:rsidR="00851B8C">
        <w:rPr>
          <w:rFonts w:asciiTheme="minorHAnsi" w:hAnsiTheme="minorHAnsi"/>
          <w:sz w:val="24"/>
          <w:szCs w:val="24"/>
        </w:rPr>
        <w:t xml:space="preserve"> </w:t>
      </w:r>
      <w:r w:rsidRPr="009047C5">
        <w:rPr>
          <w:rFonts w:asciiTheme="minorHAnsi" w:hAnsiTheme="minorHAnsi"/>
          <w:sz w:val="24"/>
          <w:szCs w:val="24"/>
        </w:rPr>
        <w:t xml:space="preserve">del año en curso, se recibió la solicitud de acceso </w:t>
      </w:r>
      <w:r w:rsidR="00851B8C">
        <w:rPr>
          <w:rFonts w:asciiTheme="minorHAnsi" w:hAnsiTheme="minorHAnsi"/>
          <w:sz w:val="24"/>
          <w:szCs w:val="24"/>
        </w:rPr>
        <w:t>a la</w:t>
      </w:r>
      <w:r w:rsidRPr="009047C5">
        <w:rPr>
          <w:rFonts w:asciiTheme="minorHAnsi" w:hAnsiTheme="minorHAnsi"/>
          <w:sz w:val="24"/>
          <w:szCs w:val="24"/>
        </w:rPr>
        <w:t xml:space="preserve"> información número </w:t>
      </w:r>
      <w:r w:rsidR="00812A0C">
        <w:rPr>
          <w:rFonts w:asciiTheme="minorHAnsi" w:hAnsiTheme="minorHAnsi"/>
          <w:sz w:val="24"/>
          <w:szCs w:val="24"/>
        </w:rPr>
        <w:t>quince, por parte del señor Jaime Alberto López</w:t>
      </w:r>
      <w:r w:rsidRPr="009047C5">
        <w:rPr>
          <w:rFonts w:asciiTheme="minorHAnsi" w:hAnsiTheme="minorHAnsi"/>
          <w:sz w:val="24"/>
          <w:szCs w:val="24"/>
        </w:rPr>
        <w:t xml:space="preserve">, </w:t>
      </w:r>
      <w:r w:rsidR="00812A0C">
        <w:rPr>
          <w:rFonts w:asciiTheme="minorHAnsi" w:hAnsiTheme="minorHAnsi"/>
          <w:sz w:val="24"/>
          <w:szCs w:val="24"/>
        </w:rPr>
        <w:t>del Centro de Asesoría Legal Anti Corrupción de El Salvador</w:t>
      </w:r>
      <w:r w:rsidR="00907831" w:rsidRPr="00907831">
        <w:rPr>
          <w:rFonts w:asciiTheme="minorHAnsi" w:hAnsiTheme="minorHAnsi"/>
          <w:sz w:val="24"/>
          <w:szCs w:val="24"/>
        </w:rPr>
        <w:t xml:space="preserve">, </w:t>
      </w:r>
      <w:r w:rsidRPr="009047C5">
        <w:rPr>
          <w:rFonts w:asciiTheme="minorHAnsi" w:hAnsiTheme="minorHAnsi"/>
          <w:sz w:val="24"/>
          <w:szCs w:val="24"/>
        </w:rPr>
        <w:t xml:space="preserve">quien solicitó: </w:t>
      </w:r>
    </w:p>
    <w:p w:rsidR="00812A0C" w:rsidRDefault="00812A0C" w:rsidP="00653F5C">
      <w:pPr>
        <w:pStyle w:val="Prrafodelista"/>
        <w:spacing w:line="276" w:lineRule="auto"/>
        <w:ind w:left="765"/>
        <w:jc w:val="both"/>
        <w:rPr>
          <w:rFonts w:asciiTheme="minorHAnsi" w:hAnsiTheme="minorHAnsi"/>
          <w:sz w:val="24"/>
          <w:szCs w:val="24"/>
        </w:rPr>
      </w:pPr>
    </w:p>
    <w:p w:rsidR="00812A0C" w:rsidRPr="00653F5C" w:rsidRDefault="00812A0C" w:rsidP="00653F5C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53F5C">
        <w:rPr>
          <w:rFonts w:asciiTheme="minorHAnsi" w:hAnsiTheme="minorHAnsi"/>
          <w:sz w:val="24"/>
          <w:szCs w:val="24"/>
        </w:rPr>
        <w:t>Copia de los contratos de pólizas de seguro médico para funcionarios y empleados de esa institución, financiados con cargo al presupuesto institucional de 2016.</w:t>
      </w:r>
    </w:p>
    <w:p w:rsidR="00907831" w:rsidRPr="00653F5C" w:rsidRDefault="00812A0C" w:rsidP="00653F5C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653F5C">
        <w:rPr>
          <w:rFonts w:asciiTheme="minorHAnsi" w:hAnsiTheme="minorHAnsi"/>
          <w:sz w:val="24"/>
          <w:szCs w:val="24"/>
        </w:rPr>
        <w:t>Copia de documentos anexos a los contratos indicados en el literal anterior, que se refieran a condiciones para la prestación de los servicios de seguro médicos para los funcionarios y empleados de esa institución durante el presente ejercicio fiscal.</w:t>
      </w:r>
    </w:p>
    <w:p w:rsidR="00812A0C" w:rsidRPr="00653F5C" w:rsidRDefault="00812A0C" w:rsidP="00653F5C">
      <w:pPr>
        <w:pStyle w:val="Prrafodelista"/>
        <w:spacing w:line="276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653F5C" w:rsidRPr="00653F5C" w:rsidRDefault="00653F5C" w:rsidP="00653F5C">
      <w:pPr>
        <w:pStyle w:val="Prrafode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3F5C">
        <w:rPr>
          <w:sz w:val="24"/>
          <w:szCs w:val="24"/>
        </w:rPr>
        <w:t>La suscrita oficial de información habiendo analizada la solicitud en mención y por cumplir con los requisitos estipulados en el art. 66 de la LAIP y art. 54 del RELAIP, siendo legalmente notificada de la admisión de la solicitud e inicio del proceso de acceso a la información a partir de lo solicitado por el requirente.</w:t>
      </w:r>
    </w:p>
    <w:p w:rsidR="00653F5C" w:rsidRPr="002A22DF" w:rsidRDefault="00653F5C" w:rsidP="00653F5C">
      <w:pPr>
        <w:pStyle w:val="Prrafode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A22DF">
        <w:rPr>
          <w:sz w:val="24"/>
          <w:szCs w:val="24"/>
        </w:rPr>
        <w:t>Con base a las funciones que le corresponde al Oficial de Información, de</w:t>
      </w:r>
      <w:r>
        <w:rPr>
          <w:sz w:val="24"/>
          <w:szCs w:val="24"/>
        </w:rPr>
        <w:t xml:space="preserve"> conformidad</w:t>
      </w:r>
      <w:r w:rsidRPr="002A22DF">
        <w:rPr>
          <w:sz w:val="24"/>
          <w:szCs w:val="24"/>
        </w:rPr>
        <w:t xml:space="preserve"> al art. 50 literales d), i), y j) 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653F5C" w:rsidRDefault="00653F5C" w:rsidP="00653F5C">
      <w:pPr>
        <w:pStyle w:val="Prrafode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52100">
        <w:rPr>
          <w:sz w:val="24"/>
          <w:szCs w:val="24"/>
        </w:rPr>
        <w:t>Es de aclarar que el Oficial de Información es el vínculo entre el ente obligado y el solicitante, realizando las gestiones necesarias, para facilitar el acceso a la información.</w:t>
      </w:r>
    </w:p>
    <w:p w:rsidR="00807C95" w:rsidRPr="00D454FD" w:rsidRDefault="00807C95" w:rsidP="00653F5C">
      <w:pPr>
        <w:pStyle w:val="Prrafodelista"/>
        <w:spacing w:line="276" w:lineRule="auto"/>
        <w:rPr>
          <w:rFonts w:asciiTheme="minorHAnsi" w:hAnsiTheme="minorHAnsi"/>
          <w:sz w:val="24"/>
          <w:szCs w:val="24"/>
        </w:rPr>
      </w:pPr>
    </w:p>
    <w:p w:rsidR="00807C95" w:rsidRPr="00AC77CC" w:rsidRDefault="00807C95" w:rsidP="00653F5C">
      <w:pPr>
        <w:pStyle w:val="Prrafodelista"/>
        <w:spacing w:line="276" w:lineRule="auto"/>
        <w:jc w:val="both"/>
        <w:rPr>
          <w:sz w:val="24"/>
        </w:rPr>
      </w:pPr>
    </w:p>
    <w:p w:rsidR="00807C95" w:rsidRPr="00AC77CC" w:rsidRDefault="00807C95" w:rsidP="00653F5C">
      <w:pPr>
        <w:pStyle w:val="Prrafodelista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AC77CC">
        <w:rPr>
          <w:sz w:val="24"/>
        </w:rPr>
        <w:t xml:space="preserve">RESOLUCIÓN </w:t>
      </w:r>
    </w:p>
    <w:p w:rsidR="00653F5C" w:rsidRPr="00653F5C" w:rsidRDefault="00653F5C" w:rsidP="00653F5C">
      <w:pPr>
        <w:spacing w:line="276" w:lineRule="auto"/>
        <w:ind w:left="45"/>
        <w:jc w:val="both"/>
        <w:rPr>
          <w:sz w:val="24"/>
          <w:szCs w:val="24"/>
        </w:rPr>
      </w:pPr>
      <w:r w:rsidRPr="00653F5C">
        <w:rPr>
          <w:sz w:val="24"/>
          <w:szCs w:val="24"/>
        </w:rPr>
        <w:lastRenderedPageBreak/>
        <w:t xml:space="preserve">El derecho al acceso a la información, es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653F5C" w:rsidRPr="00653F5C" w:rsidRDefault="00653F5C" w:rsidP="00653F5C">
      <w:pPr>
        <w:spacing w:line="276" w:lineRule="auto"/>
        <w:jc w:val="both"/>
        <w:rPr>
          <w:sz w:val="24"/>
          <w:szCs w:val="24"/>
        </w:rPr>
      </w:pPr>
    </w:p>
    <w:p w:rsidR="00653F5C" w:rsidRDefault="00653F5C" w:rsidP="00653F5C">
      <w:pPr>
        <w:spacing w:line="276" w:lineRule="auto"/>
        <w:jc w:val="both"/>
        <w:rPr>
          <w:sz w:val="24"/>
          <w:szCs w:val="24"/>
        </w:rPr>
      </w:pPr>
      <w:r w:rsidRPr="00653F5C">
        <w:rPr>
          <w:sz w:val="24"/>
          <w:szCs w:val="24"/>
        </w:rPr>
        <w:t>Como parte del procedimiento de acceso a información pública, la suscrita requirió la información solicitada a la Gerencia Administrativa Financiera del ILP, en el que se me hizo saber que este In</w:t>
      </w:r>
      <w:r>
        <w:rPr>
          <w:sz w:val="24"/>
          <w:szCs w:val="24"/>
        </w:rPr>
        <w:t>s</w:t>
      </w:r>
      <w:r w:rsidRPr="00653F5C">
        <w:rPr>
          <w:sz w:val="24"/>
          <w:szCs w:val="24"/>
        </w:rPr>
        <w:t xml:space="preserve">tituto </w:t>
      </w:r>
      <w:r>
        <w:rPr>
          <w:sz w:val="24"/>
          <w:szCs w:val="24"/>
        </w:rPr>
        <w:t xml:space="preserve">no ha establecido </w:t>
      </w:r>
      <w:r w:rsidRPr="00653F5C">
        <w:rPr>
          <w:sz w:val="24"/>
          <w:szCs w:val="24"/>
        </w:rPr>
        <w:t>contratos de pólizas de s</w:t>
      </w:r>
      <w:r>
        <w:rPr>
          <w:sz w:val="24"/>
          <w:szCs w:val="24"/>
        </w:rPr>
        <w:t xml:space="preserve">eguro médico para funcionarios ni </w:t>
      </w:r>
      <w:r w:rsidRPr="00653F5C">
        <w:rPr>
          <w:sz w:val="24"/>
          <w:szCs w:val="24"/>
        </w:rPr>
        <w:t xml:space="preserve"> empleados de es</w:t>
      </w:r>
      <w:r>
        <w:rPr>
          <w:sz w:val="24"/>
          <w:szCs w:val="24"/>
        </w:rPr>
        <w:t>t</w:t>
      </w:r>
      <w:r w:rsidRPr="00653F5C">
        <w:rPr>
          <w:sz w:val="24"/>
          <w:szCs w:val="24"/>
        </w:rPr>
        <w:t>a institución, financiados con cargo al pr</w:t>
      </w:r>
      <w:r>
        <w:rPr>
          <w:sz w:val="24"/>
          <w:szCs w:val="24"/>
        </w:rPr>
        <w:t>esupuesto institucional de 2016, ni de otros años.</w:t>
      </w:r>
    </w:p>
    <w:p w:rsidR="00653F5C" w:rsidRPr="00653F5C" w:rsidRDefault="00653F5C" w:rsidP="00653F5C">
      <w:pPr>
        <w:spacing w:line="276" w:lineRule="auto"/>
        <w:jc w:val="both"/>
        <w:rPr>
          <w:sz w:val="24"/>
          <w:szCs w:val="24"/>
        </w:rPr>
      </w:pPr>
    </w:p>
    <w:p w:rsidR="00653F5C" w:rsidRDefault="00653F5C" w:rsidP="00653F5C">
      <w:pPr>
        <w:spacing w:line="276" w:lineRule="auto"/>
        <w:jc w:val="both"/>
        <w:rPr>
          <w:sz w:val="24"/>
          <w:szCs w:val="24"/>
        </w:rPr>
      </w:pPr>
    </w:p>
    <w:p w:rsidR="00D501DE" w:rsidRDefault="00D501DE" w:rsidP="00653F5C">
      <w:pPr>
        <w:spacing w:line="276" w:lineRule="auto"/>
        <w:jc w:val="both"/>
        <w:rPr>
          <w:rFonts w:ascii="Calibri" w:eastAsia="Calibri" w:hAnsi="Calibri"/>
        </w:rPr>
      </w:pPr>
    </w:p>
    <w:p w:rsidR="00807C95" w:rsidRPr="00653F5C" w:rsidRDefault="00807C95" w:rsidP="00653F5C">
      <w:pPr>
        <w:pStyle w:val="Prrafodelista"/>
        <w:numPr>
          <w:ilvl w:val="0"/>
          <w:numId w:val="1"/>
        </w:numPr>
        <w:spacing w:line="276" w:lineRule="auto"/>
        <w:jc w:val="both"/>
      </w:pPr>
      <w:r w:rsidRPr="00653F5C">
        <w:t xml:space="preserve">RESUELVE: </w:t>
      </w:r>
    </w:p>
    <w:p w:rsidR="00653F5C" w:rsidRDefault="00653F5C" w:rsidP="00653F5C">
      <w:pPr>
        <w:spacing w:line="276" w:lineRule="auto"/>
        <w:jc w:val="both"/>
        <w:rPr>
          <w:rFonts w:cs="Calibri"/>
          <w:b/>
          <w:sz w:val="24"/>
        </w:rPr>
      </w:pPr>
      <w:r>
        <w:t>Considerando que la Ley de Acceso a la Información Pública dispone en el Art. 73</w:t>
      </w:r>
      <w:r w:rsidR="00285226">
        <w:t>, el cual establece</w:t>
      </w:r>
      <w:r>
        <w:t xml:space="preserve"> que nos encontramos ante un caso de información </w:t>
      </w:r>
      <w:r w:rsidRPr="00455CCB">
        <w:rPr>
          <w:b/>
        </w:rPr>
        <w:t>INEXISTENTE</w:t>
      </w:r>
      <w:r>
        <w:t xml:space="preserve">, lo que impide brindar lo requerido por el peticionario, esta dependencia </w:t>
      </w:r>
      <w:r>
        <w:rPr>
          <w:rFonts w:cs="Calibri"/>
          <w:w w:val="102"/>
        </w:rPr>
        <w:t xml:space="preserve">resuelve: </w:t>
      </w:r>
      <w:r>
        <w:rPr>
          <w:rFonts w:cs="Calibri"/>
          <w:b/>
          <w:sz w:val="24"/>
        </w:rPr>
        <w:t>NEGAR EL ACCESO A LA INFORMACIÓN SOLICITADA POR INEXISTENCIA.</w:t>
      </w:r>
    </w:p>
    <w:p w:rsidR="00851B8C" w:rsidRDefault="00851B8C" w:rsidP="00653F5C">
      <w:pPr>
        <w:spacing w:line="276" w:lineRule="auto"/>
      </w:pPr>
    </w:p>
    <w:p w:rsidR="00851B8C" w:rsidRDefault="00851B8C" w:rsidP="00653F5C">
      <w:pPr>
        <w:spacing w:line="276" w:lineRule="auto"/>
      </w:pPr>
    </w:p>
    <w:p w:rsidR="007E3DC0" w:rsidRDefault="007E3DC0" w:rsidP="00807C95"/>
    <w:p w:rsidR="004D637E" w:rsidRDefault="004D637E" w:rsidP="00907831">
      <w:pPr>
        <w:pStyle w:val="Prrafodelista"/>
        <w:numPr>
          <w:ilvl w:val="0"/>
          <w:numId w:val="1"/>
        </w:numPr>
        <w:spacing w:after="200" w:line="276" w:lineRule="auto"/>
      </w:pPr>
      <w:r>
        <w:t>NOTIFÍQUESE</w:t>
      </w:r>
    </w:p>
    <w:p w:rsidR="00962A06" w:rsidRDefault="00962A06" w:rsidP="00962A06">
      <w:pPr>
        <w:spacing w:after="200" w:line="276" w:lineRule="auto"/>
      </w:pPr>
    </w:p>
    <w:p w:rsidR="00962A06" w:rsidRDefault="00962A06" w:rsidP="00962A06">
      <w:pPr>
        <w:spacing w:after="200" w:line="276" w:lineRule="auto"/>
      </w:pPr>
    </w:p>
    <w:p w:rsidR="00132A38" w:rsidRDefault="00132A38" w:rsidP="00132A38">
      <w:pPr>
        <w:spacing w:line="360" w:lineRule="auto"/>
        <w:jc w:val="both"/>
        <w:rPr>
          <w:rFonts w:cs="Calibri"/>
        </w:rPr>
      </w:pPr>
    </w:p>
    <w:p w:rsidR="00132A38" w:rsidRDefault="00132A38" w:rsidP="00132A38">
      <w:pPr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132A38" w:rsidRDefault="00132A38" w:rsidP="00132A38">
      <w:pPr>
        <w:jc w:val="both"/>
        <w:rPr>
          <w:rFonts w:cs="Calibri"/>
        </w:rPr>
      </w:pPr>
    </w:p>
    <w:p w:rsidR="00132A38" w:rsidRDefault="00132A38" w:rsidP="00132A38">
      <w:pPr>
        <w:jc w:val="both"/>
        <w:rPr>
          <w:rFonts w:cs="Calibri"/>
        </w:rPr>
      </w:pPr>
    </w:p>
    <w:p w:rsidR="00132A38" w:rsidRDefault="00132A38" w:rsidP="00132A38">
      <w:pPr>
        <w:jc w:val="both"/>
        <w:rPr>
          <w:rFonts w:cs="Calibri"/>
        </w:rPr>
      </w:pPr>
    </w:p>
    <w:p w:rsidR="00132A38" w:rsidRDefault="00132A38" w:rsidP="00132A38">
      <w:pPr>
        <w:widowControl w:val="0"/>
        <w:autoSpaceDE w:val="0"/>
        <w:autoSpaceDN w:val="0"/>
        <w:adjustRightInd w:val="0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132A38" w:rsidRDefault="00132A38" w:rsidP="00132A38">
      <w:pPr>
        <w:widowControl w:val="0"/>
        <w:autoSpaceDE w:val="0"/>
        <w:autoSpaceDN w:val="0"/>
        <w:adjustRightInd w:val="0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4D637E" w:rsidRDefault="004D637E" w:rsidP="00132A38">
      <w:pPr>
        <w:jc w:val="center"/>
      </w:pPr>
    </w:p>
    <w:sectPr w:rsidR="004D63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62" w:rsidRDefault="00150C62" w:rsidP="00CE7648">
      <w:r>
        <w:separator/>
      </w:r>
    </w:p>
  </w:endnote>
  <w:endnote w:type="continuationSeparator" w:id="0">
    <w:p w:rsidR="00150C62" w:rsidRDefault="00150C62" w:rsidP="00C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62" w:rsidRDefault="00150C62" w:rsidP="00CE7648">
      <w:r>
        <w:separator/>
      </w:r>
    </w:p>
  </w:footnote>
  <w:footnote w:type="continuationSeparator" w:id="0">
    <w:p w:rsidR="00150C62" w:rsidRDefault="00150C62" w:rsidP="00CE7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48" w:rsidRPr="001E0A3B" w:rsidRDefault="00CE7648" w:rsidP="00CE7648">
    <w:pPr>
      <w:widowControl w:val="0"/>
      <w:autoSpaceDE w:val="0"/>
      <w:autoSpaceDN w:val="0"/>
      <w:adjustRightInd w:val="0"/>
      <w:spacing w:line="453" w:lineRule="exact"/>
      <w:ind w:left="20" w:right="-64"/>
      <w:jc w:val="center"/>
      <w:rPr>
        <w:rFonts w:cs="Calibri"/>
        <w:sz w:val="28"/>
        <w:szCs w:val="28"/>
      </w:rPr>
    </w:pPr>
    <w:r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35FF9838" wp14:editId="297F718A">
          <wp:simplePos x="0" y="0"/>
          <wp:positionH relativeFrom="page">
            <wp:posOffset>575310</wp:posOffset>
          </wp:positionH>
          <wp:positionV relativeFrom="page">
            <wp:posOffset>347345</wp:posOffset>
          </wp:positionV>
          <wp:extent cx="1595120" cy="760095"/>
          <wp:effectExtent l="0" t="0" r="5080" b="190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CE7648" w:rsidRPr="001E0A3B" w:rsidRDefault="00150C62" w:rsidP="00CE7648">
    <w:pPr>
      <w:widowControl w:val="0"/>
      <w:autoSpaceDE w:val="0"/>
      <w:autoSpaceDN w:val="0"/>
      <w:adjustRightInd w:val="0"/>
      <w:spacing w:before="10"/>
      <w:ind w:left="61" w:right="-23"/>
      <w:jc w:val="center"/>
      <w:rPr>
        <w:rFonts w:cs="Calibri"/>
        <w:sz w:val="28"/>
        <w:szCs w:val="28"/>
      </w:rPr>
    </w:pPr>
    <w:hyperlink r:id="rId2" w:history="1">
      <w:r w:rsidR="00CE7648" w:rsidRPr="00C856E0">
        <w:rPr>
          <w:rStyle w:val="Hipervnculo"/>
          <w:rFonts w:cs="Calibri"/>
          <w:b/>
          <w:bCs/>
          <w:spacing w:val="-1"/>
          <w:w w:val="101"/>
          <w:sz w:val="28"/>
          <w:szCs w:val="28"/>
        </w:rPr>
        <w:t>W</w:t>
      </w:r>
      <w:r w:rsidR="00CE7648" w:rsidRPr="00C856E0">
        <w:rPr>
          <w:rStyle w:val="Hipervnculo"/>
          <w:rFonts w:cs="Calibri"/>
          <w:b/>
          <w:bCs/>
          <w:spacing w:val="1"/>
          <w:w w:val="101"/>
          <w:sz w:val="28"/>
          <w:szCs w:val="28"/>
        </w:rPr>
        <w:t>W</w:t>
      </w:r>
      <w:r w:rsidR="00CE7648" w:rsidRPr="00C856E0">
        <w:rPr>
          <w:rStyle w:val="Hipervnculo"/>
          <w:rFonts w:cs="Calibri"/>
          <w:b/>
          <w:bCs/>
          <w:spacing w:val="-3"/>
          <w:w w:val="101"/>
          <w:sz w:val="28"/>
          <w:szCs w:val="28"/>
        </w:rPr>
        <w:t>W</w:t>
      </w:r>
      <w:r w:rsidR="00CE7648" w:rsidRPr="00C856E0">
        <w:rPr>
          <w:rStyle w:val="Hipervnculo"/>
          <w:rFonts w:cs="Calibri"/>
          <w:b/>
          <w:bCs/>
          <w:spacing w:val="3"/>
          <w:w w:val="101"/>
          <w:sz w:val="28"/>
          <w:szCs w:val="28"/>
        </w:rPr>
        <w:t>.</w:t>
      </w:r>
      <w:r w:rsidR="00CE7648" w:rsidRPr="00C856E0">
        <w:rPr>
          <w:rStyle w:val="Hipervnculo"/>
          <w:rFonts w:cs="Calibri"/>
          <w:b/>
          <w:bCs/>
          <w:spacing w:val="1"/>
          <w:w w:val="101"/>
          <w:sz w:val="28"/>
          <w:szCs w:val="28"/>
        </w:rPr>
        <w:t>I</w:t>
      </w:r>
      <w:r w:rsidR="00CE7648" w:rsidRPr="00C856E0">
        <w:rPr>
          <w:rStyle w:val="Hipervnculo"/>
          <w:rFonts w:cs="Calibri"/>
          <w:b/>
          <w:bCs/>
          <w:spacing w:val="2"/>
          <w:w w:val="101"/>
          <w:sz w:val="28"/>
          <w:szCs w:val="28"/>
        </w:rPr>
        <w:t>LP</w:t>
      </w:r>
      <w:r w:rsidR="00CE7648" w:rsidRPr="00C856E0">
        <w:rPr>
          <w:rStyle w:val="Hipervnculo"/>
          <w:rFonts w:cs="Calibri"/>
          <w:b/>
          <w:bCs/>
          <w:spacing w:val="1"/>
          <w:w w:val="101"/>
          <w:sz w:val="28"/>
          <w:szCs w:val="28"/>
        </w:rPr>
        <w:t>.G</w:t>
      </w:r>
      <w:r w:rsidR="00CE7648" w:rsidRPr="00C856E0">
        <w:rPr>
          <w:rStyle w:val="Hipervnculo"/>
          <w:rFonts w:cs="Calibri"/>
          <w:b/>
          <w:bCs/>
          <w:spacing w:val="-3"/>
          <w:w w:val="101"/>
          <w:sz w:val="28"/>
          <w:szCs w:val="28"/>
        </w:rPr>
        <w:t>O</w:t>
      </w:r>
      <w:r w:rsidR="00CE7648" w:rsidRPr="00C856E0">
        <w:rPr>
          <w:rStyle w:val="Hipervnculo"/>
          <w:rFonts w:cs="Calibri"/>
          <w:b/>
          <w:bCs/>
          <w:spacing w:val="6"/>
          <w:w w:val="101"/>
          <w:sz w:val="28"/>
          <w:szCs w:val="28"/>
        </w:rPr>
        <w:t>B</w:t>
      </w:r>
      <w:r w:rsidR="00CE7648" w:rsidRPr="00C856E0">
        <w:rPr>
          <w:rStyle w:val="Hipervnculo"/>
          <w:rFonts w:cs="Calibri"/>
          <w:b/>
          <w:bCs/>
          <w:spacing w:val="-1"/>
          <w:w w:val="101"/>
          <w:sz w:val="28"/>
          <w:szCs w:val="28"/>
        </w:rPr>
        <w:t>.</w:t>
      </w:r>
      <w:r w:rsidR="00CE7648" w:rsidRPr="00C856E0">
        <w:rPr>
          <w:rStyle w:val="Hipervnculo"/>
          <w:rFonts w:cs="Calibri"/>
          <w:b/>
          <w:bCs/>
          <w:w w:val="101"/>
          <w:sz w:val="28"/>
          <w:szCs w:val="28"/>
        </w:rPr>
        <w:t>SV</w:t>
      </w:r>
    </w:hyperlink>
  </w:p>
  <w:p w:rsidR="00CE7648" w:rsidRDefault="00CE76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531B"/>
    <w:multiLevelType w:val="hybridMultilevel"/>
    <w:tmpl w:val="860CE9EE"/>
    <w:lvl w:ilvl="0" w:tplc="6FBE3E82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B246B"/>
    <w:multiLevelType w:val="hybridMultilevel"/>
    <w:tmpl w:val="1278E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37C9"/>
    <w:multiLevelType w:val="hybridMultilevel"/>
    <w:tmpl w:val="658E82DE"/>
    <w:lvl w:ilvl="0" w:tplc="B82052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67FF"/>
    <w:multiLevelType w:val="hybridMultilevel"/>
    <w:tmpl w:val="95BE0486"/>
    <w:lvl w:ilvl="0" w:tplc="E9DC59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45" w:hanging="360"/>
      </w:pPr>
    </w:lvl>
    <w:lvl w:ilvl="2" w:tplc="440A001B" w:tentative="1">
      <w:start w:val="1"/>
      <w:numFmt w:val="lowerRoman"/>
      <w:lvlText w:val="%3."/>
      <w:lvlJc w:val="right"/>
      <w:pPr>
        <w:ind w:left="2565" w:hanging="180"/>
      </w:pPr>
    </w:lvl>
    <w:lvl w:ilvl="3" w:tplc="440A000F" w:tentative="1">
      <w:start w:val="1"/>
      <w:numFmt w:val="decimal"/>
      <w:lvlText w:val="%4."/>
      <w:lvlJc w:val="left"/>
      <w:pPr>
        <w:ind w:left="3285" w:hanging="360"/>
      </w:pPr>
    </w:lvl>
    <w:lvl w:ilvl="4" w:tplc="440A0019" w:tentative="1">
      <w:start w:val="1"/>
      <w:numFmt w:val="lowerLetter"/>
      <w:lvlText w:val="%5."/>
      <w:lvlJc w:val="left"/>
      <w:pPr>
        <w:ind w:left="4005" w:hanging="360"/>
      </w:pPr>
    </w:lvl>
    <w:lvl w:ilvl="5" w:tplc="440A001B" w:tentative="1">
      <w:start w:val="1"/>
      <w:numFmt w:val="lowerRoman"/>
      <w:lvlText w:val="%6."/>
      <w:lvlJc w:val="right"/>
      <w:pPr>
        <w:ind w:left="4725" w:hanging="180"/>
      </w:pPr>
    </w:lvl>
    <w:lvl w:ilvl="6" w:tplc="440A000F" w:tentative="1">
      <w:start w:val="1"/>
      <w:numFmt w:val="decimal"/>
      <w:lvlText w:val="%7."/>
      <w:lvlJc w:val="left"/>
      <w:pPr>
        <w:ind w:left="5445" w:hanging="360"/>
      </w:pPr>
    </w:lvl>
    <w:lvl w:ilvl="7" w:tplc="440A0019" w:tentative="1">
      <w:start w:val="1"/>
      <w:numFmt w:val="lowerLetter"/>
      <w:lvlText w:val="%8."/>
      <w:lvlJc w:val="left"/>
      <w:pPr>
        <w:ind w:left="6165" w:hanging="360"/>
      </w:pPr>
    </w:lvl>
    <w:lvl w:ilvl="8" w:tplc="4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0D33DE1"/>
    <w:multiLevelType w:val="hybridMultilevel"/>
    <w:tmpl w:val="EB20AE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25B8"/>
    <w:multiLevelType w:val="hybridMultilevel"/>
    <w:tmpl w:val="A80C5C5E"/>
    <w:lvl w:ilvl="0" w:tplc="8B0A5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8011F"/>
    <w:multiLevelType w:val="hybridMultilevel"/>
    <w:tmpl w:val="252EB3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145"/>
    <w:multiLevelType w:val="hybridMultilevel"/>
    <w:tmpl w:val="95BE0486"/>
    <w:lvl w:ilvl="0" w:tplc="E9DC59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45" w:hanging="360"/>
      </w:pPr>
    </w:lvl>
    <w:lvl w:ilvl="2" w:tplc="440A001B" w:tentative="1">
      <w:start w:val="1"/>
      <w:numFmt w:val="lowerRoman"/>
      <w:lvlText w:val="%3."/>
      <w:lvlJc w:val="right"/>
      <w:pPr>
        <w:ind w:left="2565" w:hanging="180"/>
      </w:pPr>
    </w:lvl>
    <w:lvl w:ilvl="3" w:tplc="440A000F" w:tentative="1">
      <w:start w:val="1"/>
      <w:numFmt w:val="decimal"/>
      <w:lvlText w:val="%4."/>
      <w:lvlJc w:val="left"/>
      <w:pPr>
        <w:ind w:left="3285" w:hanging="360"/>
      </w:pPr>
    </w:lvl>
    <w:lvl w:ilvl="4" w:tplc="440A0019" w:tentative="1">
      <w:start w:val="1"/>
      <w:numFmt w:val="lowerLetter"/>
      <w:lvlText w:val="%5."/>
      <w:lvlJc w:val="left"/>
      <w:pPr>
        <w:ind w:left="4005" w:hanging="360"/>
      </w:pPr>
    </w:lvl>
    <w:lvl w:ilvl="5" w:tplc="440A001B" w:tentative="1">
      <w:start w:val="1"/>
      <w:numFmt w:val="lowerRoman"/>
      <w:lvlText w:val="%6."/>
      <w:lvlJc w:val="right"/>
      <w:pPr>
        <w:ind w:left="4725" w:hanging="180"/>
      </w:pPr>
    </w:lvl>
    <w:lvl w:ilvl="6" w:tplc="440A000F" w:tentative="1">
      <w:start w:val="1"/>
      <w:numFmt w:val="decimal"/>
      <w:lvlText w:val="%7."/>
      <w:lvlJc w:val="left"/>
      <w:pPr>
        <w:ind w:left="5445" w:hanging="360"/>
      </w:pPr>
    </w:lvl>
    <w:lvl w:ilvl="7" w:tplc="440A0019" w:tentative="1">
      <w:start w:val="1"/>
      <w:numFmt w:val="lowerLetter"/>
      <w:lvlText w:val="%8."/>
      <w:lvlJc w:val="left"/>
      <w:pPr>
        <w:ind w:left="6165" w:hanging="360"/>
      </w:pPr>
    </w:lvl>
    <w:lvl w:ilvl="8" w:tplc="4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1921F4C"/>
    <w:multiLevelType w:val="hybridMultilevel"/>
    <w:tmpl w:val="0FC437A0"/>
    <w:lvl w:ilvl="0" w:tplc="8D9AF1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66D4EEB"/>
    <w:multiLevelType w:val="hybridMultilevel"/>
    <w:tmpl w:val="A80C5C5E"/>
    <w:lvl w:ilvl="0" w:tplc="8B0A5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D77C72"/>
    <w:multiLevelType w:val="hybridMultilevel"/>
    <w:tmpl w:val="0FC437A0"/>
    <w:lvl w:ilvl="0" w:tplc="8D9AF1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1715164"/>
    <w:multiLevelType w:val="hybridMultilevel"/>
    <w:tmpl w:val="ED70734C"/>
    <w:lvl w:ilvl="0" w:tplc="D986A4C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5"/>
    <w:rsid w:val="00026EAC"/>
    <w:rsid w:val="00132A38"/>
    <w:rsid w:val="00150C62"/>
    <w:rsid w:val="002271CB"/>
    <w:rsid w:val="00285226"/>
    <w:rsid w:val="003C24E2"/>
    <w:rsid w:val="00496A01"/>
    <w:rsid w:val="004D637E"/>
    <w:rsid w:val="00557E15"/>
    <w:rsid w:val="005C6FFB"/>
    <w:rsid w:val="00653F5C"/>
    <w:rsid w:val="007E3DC0"/>
    <w:rsid w:val="00807C95"/>
    <w:rsid w:val="00812A0C"/>
    <w:rsid w:val="00851B8C"/>
    <w:rsid w:val="00907831"/>
    <w:rsid w:val="00962A06"/>
    <w:rsid w:val="00A94069"/>
    <w:rsid w:val="00AE27B6"/>
    <w:rsid w:val="00BD25EF"/>
    <w:rsid w:val="00C16B8D"/>
    <w:rsid w:val="00CE7648"/>
    <w:rsid w:val="00D501DE"/>
    <w:rsid w:val="00E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1D0A3-F138-42BD-9163-C58FD86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9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C9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76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48"/>
  </w:style>
  <w:style w:type="paragraph" w:styleId="Piedepgina">
    <w:name w:val="footer"/>
    <w:basedOn w:val="Normal"/>
    <w:link w:val="PiedepginaCar"/>
    <w:uiPriority w:val="99"/>
    <w:unhideWhenUsed/>
    <w:rsid w:val="00CE76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48"/>
  </w:style>
  <w:style w:type="character" w:styleId="Hipervnculo">
    <w:name w:val="Hyperlink"/>
    <w:rsid w:val="00CE764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16B8D"/>
  </w:style>
  <w:style w:type="paragraph" w:styleId="Textodeglobo">
    <w:name w:val="Balloon Text"/>
    <w:basedOn w:val="Normal"/>
    <w:link w:val="TextodegloboCar"/>
    <w:uiPriority w:val="99"/>
    <w:semiHidden/>
    <w:unhideWhenUsed/>
    <w:rsid w:val="002271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1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83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3</cp:revision>
  <cp:lastPrinted>2016-10-24T20:43:00Z</cp:lastPrinted>
  <dcterms:created xsi:type="dcterms:W3CDTF">2016-10-24T21:10:00Z</dcterms:created>
  <dcterms:modified xsi:type="dcterms:W3CDTF">2018-01-08T21:26:00Z</dcterms:modified>
</cp:coreProperties>
</file>