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A9" w:rsidRPr="00E66C92" w:rsidRDefault="00801BA9" w:rsidP="00801BA9">
      <w:pPr>
        <w:jc w:val="center"/>
        <w:rPr>
          <w:rFonts w:eastAsia="Arial Unicode MS" w:cs="Arial Unicode MS"/>
          <w:b/>
          <w:color w:val="C00000"/>
          <w:sz w:val="16"/>
        </w:rPr>
      </w:pPr>
      <w:r w:rsidRPr="00E66C92">
        <w:rPr>
          <w:rFonts w:eastAsia="Arial Unicode MS" w:cs="Arial Unicode MS"/>
          <w:b/>
          <w:color w:val="C00000"/>
          <w:sz w:val="16"/>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801BA9" w:rsidRDefault="00801BA9" w:rsidP="00807C95">
      <w:pPr>
        <w:jc w:val="center"/>
        <w:rPr>
          <w:rFonts w:cs="Calibri"/>
          <w:b/>
          <w:bCs/>
          <w:spacing w:val="-1"/>
          <w:sz w:val="32"/>
        </w:rPr>
      </w:pPr>
    </w:p>
    <w:p w:rsidR="00801BA9" w:rsidRDefault="00801BA9" w:rsidP="00807C95">
      <w:pPr>
        <w:jc w:val="center"/>
        <w:rPr>
          <w:rFonts w:cs="Calibri"/>
          <w:b/>
          <w:bCs/>
          <w:spacing w:val="-1"/>
          <w:sz w:val="32"/>
        </w:rPr>
      </w:pPr>
    </w:p>
    <w:p w:rsidR="00807C95" w:rsidRPr="00F425A5" w:rsidRDefault="00807C95" w:rsidP="00807C95">
      <w:pPr>
        <w:jc w:val="center"/>
        <w:rPr>
          <w:rFonts w:cs="Calibri"/>
          <w:b/>
          <w:bCs/>
          <w:spacing w:val="-1"/>
          <w:sz w:val="32"/>
        </w:rPr>
      </w:pPr>
      <w:r w:rsidRPr="00F425A5">
        <w:rPr>
          <w:rFonts w:cs="Calibri"/>
          <w:b/>
          <w:bCs/>
          <w:spacing w:val="-1"/>
          <w:sz w:val="32"/>
        </w:rPr>
        <w:t>RESOLUCI</w:t>
      </w:r>
      <w:r>
        <w:rPr>
          <w:rFonts w:cs="Calibri"/>
          <w:b/>
          <w:bCs/>
          <w:spacing w:val="-1"/>
          <w:sz w:val="32"/>
        </w:rPr>
        <w:t>Ó</w:t>
      </w:r>
      <w:r w:rsidRPr="00F425A5">
        <w:rPr>
          <w:rFonts w:cs="Calibri"/>
          <w:b/>
          <w:bCs/>
          <w:spacing w:val="-1"/>
          <w:sz w:val="32"/>
        </w:rPr>
        <w:t>N DE ENTREGA DE INFORMACI</w:t>
      </w:r>
      <w:r>
        <w:rPr>
          <w:rFonts w:cs="Calibri"/>
          <w:b/>
          <w:bCs/>
          <w:spacing w:val="-1"/>
          <w:sz w:val="32"/>
        </w:rPr>
        <w:t>Ó</w:t>
      </w:r>
      <w:r w:rsidRPr="00F425A5">
        <w:rPr>
          <w:rFonts w:cs="Calibri"/>
          <w:b/>
          <w:bCs/>
          <w:spacing w:val="-1"/>
          <w:sz w:val="32"/>
        </w:rPr>
        <w:t>N</w:t>
      </w:r>
    </w:p>
    <w:p w:rsidR="00807C95" w:rsidRDefault="00807C95" w:rsidP="00807C95"/>
    <w:p w:rsidR="00807C95" w:rsidRPr="009047C5" w:rsidRDefault="00807C95" w:rsidP="00807C95">
      <w:pPr>
        <w:jc w:val="both"/>
      </w:pPr>
      <w:r w:rsidRPr="009047C5">
        <w:t>En la Oficina de Información y Respuesta del Instituto de Legalización de la Propiedad</w:t>
      </w:r>
      <w:r>
        <w:t xml:space="preserve"> (ILP)</w:t>
      </w:r>
      <w:r w:rsidRPr="009047C5">
        <w:t xml:space="preserve">, San Salvador, a las </w:t>
      </w:r>
      <w:r w:rsidR="00851B8C">
        <w:t>15</w:t>
      </w:r>
      <w:r w:rsidRPr="00717D58">
        <w:t>:</w:t>
      </w:r>
      <w:r w:rsidR="00851B8C">
        <w:t>0</w:t>
      </w:r>
      <w:r w:rsidR="00D501DE">
        <w:t>0</w:t>
      </w:r>
      <w:r w:rsidRPr="00717D58">
        <w:t xml:space="preserve"> horas del día </w:t>
      </w:r>
      <w:r w:rsidR="00851B8C">
        <w:t>15</w:t>
      </w:r>
      <w:r w:rsidRPr="009047C5">
        <w:t xml:space="preserve"> de </w:t>
      </w:r>
      <w:r w:rsidR="00C16B8D">
        <w:t>ju</w:t>
      </w:r>
      <w:r w:rsidR="00851B8C">
        <w:t>l</w:t>
      </w:r>
      <w:r w:rsidR="00C16B8D">
        <w:t>io</w:t>
      </w:r>
      <w:r w:rsidRPr="009047C5">
        <w:t xml:space="preserve"> de 2016. La suscrita oficial de información, CONSIDERANDO:</w:t>
      </w:r>
    </w:p>
    <w:p w:rsidR="00807C95" w:rsidRPr="009047C5" w:rsidRDefault="00807C95" w:rsidP="00807C95">
      <w:pPr>
        <w:jc w:val="both"/>
      </w:pPr>
    </w:p>
    <w:p w:rsidR="00962A06" w:rsidRDefault="00807C95" w:rsidP="00962A06">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Que el día </w:t>
      </w:r>
      <w:r w:rsidR="00851B8C">
        <w:rPr>
          <w:rFonts w:asciiTheme="minorHAnsi" w:hAnsiTheme="minorHAnsi"/>
          <w:sz w:val="24"/>
          <w:szCs w:val="24"/>
        </w:rPr>
        <w:t>trece</w:t>
      </w:r>
      <w:r w:rsidRPr="009047C5">
        <w:rPr>
          <w:rFonts w:asciiTheme="minorHAnsi" w:hAnsiTheme="minorHAnsi"/>
          <w:sz w:val="24"/>
          <w:szCs w:val="24"/>
        </w:rPr>
        <w:t xml:space="preserve"> del mes de </w:t>
      </w:r>
      <w:r w:rsidR="00C16B8D">
        <w:rPr>
          <w:rFonts w:asciiTheme="minorHAnsi" w:hAnsiTheme="minorHAnsi"/>
          <w:sz w:val="24"/>
          <w:szCs w:val="24"/>
        </w:rPr>
        <w:t>ju</w:t>
      </w:r>
      <w:r w:rsidR="00851B8C">
        <w:rPr>
          <w:rFonts w:asciiTheme="minorHAnsi" w:hAnsiTheme="minorHAnsi"/>
          <w:sz w:val="24"/>
          <w:szCs w:val="24"/>
        </w:rPr>
        <w:t>l</w:t>
      </w:r>
      <w:r w:rsidR="00C16B8D">
        <w:rPr>
          <w:rFonts w:asciiTheme="minorHAnsi" w:hAnsiTheme="minorHAnsi"/>
          <w:sz w:val="24"/>
          <w:szCs w:val="24"/>
        </w:rPr>
        <w:t>io</w:t>
      </w:r>
      <w:r w:rsidR="00851B8C">
        <w:rPr>
          <w:rFonts w:asciiTheme="minorHAnsi" w:hAnsiTheme="minorHAnsi"/>
          <w:sz w:val="24"/>
          <w:szCs w:val="24"/>
        </w:rPr>
        <w:t xml:space="preserve"> </w:t>
      </w:r>
      <w:r w:rsidRPr="009047C5">
        <w:rPr>
          <w:rFonts w:asciiTheme="minorHAnsi" w:hAnsiTheme="minorHAnsi"/>
          <w:sz w:val="24"/>
          <w:szCs w:val="24"/>
        </w:rPr>
        <w:t xml:space="preserve">del año en curso, se recibió la solicitud de acceso </w:t>
      </w:r>
      <w:r w:rsidR="00851B8C">
        <w:rPr>
          <w:rFonts w:asciiTheme="minorHAnsi" w:hAnsiTheme="minorHAnsi"/>
          <w:sz w:val="24"/>
          <w:szCs w:val="24"/>
        </w:rPr>
        <w:t>a la</w:t>
      </w:r>
      <w:r w:rsidRPr="009047C5">
        <w:rPr>
          <w:rFonts w:asciiTheme="minorHAnsi" w:hAnsiTheme="minorHAnsi"/>
          <w:sz w:val="24"/>
          <w:szCs w:val="24"/>
        </w:rPr>
        <w:t xml:space="preserve"> información número </w:t>
      </w:r>
      <w:r w:rsidR="00851B8C">
        <w:rPr>
          <w:rFonts w:asciiTheme="minorHAnsi" w:hAnsiTheme="minorHAnsi"/>
          <w:sz w:val="24"/>
          <w:szCs w:val="24"/>
        </w:rPr>
        <w:t>doce</w:t>
      </w:r>
      <w:r w:rsidRPr="009047C5">
        <w:rPr>
          <w:rFonts w:asciiTheme="minorHAnsi" w:hAnsiTheme="minorHAnsi"/>
          <w:sz w:val="24"/>
          <w:szCs w:val="24"/>
        </w:rPr>
        <w:t>, por parte de la señor</w:t>
      </w:r>
      <w:r w:rsidR="00851B8C">
        <w:rPr>
          <w:rFonts w:asciiTheme="minorHAnsi" w:hAnsiTheme="minorHAnsi"/>
          <w:sz w:val="24"/>
          <w:szCs w:val="24"/>
        </w:rPr>
        <w:t>a</w:t>
      </w:r>
      <w:r w:rsidRPr="009047C5">
        <w:rPr>
          <w:rFonts w:asciiTheme="minorHAnsi" w:hAnsiTheme="minorHAnsi"/>
          <w:sz w:val="24"/>
          <w:szCs w:val="24"/>
        </w:rPr>
        <w:t xml:space="preserve"> </w:t>
      </w:r>
      <w:r w:rsidR="00801BA9" w:rsidRPr="00801BA9">
        <w:rPr>
          <w:rFonts w:asciiTheme="minorHAnsi" w:hAnsiTheme="minorHAnsi"/>
          <w:color w:val="002060"/>
          <w:sz w:val="24"/>
          <w:szCs w:val="24"/>
          <w:highlight w:val="darkBlue"/>
        </w:rPr>
        <w:t>XXXXX</w:t>
      </w:r>
      <w:r w:rsidRPr="009047C5">
        <w:rPr>
          <w:rFonts w:asciiTheme="minorHAnsi" w:hAnsiTheme="minorHAnsi"/>
          <w:sz w:val="24"/>
          <w:szCs w:val="24"/>
        </w:rPr>
        <w:t xml:space="preserve">, </w:t>
      </w:r>
      <w:r w:rsidR="00962A06">
        <w:rPr>
          <w:rFonts w:asciiTheme="minorHAnsi" w:hAnsiTheme="minorHAnsi"/>
          <w:sz w:val="24"/>
          <w:szCs w:val="24"/>
        </w:rPr>
        <w:t xml:space="preserve">propietaria del inmueble donde está asentada la comunidad y síndica de la Asociación de Desarrollo Comunal, </w:t>
      </w:r>
      <w:r w:rsidRPr="009047C5">
        <w:rPr>
          <w:rFonts w:asciiTheme="minorHAnsi" w:hAnsiTheme="minorHAnsi"/>
          <w:sz w:val="24"/>
          <w:szCs w:val="24"/>
        </w:rPr>
        <w:t xml:space="preserve">quien solicitó: </w:t>
      </w:r>
    </w:p>
    <w:p w:rsidR="00C16B8D" w:rsidRPr="00962A06" w:rsidRDefault="00851B8C" w:rsidP="002271CB">
      <w:pPr>
        <w:pStyle w:val="Prrafodelista"/>
        <w:numPr>
          <w:ilvl w:val="1"/>
          <w:numId w:val="1"/>
        </w:numPr>
        <w:jc w:val="both"/>
        <w:rPr>
          <w:rFonts w:asciiTheme="minorHAnsi" w:hAnsiTheme="minorHAnsi"/>
          <w:sz w:val="24"/>
          <w:szCs w:val="24"/>
        </w:rPr>
      </w:pPr>
      <w:r w:rsidRPr="00962A06">
        <w:rPr>
          <w:rFonts w:asciiTheme="minorHAnsi" w:hAnsiTheme="minorHAnsi"/>
          <w:sz w:val="24"/>
          <w:szCs w:val="24"/>
        </w:rPr>
        <w:t>Fotocopia de los documentos que conforman el expediente de la comunidad 21 de enero, en el cual se menciona los requisitos que deben cumplir</w:t>
      </w:r>
      <w:r w:rsidR="00962A06" w:rsidRPr="00962A06">
        <w:rPr>
          <w:rFonts w:asciiTheme="minorHAnsi" w:hAnsiTheme="minorHAnsi"/>
          <w:sz w:val="24"/>
          <w:szCs w:val="24"/>
        </w:rPr>
        <w:t xml:space="preserve"> la comunidad previo a</w:t>
      </w:r>
      <w:r w:rsidRPr="00962A06">
        <w:rPr>
          <w:rFonts w:asciiTheme="minorHAnsi" w:hAnsiTheme="minorHAnsi"/>
          <w:sz w:val="24"/>
          <w:szCs w:val="24"/>
        </w:rPr>
        <w:t xml:space="preserve"> iniciar el proceso de legalización.  </w:t>
      </w:r>
      <w:r w:rsidR="00962A06" w:rsidRPr="00962A06">
        <w:rPr>
          <w:rFonts w:asciiTheme="minorHAnsi" w:hAnsiTheme="minorHAnsi"/>
          <w:sz w:val="24"/>
          <w:szCs w:val="24"/>
        </w:rPr>
        <w:t>Es decir, la lotificación debe pasar por un proceso de regularización previo a iniciar la legalización de los inmuebles.</w:t>
      </w:r>
    </w:p>
    <w:p w:rsidR="00D501DE" w:rsidRPr="00D501DE" w:rsidRDefault="00D501DE" w:rsidP="00D501DE">
      <w:pPr>
        <w:pStyle w:val="Prrafodelista"/>
        <w:jc w:val="both"/>
      </w:pPr>
    </w:p>
    <w:p w:rsidR="00807C95" w:rsidRPr="009047C5" w:rsidRDefault="00807C95" w:rsidP="00807C95">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El acceso a la información en poder de las Instituciones Públicas es un derecho reconocido en el ordenamiento jurídico nacional, lo que supone el cumplimiento del “Principio de Máxima Publicidad” reconocido en el art.4 LAIP, por el cual, la información en poder de los entes obligados es pública y su difusión irrestricta, salvo las excepciones contenidas en la Ley. </w:t>
      </w:r>
    </w:p>
    <w:p w:rsidR="00807C95" w:rsidRPr="009047C5" w:rsidRDefault="00807C95" w:rsidP="00807C95">
      <w:pPr>
        <w:pStyle w:val="Prrafodelista"/>
        <w:rPr>
          <w:rFonts w:asciiTheme="minorHAnsi" w:hAnsiTheme="minorHAnsi"/>
          <w:sz w:val="24"/>
          <w:szCs w:val="24"/>
        </w:rPr>
      </w:pPr>
    </w:p>
    <w:p w:rsidR="00807C95" w:rsidRPr="009047C5" w:rsidRDefault="00807C95" w:rsidP="00807C95">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solicitante de una manera oportuna y veraz. </w:t>
      </w:r>
    </w:p>
    <w:p w:rsidR="00807C95" w:rsidRPr="009047C5" w:rsidRDefault="00807C95" w:rsidP="00807C95">
      <w:pPr>
        <w:pStyle w:val="Prrafodelista"/>
        <w:rPr>
          <w:rFonts w:asciiTheme="minorHAnsi" w:hAnsiTheme="minorHAnsi"/>
          <w:sz w:val="24"/>
          <w:szCs w:val="24"/>
        </w:rPr>
      </w:pPr>
    </w:p>
    <w:p w:rsidR="00807C95" w:rsidRDefault="00807C95" w:rsidP="00807C95">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Es de aclarar que el Oficial de Información es el vínculo entre la Institución Pública y el solicitante, realizando las gestiones necesarias, para facilitar el acceso a la información.</w:t>
      </w:r>
    </w:p>
    <w:p w:rsidR="00807C95" w:rsidRPr="00D454FD" w:rsidRDefault="00807C95" w:rsidP="00807C95">
      <w:pPr>
        <w:pStyle w:val="Prrafodelista"/>
        <w:rPr>
          <w:rFonts w:asciiTheme="minorHAnsi" w:hAnsiTheme="minorHAnsi"/>
          <w:sz w:val="24"/>
          <w:szCs w:val="24"/>
        </w:rPr>
      </w:pPr>
    </w:p>
    <w:p w:rsidR="00807C95" w:rsidRPr="00AC77CC" w:rsidRDefault="00807C95" w:rsidP="00807C95">
      <w:pPr>
        <w:pStyle w:val="Prrafodelista"/>
        <w:jc w:val="both"/>
        <w:rPr>
          <w:sz w:val="24"/>
        </w:rPr>
      </w:pPr>
    </w:p>
    <w:p w:rsidR="00807C95" w:rsidRPr="00AC77CC" w:rsidRDefault="00807C95" w:rsidP="00807C95">
      <w:pPr>
        <w:pStyle w:val="Prrafodelista"/>
        <w:numPr>
          <w:ilvl w:val="0"/>
          <w:numId w:val="1"/>
        </w:numPr>
        <w:jc w:val="both"/>
        <w:rPr>
          <w:sz w:val="24"/>
        </w:rPr>
      </w:pPr>
      <w:r w:rsidRPr="00AC77CC">
        <w:rPr>
          <w:sz w:val="24"/>
        </w:rPr>
        <w:t xml:space="preserve">RESOLUCIÓN </w:t>
      </w:r>
    </w:p>
    <w:p w:rsidR="00807C95" w:rsidRPr="009047C5" w:rsidRDefault="00807C95" w:rsidP="00807C95">
      <w:pPr>
        <w:jc w:val="both"/>
        <w:rPr>
          <w:rFonts w:ascii="Calibri" w:eastAsia="Calibri" w:hAnsi="Calibri"/>
        </w:rPr>
      </w:pPr>
      <w:r w:rsidRPr="009047C5">
        <w:rPr>
          <w:rFonts w:ascii="Calibri" w:eastAsia="Calibri" w:hAnsi="Calibri"/>
        </w:rPr>
        <w:t>De conformidad al art. 65, 66, 72 de la Ley de Acceso a la Información Pública, y art. 54 del Reglamento de la Ley de Acceso a la Información Pública; la suscrita Oficial de Información,</w:t>
      </w:r>
    </w:p>
    <w:p w:rsidR="00D501DE" w:rsidRDefault="00D501DE" w:rsidP="00807C95">
      <w:pPr>
        <w:jc w:val="both"/>
        <w:rPr>
          <w:rFonts w:ascii="Calibri" w:eastAsia="Calibri" w:hAnsi="Calibri"/>
        </w:rPr>
      </w:pPr>
    </w:p>
    <w:p w:rsidR="00807C95" w:rsidRPr="009047C5" w:rsidRDefault="00807C95" w:rsidP="00807C95">
      <w:pPr>
        <w:jc w:val="both"/>
        <w:rPr>
          <w:rFonts w:ascii="Calibri" w:eastAsia="Calibri" w:hAnsi="Calibri"/>
        </w:rPr>
      </w:pPr>
      <w:r w:rsidRPr="009047C5">
        <w:rPr>
          <w:rFonts w:ascii="Calibri" w:eastAsia="Calibri" w:hAnsi="Calibri"/>
        </w:rPr>
        <w:lastRenderedPageBreak/>
        <w:t xml:space="preserve">RESUELVE: </w:t>
      </w:r>
    </w:p>
    <w:p w:rsidR="007E3DC0" w:rsidRDefault="00C16B8D" w:rsidP="00807C95">
      <w:r>
        <w:t>Entregar la información solicitada.</w:t>
      </w:r>
    </w:p>
    <w:p w:rsidR="00851B8C" w:rsidRDefault="00851B8C" w:rsidP="00807C95"/>
    <w:p w:rsidR="00851B8C" w:rsidRDefault="00851B8C" w:rsidP="00851B8C">
      <w:pPr>
        <w:pStyle w:val="Prrafodelista"/>
        <w:numPr>
          <w:ilvl w:val="0"/>
          <w:numId w:val="7"/>
        </w:numPr>
      </w:pPr>
      <w:r>
        <w:t>Fotocopia del informe final de la comunidad 21 de enero realizo el 13 de abril de 2016 por técnicos del ILP.</w:t>
      </w:r>
    </w:p>
    <w:p w:rsidR="00851B8C" w:rsidRDefault="00851B8C" w:rsidP="00851B8C">
      <w:pPr>
        <w:pStyle w:val="Prrafodelista"/>
        <w:numPr>
          <w:ilvl w:val="0"/>
          <w:numId w:val="7"/>
        </w:numPr>
      </w:pPr>
      <w:r>
        <w:t>Fotocopia del análisis jurídico de la comunidad 21 de enero, ubicada en el municipio de Ilopango, departamento de San Salvador.</w:t>
      </w:r>
    </w:p>
    <w:p w:rsidR="00851B8C" w:rsidRDefault="00851B8C" w:rsidP="00851B8C">
      <w:pPr>
        <w:pStyle w:val="Prrafodelista"/>
        <w:numPr>
          <w:ilvl w:val="0"/>
          <w:numId w:val="7"/>
        </w:numPr>
      </w:pPr>
      <w:r>
        <w:t>Fotocopia del estudio registral de la comunidad 21 de enero, ubicada en el municipio de Ilopango, departamento de San Salvador.</w:t>
      </w:r>
    </w:p>
    <w:p w:rsidR="00851B8C" w:rsidRDefault="00851B8C" w:rsidP="00851B8C">
      <w:pPr>
        <w:pStyle w:val="Prrafodelista"/>
        <w:numPr>
          <w:ilvl w:val="0"/>
          <w:numId w:val="7"/>
        </w:numPr>
      </w:pPr>
      <w:r>
        <w:t>Informe de inspección técnica catastral de la comunidad 21 de enero, de fecha de 7 de marzo de 2016.</w:t>
      </w:r>
    </w:p>
    <w:p w:rsidR="00851B8C" w:rsidRDefault="00851B8C" w:rsidP="00851B8C">
      <w:pPr>
        <w:pStyle w:val="Prrafodelista"/>
        <w:numPr>
          <w:ilvl w:val="0"/>
          <w:numId w:val="7"/>
        </w:numPr>
      </w:pPr>
      <w:r>
        <w:t>Diagnóstico de campo de la comunidad 21 de enero, ubicada en el municipio de Ilopango, departamento de San Salvador; realizado el 7 de marzo de 2016.</w:t>
      </w:r>
    </w:p>
    <w:p w:rsidR="00851B8C" w:rsidRDefault="00851B8C" w:rsidP="00851B8C">
      <w:pPr>
        <w:pStyle w:val="Prrafodelista"/>
        <w:numPr>
          <w:ilvl w:val="0"/>
          <w:numId w:val="7"/>
        </w:numPr>
      </w:pPr>
      <w:r>
        <w:t xml:space="preserve">Devolución del plano original de la comunidad 21 de enero, ubicada en el municipio de Ilopango, departamento de San Salvador. Dado que fue la </w:t>
      </w:r>
      <w:r w:rsidRPr="009047C5">
        <w:rPr>
          <w:rFonts w:asciiTheme="minorHAnsi" w:hAnsiTheme="minorHAnsi"/>
          <w:sz w:val="24"/>
          <w:szCs w:val="24"/>
        </w:rPr>
        <w:t>señor</w:t>
      </w:r>
      <w:r>
        <w:rPr>
          <w:rFonts w:asciiTheme="minorHAnsi" w:hAnsiTheme="minorHAnsi"/>
          <w:sz w:val="24"/>
          <w:szCs w:val="24"/>
        </w:rPr>
        <w:t>a</w:t>
      </w:r>
      <w:r w:rsidRPr="009047C5">
        <w:rPr>
          <w:rFonts w:asciiTheme="minorHAnsi" w:hAnsiTheme="minorHAnsi"/>
          <w:sz w:val="24"/>
          <w:szCs w:val="24"/>
        </w:rPr>
        <w:t xml:space="preserve"> </w:t>
      </w:r>
      <w:r>
        <w:rPr>
          <w:rFonts w:asciiTheme="minorHAnsi" w:hAnsiTheme="minorHAnsi"/>
          <w:sz w:val="24"/>
          <w:szCs w:val="24"/>
        </w:rPr>
        <w:t>Irma Yolanda de la Cruz Archila, quien proporcionó dicho insumo y que éste puede ser utilizado para los trámites siguientes en la Oficina de Regularización del Viceministerio.</w:t>
      </w:r>
    </w:p>
    <w:p w:rsidR="00851B8C" w:rsidRDefault="00851B8C" w:rsidP="00807C95"/>
    <w:p w:rsidR="00851B8C" w:rsidRDefault="00851B8C" w:rsidP="00807C95"/>
    <w:p w:rsidR="007E3DC0" w:rsidRDefault="007E3DC0" w:rsidP="00807C95"/>
    <w:p w:rsidR="004D637E" w:rsidRDefault="004D637E" w:rsidP="00962A06">
      <w:pPr>
        <w:pStyle w:val="Prrafodelista"/>
        <w:numPr>
          <w:ilvl w:val="0"/>
          <w:numId w:val="1"/>
        </w:numPr>
        <w:spacing w:after="200" w:line="276" w:lineRule="auto"/>
      </w:pPr>
      <w:r>
        <w:t>NOTIFÍQUESE</w:t>
      </w:r>
    </w:p>
    <w:p w:rsidR="00962A06" w:rsidRDefault="00962A06" w:rsidP="00962A06">
      <w:pPr>
        <w:spacing w:after="200" w:line="276" w:lineRule="auto"/>
      </w:pPr>
    </w:p>
    <w:p w:rsidR="00801BA9" w:rsidRDefault="00801BA9" w:rsidP="00801BA9">
      <w:pPr>
        <w:spacing w:line="360" w:lineRule="auto"/>
        <w:jc w:val="both"/>
        <w:rPr>
          <w:rFonts w:cs="Calibri"/>
        </w:rPr>
      </w:pPr>
    </w:p>
    <w:p w:rsidR="00801BA9" w:rsidRDefault="00801BA9" w:rsidP="00801BA9">
      <w:pPr>
        <w:jc w:val="both"/>
        <w:rPr>
          <w:rFonts w:cs="Calibri"/>
        </w:rPr>
      </w:pPr>
      <w:r>
        <w:rPr>
          <w:rFonts w:cs="Calibri"/>
        </w:rPr>
        <w:t>NOTA IMPORTANTE: después de analizar lo anteriormente expuesto puede interponer un recurso de apelación según lo normado en el Art. 82 y 83 de la LAIP.</w:t>
      </w:r>
    </w:p>
    <w:p w:rsidR="00801BA9" w:rsidRDefault="00801BA9" w:rsidP="00801BA9">
      <w:pPr>
        <w:jc w:val="both"/>
        <w:rPr>
          <w:rFonts w:cs="Calibri"/>
        </w:rPr>
      </w:pPr>
    </w:p>
    <w:p w:rsidR="00801BA9" w:rsidRDefault="00801BA9" w:rsidP="00801BA9">
      <w:pPr>
        <w:jc w:val="both"/>
        <w:rPr>
          <w:rFonts w:cs="Calibri"/>
        </w:rPr>
      </w:pPr>
    </w:p>
    <w:p w:rsidR="00801BA9" w:rsidRDefault="00801BA9" w:rsidP="00801BA9">
      <w:pPr>
        <w:jc w:val="both"/>
        <w:rPr>
          <w:rFonts w:cs="Calibri"/>
        </w:rPr>
      </w:pPr>
    </w:p>
    <w:p w:rsidR="00801BA9" w:rsidRDefault="00801BA9" w:rsidP="00801BA9">
      <w:pPr>
        <w:widowControl w:val="0"/>
        <w:autoSpaceDE w:val="0"/>
        <w:autoSpaceDN w:val="0"/>
        <w:adjustRightInd w:val="0"/>
        <w:ind w:left="2832"/>
        <w:rPr>
          <w:rFonts w:cs="Calibri"/>
          <w:spacing w:val="2"/>
          <w:sz w:val="21"/>
          <w:szCs w:val="21"/>
        </w:rPr>
      </w:pPr>
      <w:r>
        <w:rPr>
          <w:rFonts w:cs="Calibri"/>
          <w:spacing w:val="2"/>
          <w:sz w:val="21"/>
          <w:szCs w:val="21"/>
        </w:rPr>
        <w:t>Mariam Sofía Alfaro Zablah</w:t>
      </w:r>
    </w:p>
    <w:p w:rsidR="00801BA9" w:rsidRDefault="00801BA9" w:rsidP="00801BA9">
      <w:pPr>
        <w:widowControl w:val="0"/>
        <w:autoSpaceDE w:val="0"/>
        <w:autoSpaceDN w:val="0"/>
        <w:adjustRightInd w:val="0"/>
        <w:ind w:left="2670"/>
        <w:rPr>
          <w:rFonts w:cs="Calibri"/>
          <w:sz w:val="21"/>
          <w:szCs w:val="21"/>
        </w:rPr>
      </w:pPr>
      <w:r>
        <w:rPr>
          <w:rFonts w:cs="Calibri"/>
          <w:spacing w:val="2"/>
          <w:sz w:val="21"/>
          <w:szCs w:val="21"/>
        </w:rPr>
        <w:t xml:space="preserve">     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ILP</w:t>
      </w:r>
    </w:p>
    <w:p w:rsidR="004D637E" w:rsidRDefault="004D637E" w:rsidP="00801BA9">
      <w:pPr>
        <w:spacing w:after="200" w:line="276" w:lineRule="auto"/>
      </w:pPr>
      <w:bookmarkStart w:id="0" w:name="_GoBack"/>
      <w:bookmarkEnd w:id="0"/>
    </w:p>
    <w:sectPr w:rsidR="004D637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28F" w:rsidRDefault="00E1028F" w:rsidP="00CE7648">
      <w:r>
        <w:separator/>
      </w:r>
    </w:p>
  </w:endnote>
  <w:endnote w:type="continuationSeparator" w:id="0">
    <w:p w:rsidR="00E1028F" w:rsidRDefault="00E1028F" w:rsidP="00CE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28F" w:rsidRDefault="00E1028F" w:rsidP="00CE7648">
      <w:r>
        <w:separator/>
      </w:r>
    </w:p>
  </w:footnote>
  <w:footnote w:type="continuationSeparator" w:id="0">
    <w:p w:rsidR="00E1028F" w:rsidRDefault="00E1028F" w:rsidP="00CE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8" w:rsidRPr="001E0A3B" w:rsidRDefault="00CE7648" w:rsidP="00CE7648">
    <w:pPr>
      <w:widowControl w:val="0"/>
      <w:autoSpaceDE w:val="0"/>
      <w:autoSpaceDN w:val="0"/>
      <w:adjustRightInd w:val="0"/>
      <w:spacing w:line="453" w:lineRule="exact"/>
      <w:ind w:left="20" w:right="-64"/>
      <w:jc w:val="center"/>
      <w:rPr>
        <w:rFonts w:cs="Calibri"/>
        <w:sz w:val="28"/>
        <w:szCs w:val="28"/>
      </w:rPr>
    </w:pPr>
    <w:r>
      <w:rPr>
        <w:noProof/>
        <w:lang w:eastAsia="es-SV"/>
      </w:rPr>
      <w:drawing>
        <wp:anchor distT="0" distB="0" distL="0" distR="0" simplePos="0" relativeHeight="251659264" behindDoc="0" locked="0" layoutInCell="1" allowOverlap="1" wp14:anchorId="35FF9838" wp14:editId="297F718A">
          <wp:simplePos x="0" y="0"/>
          <wp:positionH relativeFrom="page">
            <wp:posOffset>575310</wp:posOffset>
          </wp:positionH>
          <wp:positionV relativeFrom="page">
            <wp:posOffset>347345</wp:posOffset>
          </wp:positionV>
          <wp:extent cx="1595120" cy="760095"/>
          <wp:effectExtent l="0" t="0" r="5080"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7600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pacing w:val="2"/>
        <w:position w:val="2"/>
        <w:sz w:val="28"/>
        <w:szCs w:val="28"/>
      </w:rPr>
      <w:t>INSTITUTO DE LEGALIZACIÓN DE LA PROPIEDAD</w:t>
    </w:r>
  </w:p>
  <w:p w:rsidR="00CE7648" w:rsidRPr="001E0A3B" w:rsidRDefault="00E1028F" w:rsidP="00CE7648">
    <w:pPr>
      <w:widowControl w:val="0"/>
      <w:autoSpaceDE w:val="0"/>
      <w:autoSpaceDN w:val="0"/>
      <w:adjustRightInd w:val="0"/>
      <w:spacing w:before="10"/>
      <w:ind w:left="61" w:right="-23"/>
      <w:jc w:val="center"/>
      <w:rPr>
        <w:rFonts w:cs="Calibri"/>
        <w:sz w:val="28"/>
        <w:szCs w:val="28"/>
      </w:rPr>
    </w:pPr>
    <w:hyperlink r:id="rId2" w:history="1">
      <w:r w:rsidR="00CE7648" w:rsidRPr="00C856E0">
        <w:rPr>
          <w:rStyle w:val="Hipervnculo"/>
          <w:rFonts w:cs="Calibri"/>
          <w:b/>
          <w:bCs/>
          <w:spacing w:val="-1"/>
          <w:w w:val="101"/>
          <w:sz w:val="28"/>
          <w:szCs w:val="28"/>
        </w:rPr>
        <w:t>W</w:t>
      </w:r>
      <w:r w:rsidR="00CE7648" w:rsidRPr="00C856E0">
        <w:rPr>
          <w:rStyle w:val="Hipervnculo"/>
          <w:rFonts w:cs="Calibri"/>
          <w:b/>
          <w:bCs/>
          <w:spacing w:val="1"/>
          <w:w w:val="101"/>
          <w:sz w:val="28"/>
          <w:szCs w:val="28"/>
        </w:rPr>
        <w:t>W</w:t>
      </w:r>
      <w:r w:rsidR="00CE7648" w:rsidRPr="00C856E0">
        <w:rPr>
          <w:rStyle w:val="Hipervnculo"/>
          <w:rFonts w:cs="Calibri"/>
          <w:b/>
          <w:bCs/>
          <w:spacing w:val="-3"/>
          <w:w w:val="101"/>
          <w:sz w:val="28"/>
          <w:szCs w:val="28"/>
        </w:rPr>
        <w:t>W</w:t>
      </w:r>
      <w:r w:rsidR="00CE7648" w:rsidRPr="00C856E0">
        <w:rPr>
          <w:rStyle w:val="Hipervnculo"/>
          <w:rFonts w:cs="Calibri"/>
          <w:b/>
          <w:bCs/>
          <w:spacing w:val="3"/>
          <w:w w:val="101"/>
          <w:sz w:val="28"/>
          <w:szCs w:val="28"/>
        </w:rPr>
        <w:t>.</w:t>
      </w:r>
      <w:r w:rsidR="00CE7648" w:rsidRPr="00C856E0">
        <w:rPr>
          <w:rStyle w:val="Hipervnculo"/>
          <w:rFonts w:cs="Calibri"/>
          <w:b/>
          <w:bCs/>
          <w:spacing w:val="1"/>
          <w:w w:val="101"/>
          <w:sz w:val="28"/>
          <w:szCs w:val="28"/>
        </w:rPr>
        <w:t>I</w:t>
      </w:r>
      <w:r w:rsidR="00CE7648" w:rsidRPr="00C856E0">
        <w:rPr>
          <w:rStyle w:val="Hipervnculo"/>
          <w:rFonts w:cs="Calibri"/>
          <w:b/>
          <w:bCs/>
          <w:spacing w:val="2"/>
          <w:w w:val="101"/>
          <w:sz w:val="28"/>
          <w:szCs w:val="28"/>
        </w:rPr>
        <w:t>LP</w:t>
      </w:r>
      <w:r w:rsidR="00CE7648" w:rsidRPr="00C856E0">
        <w:rPr>
          <w:rStyle w:val="Hipervnculo"/>
          <w:rFonts w:cs="Calibri"/>
          <w:b/>
          <w:bCs/>
          <w:spacing w:val="1"/>
          <w:w w:val="101"/>
          <w:sz w:val="28"/>
          <w:szCs w:val="28"/>
        </w:rPr>
        <w:t>.G</w:t>
      </w:r>
      <w:r w:rsidR="00CE7648" w:rsidRPr="00C856E0">
        <w:rPr>
          <w:rStyle w:val="Hipervnculo"/>
          <w:rFonts w:cs="Calibri"/>
          <w:b/>
          <w:bCs/>
          <w:spacing w:val="-3"/>
          <w:w w:val="101"/>
          <w:sz w:val="28"/>
          <w:szCs w:val="28"/>
        </w:rPr>
        <w:t>O</w:t>
      </w:r>
      <w:r w:rsidR="00CE7648" w:rsidRPr="00C856E0">
        <w:rPr>
          <w:rStyle w:val="Hipervnculo"/>
          <w:rFonts w:cs="Calibri"/>
          <w:b/>
          <w:bCs/>
          <w:spacing w:val="6"/>
          <w:w w:val="101"/>
          <w:sz w:val="28"/>
          <w:szCs w:val="28"/>
        </w:rPr>
        <w:t>B</w:t>
      </w:r>
      <w:r w:rsidR="00CE7648" w:rsidRPr="00C856E0">
        <w:rPr>
          <w:rStyle w:val="Hipervnculo"/>
          <w:rFonts w:cs="Calibri"/>
          <w:b/>
          <w:bCs/>
          <w:spacing w:val="-1"/>
          <w:w w:val="101"/>
          <w:sz w:val="28"/>
          <w:szCs w:val="28"/>
        </w:rPr>
        <w:t>.</w:t>
      </w:r>
      <w:r w:rsidR="00CE7648" w:rsidRPr="00C856E0">
        <w:rPr>
          <w:rStyle w:val="Hipervnculo"/>
          <w:rFonts w:cs="Calibri"/>
          <w:b/>
          <w:bCs/>
          <w:w w:val="101"/>
          <w:sz w:val="28"/>
          <w:szCs w:val="28"/>
        </w:rPr>
        <w:t>SV</w:t>
      </w:r>
    </w:hyperlink>
  </w:p>
  <w:p w:rsidR="00CE7648" w:rsidRDefault="00CE76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267FF"/>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1" w15:restartNumberingAfterBreak="0">
    <w:nsid w:val="30D33DE1"/>
    <w:multiLevelType w:val="hybridMultilevel"/>
    <w:tmpl w:val="EB20AE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E48011F"/>
    <w:multiLevelType w:val="hybridMultilevel"/>
    <w:tmpl w:val="252EB3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3A5145"/>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4" w15:restartNumberingAfterBreak="0">
    <w:nsid w:val="51921F4C"/>
    <w:multiLevelType w:val="hybridMultilevel"/>
    <w:tmpl w:val="0FC437A0"/>
    <w:lvl w:ilvl="0" w:tplc="8D9AF1B4">
      <w:start w:val="1"/>
      <w:numFmt w:val="upperRoman"/>
      <w:lvlText w:val="%1."/>
      <w:lvlJc w:val="left"/>
      <w:pPr>
        <w:ind w:left="765" w:hanging="720"/>
      </w:pPr>
      <w:rPr>
        <w:rFonts w:hint="default"/>
      </w:rPr>
    </w:lvl>
    <w:lvl w:ilvl="1" w:tplc="440A0019">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5" w15:restartNumberingAfterBreak="0">
    <w:nsid w:val="5CD77C72"/>
    <w:multiLevelType w:val="hybridMultilevel"/>
    <w:tmpl w:val="0FC437A0"/>
    <w:lvl w:ilvl="0" w:tplc="8D9AF1B4">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6" w15:restartNumberingAfterBreak="0">
    <w:nsid w:val="71715164"/>
    <w:multiLevelType w:val="hybridMultilevel"/>
    <w:tmpl w:val="ED70734C"/>
    <w:lvl w:ilvl="0" w:tplc="D986A4C0">
      <w:start w:val="1"/>
      <w:numFmt w:val="decimal"/>
      <w:lvlText w:val="%1."/>
      <w:lvlJc w:val="left"/>
      <w:pPr>
        <w:ind w:left="1485" w:hanging="360"/>
      </w:pPr>
      <w:rPr>
        <w:rFonts w:hint="default"/>
      </w:rPr>
    </w:lvl>
    <w:lvl w:ilvl="1" w:tplc="440A0019" w:tentative="1">
      <w:start w:val="1"/>
      <w:numFmt w:val="lowerLetter"/>
      <w:lvlText w:val="%2."/>
      <w:lvlJc w:val="left"/>
      <w:pPr>
        <w:ind w:left="2205" w:hanging="360"/>
      </w:pPr>
    </w:lvl>
    <w:lvl w:ilvl="2" w:tplc="440A001B" w:tentative="1">
      <w:start w:val="1"/>
      <w:numFmt w:val="lowerRoman"/>
      <w:lvlText w:val="%3."/>
      <w:lvlJc w:val="right"/>
      <w:pPr>
        <w:ind w:left="2925" w:hanging="180"/>
      </w:pPr>
    </w:lvl>
    <w:lvl w:ilvl="3" w:tplc="440A000F" w:tentative="1">
      <w:start w:val="1"/>
      <w:numFmt w:val="decimal"/>
      <w:lvlText w:val="%4."/>
      <w:lvlJc w:val="left"/>
      <w:pPr>
        <w:ind w:left="3645" w:hanging="360"/>
      </w:pPr>
    </w:lvl>
    <w:lvl w:ilvl="4" w:tplc="440A0019" w:tentative="1">
      <w:start w:val="1"/>
      <w:numFmt w:val="lowerLetter"/>
      <w:lvlText w:val="%5."/>
      <w:lvlJc w:val="left"/>
      <w:pPr>
        <w:ind w:left="4365" w:hanging="360"/>
      </w:pPr>
    </w:lvl>
    <w:lvl w:ilvl="5" w:tplc="440A001B" w:tentative="1">
      <w:start w:val="1"/>
      <w:numFmt w:val="lowerRoman"/>
      <w:lvlText w:val="%6."/>
      <w:lvlJc w:val="right"/>
      <w:pPr>
        <w:ind w:left="5085" w:hanging="180"/>
      </w:pPr>
    </w:lvl>
    <w:lvl w:ilvl="6" w:tplc="440A000F" w:tentative="1">
      <w:start w:val="1"/>
      <w:numFmt w:val="decimal"/>
      <w:lvlText w:val="%7."/>
      <w:lvlJc w:val="left"/>
      <w:pPr>
        <w:ind w:left="5805" w:hanging="360"/>
      </w:pPr>
    </w:lvl>
    <w:lvl w:ilvl="7" w:tplc="440A0019" w:tentative="1">
      <w:start w:val="1"/>
      <w:numFmt w:val="lowerLetter"/>
      <w:lvlText w:val="%8."/>
      <w:lvlJc w:val="left"/>
      <w:pPr>
        <w:ind w:left="6525" w:hanging="360"/>
      </w:pPr>
    </w:lvl>
    <w:lvl w:ilvl="8" w:tplc="440A001B" w:tentative="1">
      <w:start w:val="1"/>
      <w:numFmt w:val="lowerRoman"/>
      <w:lvlText w:val="%9."/>
      <w:lvlJc w:val="right"/>
      <w:pPr>
        <w:ind w:left="7245" w:hanging="180"/>
      </w:p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95"/>
    <w:rsid w:val="00026EAC"/>
    <w:rsid w:val="002271CB"/>
    <w:rsid w:val="004D637E"/>
    <w:rsid w:val="005C6FFB"/>
    <w:rsid w:val="007E3DC0"/>
    <w:rsid w:val="00801BA9"/>
    <w:rsid w:val="00807C95"/>
    <w:rsid w:val="00851B8C"/>
    <w:rsid w:val="00962A06"/>
    <w:rsid w:val="00AE27B6"/>
    <w:rsid w:val="00BD25EF"/>
    <w:rsid w:val="00C16B8D"/>
    <w:rsid w:val="00CE7648"/>
    <w:rsid w:val="00D501DE"/>
    <w:rsid w:val="00E1028F"/>
    <w:rsid w:val="00EF38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1D0A3-F138-42BD-9163-C58FD865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95"/>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C95"/>
    <w:pPr>
      <w:spacing w:after="160" w:line="259"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CE7648"/>
    <w:pPr>
      <w:tabs>
        <w:tab w:val="center" w:pos="4419"/>
        <w:tab w:val="right" w:pos="8838"/>
      </w:tabs>
    </w:pPr>
  </w:style>
  <w:style w:type="character" w:customStyle="1" w:styleId="EncabezadoCar">
    <w:name w:val="Encabezado Car"/>
    <w:basedOn w:val="Fuentedeprrafopredeter"/>
    <w:link w:val="Encabezado"/>
    <w:uiPriority w:val="99"/>
    <w:rsid w:val="00CE7648"/>
  </w:style>
  <w:style w:type="paragraph" w:styleId="Piedepgina">
    <w:name w:val="footer"/>
    <w:basedOn w:val="Normal"/>
    <w:link w:val="PiedepginaCar"/>
    <w:uiPriority w:val="99"/>
    <w:unhideWhenUsed/>
    <w:rsid w:val="00CE7648"/>
    <w:pPr>
      <w:tabs>
        <w:tab w:val="center" w:pos="4419"/>
        <w:tab w:val="right" w:pos="8838"/>
      </w:tabs>
    </w:pPr>
  </w:style>
  <w:style w:type="character" w:customStyle="1" w:styleId="PiedepginaCar">
    <w:name w:val="Pie de página Car"/>
    <w:basedOn w:val="Fuentedeprrafopredeter"/>
    <w:link w:val="Piedepgina"/>
    <w:uiPriority w:val="99"/>
    <w:rsid w:val="00CE7648"/>
  </w:style>
  <w:style w:type="character" w:styleId="Hipervnculo">
    <w:name w:val="Hyperlink"/>
    <w:rsid w:val="00CE7648"/>
    <w:rPr>
      <w:rFonts w:cs="Times New Roman"/>
      <w:color w:val="0000FF"/>
      <w:u w:val="single"/>
    </w:rPr>
  </w:style>
  <w:style w:type="character" w:customStyle="1" w:styleId="apple-converted-space">
    <w:name w:val="apple-converted-space"/>
    <w:basedOn w:val="Fuentedeprrafopredeter"/>
    <w:rsid w:val="00C16B8D"/>
  </w:style>
  <w:style w:type="paragraph" w:styleId="Textodeglobo">
    <w:name w:val="Balloon Text"/>
    <w:basedOn w:val="Normal"/>
    <w:link w:val="TextodegloboCar"/>
    <w:uiPriority w:val="99"/>
    <w:semiHidden/>
    <w:unhideWhenUsed/>
    <w:rsid w:val="002271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LP.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4</cp:revision>
  <cp:lastPrinted>2016-07-14T22:33:00Z</cp:lastPrinted>
  <dcterms:created xsi:type="dcterms:W3CDTF">2016-07-14T22:32:00Z</dcterms:created>
  <dcterms:modified xsi:type="dcterms:W3CDTF">2018-01-08T21:23:00Z</dcterms:modified>
</cp:coreProperties>
</file>