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38" w:rsidRPr="00935FB1" w:rsidRDefault="007F75FF" w:rsidP="000D4338">
      <w:pPr>
        <w:keepNext/>
        <w:spacing w:after="200" w:line="276" w:lineRule="auto"/>
        <w:jc w:val="center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7A583D1E" wp14:editId="262DB2F8">
            <wp:simplePos x="0" y="0"/>
            <wp:positionH relativeFrom="margin">
              <wp:align>right</wp:align>
            </wp:positionH>
            <wp:positionV relativeFrom="paragraph">
              <wp:posOffset>5892627</wp:posOffset>
            </wp:positionV>
            <wp:extent cx="1218565" cy="779145"/>
            <wp:effectExtent l="0" t="0" r="63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r lopez OI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7"/>
                    <a:stretch/>
                  </pic:blipFill>
                  <pic:spPr bwMode="auto">
                    <a:xfrm>
                      <a:off x="0" y="0"/>
                      <a:ext cx="1218565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338" w:rsidRPr="00935FB1">
        <w:rPr>
          <w:rFonts w:asciiTheme="majorHAnsi" w:eastAsia="Cambria" w:hAnsiTheme="majorHAnsi" w:cstheme="majorHAnsi"/>
          <w:b/>
          <w:sz w:val="24"/>
          <w:szCs w:val="24"/>
        </w:rPr>
        <w:t>PROGRAMACIÓN DE ACTIVIDADES DE GESTIÓN</w:t>
      </w:r>
      <w:r w:rsidR="0098621E">
        <w:rPr>
          <w:rFonts w:asciiTheme="majorHAnsi" w:eastAsia="Cambria" w:hAnsiTheme="majorHAnsi" w:cstheme="majorHAnsi"/>
          <w:b/>
          <w:sz w:val="24"/>
          <w:szCs w:val="24"/>
        </w:rPr>
        <w:t xml:space="preserve"> PRIMER TRIMESTRE 2020</w:t>
      </w:r>
      <w:r w:rsidR="00B3249A">
        <w:rPr>
          <w:rFonts w:asciiTheme="majorHAnsi" w:eastAsia="Cambria" w:hAnsiTheme="majorHAnsi" w:cstheme="majorHAnsi"/>
          <w:b/>
          <w:sz w:val="24"/>
          <w:szCs w:val="24"/>
        </w:rPr>
        <w:t>. ENERO – MARZO 2020</w:t>
      </w:r>
    </w:p>
    <w:tbl>
      <w:tblPr>
        <w:tblW w:w="1310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10"/>
        <w:gridCol w:w="540"/>
        <w:gridCol w:w="1890"/>
        <w:gridCol w:w="1260"/>
        <w:gridCol w:w="1260"/>
        <w:gridCol w:w="450"/>
        <w:gridCol w:w="540"/>
        <w:gridCol w:w="630"/>
        <w:gridCol w:w="4250"/>
      </w:tblGrid>
      <w:tr w:rsidR="000D4338" w:rsidTr="00344692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B3249A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3249A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 xml:space="preserve">MINISTERIO DE SALUD </w:t>
            </w:r>
            <w:r w:rsidR="0098621E" w:rsidRPr="00B3249A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>HOSPITAL NACIONAL DE LA UNIÓN</w:t>
            </w:r>
          </w:p>
        </w:tc>
      </w:tr>
      <w:tr w:rsidR="000D4338" w:rsidTr="00344692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Plan Operativo A</w:t>
            </w:r>
            <w:r w:rsidR="000D4338"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nual</w:t>
            </w:r>
          </w:p>
        </w:tc>
      </w:tr>
      <w:tr w:rsidR="000D4338" w:rsidTr="00344692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Año 2020</w:t>
            </w:r>
          </w:p>
        </w:tc>
      </w:tr>
      <w:tr w:rsidR="000D4338" w:rsidTr="00344692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Programación de Actividades de Gestión</w:t>
            </w:r>
          </w:p>
        </w:tc>
      </w:tr>
      <w:tr w:rsidR="000D4338" w:rsidTr="005467B6">
        <w:tc>
          <w:tcPr>
            <w:tcW w:w="577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No.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HOSPITAL NACIONAL DE LA UNION</w:t>
            </w:r>
          </w:p>
        </w:tc>
        <w:tc>
          <w:tcPr>
            <w:tcW w:w="54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Meta anual</w:t>
            </w:r>
          </w:p>
        </w:tc>
        <w:tc>
          <w:tcPr>
            <w:tcW w:w="189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Indicador</w:t>
            </w:r>
          </w:p>
        </w:tc>
        <w:tc>
          <w:tcPr>
            <w:tcW w:w="126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Medio de Verificación</w:t>
            </w:r>
          </w:p>
        </w:tc>
        <w:tc>
          <w:tcPr>
            <w:tcW w:w="126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Responsables</w:t>
            </w:r>
          </w:p>
        </w:tc>
        <w:tc>
          <w:tcPr>
            <w:tcW w:w="1620" w:type="dxa"/>
            <w:gridSpan w:val="3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0D4338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1er. Trimestre</w:t>
            </w:r>
          </w:p>
        </w:tc>
        <w:tc>
          <w:tcPr>
            <w:tcW w:w="4250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Supuestos/Factores Condicionantes para el éxito en el cumplimiento de los resultados esperados o metas</w:t>
            </w:r>
          </w:p>
        </w:tc>
      </w:tr>
      <w:tr w:rsidR="000D4338" w:rsidTr="005467B6">
        <w:tc>
          <w:tcPr>
            <w:tcW w:w="577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Prog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Realiz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%</w:t>
            </w:r>
          </w:p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0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Objetivo: Reducir la </w:t>
            </w: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morbi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-mortalidad materna neonatal mediante la atención oportuna y eficaz.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1,1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 Disminución del porcentaje de recién nacidos prematuros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Monitorio de Pacientes embarazas con atención odontológica en consulta externa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atenciones de pacientes embarazadas con atención protocolo de salud Bucal / Total de embarazadas que se atendieron en el área de odontología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Tabulador interno de Odontología, libro de actas.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Dra. Melisa Granados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mensual del total de atenciones odontológicas sobre el total de atenciones que recibieron el protocolo de salud bucal.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Evaluar el cumplimiento de guías de atención d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e IVU en el embarazo en consulta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externa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# pacientes que cumplen el protocolo de atención de IVU en el embarazo / Paciente embarazadas atendidas con IVU en Consulta externa 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indicadores obstétricos, monitoreo de expedientes Clínico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Dra</w:t>
            </w:r>
            <w:proofErr w:type="spellEnd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Araniva</w:t>
            </w:r>
            <w:proofErr w:type="spellEnd"/>
          </w:p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Dr. Vaquerano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pacientes embrazadas que recibieron el protocolo de atención IVU en el embarazo.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Resultado esperado: Atención adecuada de complicaciones obstétricas 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98621E" w:rsidRDefault="0098621E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  <w:p w:rsidR="000D4338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Evaluación de cumplimiento de Código Rojo en casos de hemorragias obstétricas</w:t>
            </w:r>
          </w:p>
          <w:p w:rsidR="0098621E" w:rsidRPr="00433C13" w:rsidRDefault="0098621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pacientes que cumplieron normativa de código rojo / Total de pacientes que presentaron hemorragia obstétrica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mensuales del comité Código Rojo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Jefe del Centro Obstétrico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98621E" w:rsidRDefault="0098621E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  <w:p w:rsidR="000D4338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Capacitación del personal médico y enfermen sobre la atención de las morbilidades obstétricas</w:t>
            </w:r>
          </w:p>
          <w:p w:rsidR="0098621E" w:rsidRPr="00433C13" w:rsidRDefault="0098621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capacitaciones realizadas / # de Capacitaciones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Libro de actas, Evaluación de POA centro Obstétrico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Jefatura del Centro Obstétrico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F75F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0288" behindDoc="1" locked="0" layoutInCell="1" allowOverlap="1" wp14:anchorId="7C4EAFD4" wp14:editId="71BC4136">
                  <wp:simplePos x="0" y="0"/>
                  <wp:positionH relativeFrom="margin">
                    <wp:posOffset>1308735</wp:posOffset>
                  </wp:positionH>
                  <wp:positionV relativeFrom="paragraph">
                    <wp:posOffset>1104900</wp:posOffset>
                  </wp:positionV>
                  <wp:extent cx="1218565" cy="779145"/>
                  <wp:effectExtent l="0" t="0" r="635" b="190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37"/>
                          <a:stretch/>
                        </pic:blipFill>
                        <pic:spPr bwMode="auto">
                          <a:xfrm>
                            <a:off x="0" y="0"/>
                            <a:ext cx="1218565" cy="77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0AF"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listado de asistencia de la capacitación sobre código rojo y código Naranja y un informe técnico sobre dicha capacitación.</w:t>
            </w:r>
            <w:r w:rsidR="007F75FF" w:rsidRPr="007F75FF"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Objetivo:  Reducir la </w:t>
            </w: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morbi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-mortalidad y discapacidad de las enfermedad crónica no transmisibles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Fortalece el cumplimiento de la normativa de atención de los pacientes crónicos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Capacitar al personal médico y enfermeras para la atención de los pacientes ENT</w:t>
            </w:r>
          </w:p>
          <w:p w:rsidR="0098621E" w:rsidRPr="00433C13" w:rsidRDefault="0098621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capacitaciones realizadas / # capacitaciones programado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Libro de asistencia.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Referente de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*Capacitación programada para el personal médico y enfermería sobre la atención de los pacientes ENT estaba para el mes de Marzo, mes en el cual se suspendieron todas las actividades académicas por la Emergencia COVID-19.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Garantizar la existencia de medicamentos e insumos para el manejo de los pacientes crónicos</w:t>
            </w:r>
          </w:p>
          <w:p w:rsidR="0098621E" w:rsidRPr="00433C13" w:rsidRDefault="0098621E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90 %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Abastecimiento Actual / Abastecimiento Meta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Reporte de abastecimiento mensual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de las ENT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Médico asesor de suministro.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2.1.3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Promover el Grupo de pacientes ENT con sesiones educativas</w:t>
            </w:r>
          </w:p>
          <w:p w:rsidR="0098621E" w:rsidRPr="00433C13" w:rsidRDefault="0098621E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Sesiones educativas ralizadas/ sesiones educativas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Lista de Asistencia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Comité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presentan lista de asistencia de las sesiones educativas, la cual a partir de Marzo se ha suspendido dichas actividades por la Emergencia COVID-19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2.1.4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Clasificación de los pacientes con enfermedad renal</w:t>
            </w:r>
          </w:p>
          <w:p w:rsidR="0098621E" w:rsidRPr="00433C13" w:rsidRDefault="0098621E" w:rsidP="00344692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Revisión de Expedientes realizados/ Rev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isión de expedientes programados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Acta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Comité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FA583C" w:rsidP="00816C01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2336" behindDoc="1" locked="0" layoutInCell="1" allowOverlap="1" wp14:anchorId="038828FC" wp14:editId="19990ED6">
                  <wp:simplePos x="0" y="0"/>
                  <wp:positionH relativeFrom="margin">
                    <wp:posOffset>935355</wp:posOffset>
                  </wp:positionH>
                  <wp:positionV relativeFrom="paragraph">
                    <wp:posOffset>977900</wp:posOffset>
                  </wp:positionV>
                  <wp:extent cx="1218565" cy="779145"/>
                  <wp:effectExtent l="0" t="0" r="635" b="190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37"/>
                          <a:stretch/>
                        </pic:blipFill>
                        <pic:spPr bwMode="auto">
                          <a:xfrm>
                            <a:off x="0" y="0"/>
                            <a:ext cx="1218565" cy="77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6C01">
              <w:rPr>
                <w:rFonts w:asciiTheme="majorHAnsi" w:hAnsiTheme="majorHAnsi" w:cstheme="majorHAnsi"/>
                <w:sz w:val="20"/>
                <w:szCs w:val="20"/>
              </w:rPr>
              <w:t xml:space="preserve">Se realiza informe de </w:t>
            </w:r>
            <w:r w:rsidR="005467B6">
              <w:rPr>
                <w:rFonts w:asciiTheme="majorHAnsi" w:hAnsiTheme="majorHAnsi" w:cstheme="majorHAnsi"/>
                <w:sz w:val="20"/>
                <w:szCs w:val="20"/>
              </w:rPr>
              <w:t xml:space="preserve">la revisión de expedientes clínicos, encontrándose una clasificación de los pacientes renal en los últimos </w:t>
            </w:r>
            <w:proofErr w:type="spellStart"/>
            <w:r w:rsidR="005467B6">
              <w:rPr>
                <w:rFonts w:asciiTheme="majorHAnsi" w:hAnsiTheme="majorHAnsi" w:cstheme="majorHAnsi"/>
                <w:sz w:val="20"/>
                <w:szCs w:val="20"/>
              </w:rPr>
              <w:t>estadíos</w:t>
            </w:r>
            <w:proofErr w:type="spellEnd"/>
            <w:r w:rsidR="005467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FA583C"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Objetivo: Brindar atención oportuna y eficaz a la población que demanda la institución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Satisfacción del Usuario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Realización de encuestas de satisfacción en los diferentes servicios Hospitalarios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encuestas realizadas / # encuestas programas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la Oficina por el Derecho de la Salud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Encargado de la ODS / Jefe de Calidad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 sobre las encuestas de satisfacción realizadas en los diferentes servicios de hospitalización.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Apertura del Buzón de quejas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quejas y reclamos investigados / # quejas y reclamos recibidos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la Oficina del Derecho de la Salud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Encargado de la ODS / Jefe de Calidad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100 5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 sobre las quejas recibidas.</w:t>
            </w:r>
          </w:p>
        </w:tc>
      </w:tr>
      <w:tr w:rsidR="000D4338" w:rsidRPr="00433C13" w:rsidTr="00B3249A">
        <w:tc>
          <w:tcPr>
            <w:tcW w:w="577" w:type="dxa"/>
            <w:shd w:val="clear" w:color="auto" w:fill="9CC2E5" w:themeFill="accent1" w:themeFillTint="99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530" w:type="dxa"/>
            <w:gridSpan w:val="9"/>
            <w:shd w:val="clear" w:color="auto" w:fill="9CC2E5" w:themeFill="accent1" w:themeFillTint="99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Objetivo: Garantizar la seguridad de nuestros usuarios y empleados mediante la prevención y disminución de riesgos ocupacional y ambientales</w:t>
            </w:r>
          </w:p>
        </w:tc>
      </w:tr>
      <w:tr w:rsidR="000D4338" w:rsidRPr="00433C13" w:rsidTr="0098621E">
        <w:tc>
          <w:tcPr>
            <w:tcW w:w="577" w:type="dxa"/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</w:t>
            </w:r>
          </w:p>
        </w:tc>
        <w:tc>
          <w:tcPr>
            <w:tcW w:w="12530" w:type="dxa"/>
            <w:gridSpan w:val="9"/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Resultado: Evitar enfermedades infecto-contagiosas a nuestros usuarios y al personal que labora en la institución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Inspección de trata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miento de deshechos Bioinfeccio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sos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#de inspecciones realizadas / # inspecciones programadas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de Unidad Ambiental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</w:t>
            </w:r>
            <w:r w:rsidR="00B3249A">
              <w:rPr>
                <w:rFonts w:asciiTheme="majorHAnsi" w:hAnsiTheme="majorHAnsi" w:cstheme="majorHAnsi"/>
                <w:sz w:val="20"/>
                <w:szCs w:val="20"/>
              </w:rPr>
              <w:t xml:space="preserve"> de las inspecciones realizadas.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Inspeccionar la limpieza en los servicios hospitalario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#de inspecciones realizadas / # inspecciones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de Unidad Ambiental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FA583C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4384" behindDoc="1" locked="0" layoutInCell="1" allowOverlap="1" wp14:anchorId="0B14A924" wp14:editId="32A976A9">
                  <wp:simplePos x="0" y="0"/>
                  <wp:positionH relativeFrom="margin">
                    <wp:posOffset>731520</wp:posOffset>
                  </wp:positionH>
                  <wp:positionV relativeFrom="paragraph">
                    <wp:posOffset>894080</wp:posOffset>
                  </wp:positionV>
                  <wp:extent cx="1218565" cy="779145"/>
                  <wp:effectExtent l="0" t="0" r="635" b="190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37"/>
                          <a:stretch/>
                        </pic:blipFill>
                        <pic:spPr bwMode="auto">
                          <a:xfrm>
                            <a:off x="0" y="0"/>
                            <a:ext cx="1218565" cy="77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249A"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4.1.3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Supervisión del programa de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reciclaje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Supervisión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realizadas / supervisiones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 xml:space="preserve">Informe de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 xml:space="preserve">Unidad de Saneamiento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rPr>
          <w:trHeight w:val="1826"/>
        </w:trPr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Toma de muestras de agua para análisis de trazas de metales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tomas realizadas / # tomas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4.1.5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Toma de muestras d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e agua para análisis bacteriológico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tomas realizadas / # tomas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34469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34469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</w:tbl>
    <w:p w:rsidR="000D4338" w:rsidRPr="00433C13" w:rsidRDefault="000D4338" w:rsidP="000D4338">
      <w:pPr>
        <w:keepNext/>
        <w:spacing w:after="200" w:line="276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</w:p>
    <w:p w:rsidR="000D4338" w:rsidRPr="00433C13" w:rsidRDefault="00FA583C" w:rsidP="000D433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mbria" w:hAnsiTheme="majorHAnsi" w:cstheme="majorHAnsi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6432" behindDoc="1" locked="0" layoutInCell="1" allowOverlap="1" wp14:anchorId="30433563" wp14:editId="1D63EF02">
            <wp:simplePos x="0" y="0"/>
            <wp:positionH relativeFrom="margin">
              <wp:posOffset>6664036</wp:posOffset>
            </wp:positionH>
            <wp:positionV relativeFrom="paragraph">
              <wp:posOffset>15701</wp:posOffset>
            </wp:positionV>
            <wp:extent cx="1218565" cy="779145"/>
            <wp:effectExtent l="0" t="0" r="63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r lopez OI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7"/>
                    <a:stretch/>
                  </pic:blipFill>
                  <pic:spPr bwMode="auto">
                    <a:xfrm>
                      <a:off x="0" y="0"/>
                      <a:ext cx="1218565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338" w:rsidRDefault="000D4338" w:rsidP="000D4338"/>
    <w:p w:rsidR="000D4338" w:rsidRDefault="000D4338" w:rsidP="000D4338"/>
    <w:p w:rsidR="0060692A" w:rsidRDefault="0060692A"/>
    <w:p w:rsidR="008F78EB" w:rsidRDefault="008F78EB"/>
    <w:p w:rsidR="008F78EB" w:rsidRDefault="008F78EB"/>
    <w:p w:rsidR="008F78EB" w:rsidRDefault="008F78EB"/>
    <w:p w:rsidR="008F78EB" w:rsidRDefault="008F78EB"/>
    <w:p w:rsidR="008F78EB" w:rsidRDefault="008F78EB"/>
    <w:p w:rsidR="008F78EB" w:rsidRDefault="008F78EB"/>
    <w:p w:rsidR="008F78EB" w:rsidRDefault="008F78EB"/>
    <w:p w:rsidR="008F78EB" w:rsidRDefault="008F78EB"/>
    <w:p w:rsidR="008F78EB" w:rsidRDefault="008F78EB" w:rsidP="008F78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ANALISIS.</w:t>
      </w:r>
    </w:p>
    <w:p w:rsidR="008F78EB" w:rsidRDefault="008F78EB" w:rsidP="008F78EB">
      <w:pPr>
        <w:jc w:val="center"/>
        <w:rPr>
          <w:rFonts w:ascii="Arial" w:hAnsi="Arial" w:cs="Arial"/>
          <w:b/>
          <w:sz w:val="24"/>
          <w:szCs w:val="24"/>
        </w:rPr>
      </w:pPr>
    </w:p>
    <w:p w:rsidR="008F78EB" w:rsidRPr="008F78EB" w:rsidRDefault="008F78EB" w:rsidP="008F78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realiza la evaluación del primer trimestre de la PAO hospitalaria, encontrándose la realización de las actividades programadas para el cumplimiento de los objetivos institucionales; a partir de marzo ante la emergencia COVID 19 se suspendieron la capacitación de personal, quedando pendiente ese indicador. El resto de objetivo se ha verificado el cumplimiento.</w:t>
      </w:r>
      <w:bookmarkStart w:id="0" w:name="_GoBack"/>
      <w:bookmarkEnd w:id="0"/>
    </w:p>
    <w:sectPr w:rsidR="008F78EB" w:rsidRPr="008F78EB" w:rsidSect="000D4338">
      <w:pgSz w:w="15840" w:h="12240" w:orient="landscape" w:code="1"/>
      <w:pgMar w:top="1411" w:right="1701" w:bottom="141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8"/>
    <w:rsid w:val="000D4338"/>
    <w:rsid w:val="00284799"/>
    <w:rsid w:val="004038CE"/>
    <w:rsid w:val="004119C3"/>
    <w:rsid w:val="005467B6"/>
    <w:rsid w:val="0060692A"/>
    <w:rsid w:val="007470AF"/>
    <w:rsid w:val="007F75FF"/>
    <w:rsid w:val="00816C01"/>
    <w:rsid w:val="008C25C5"/>
    <w:rsid w:val="008F78EB"/>
    <w:rsid w:val="0098621E"/>
    <w:rsid w:val="00B3249A"/>
    <w:rsid w:val="00F11348"/>
    <w:rsid w:val="00F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38"/>
    <w:pPr>
      <w:spacing w:before="120" w:line="240" w:lineRule="auto"/>
    </w:pPr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38"/>
    <w:pPr>
      <w:spacing w:before="120" w:line="240" w:lineRule="auto"/>
    </w:pPr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Ivania</dc:creator>
  <cp:lastModifiedBy>Dr. Lopez Mojica</cp:lastModifiedBy>
  <cp:revision>3</cp:revision>
  <dcterms:created xsi:type="dcterms:W3CDTF">2020-05-21T17:24:00Z</dcterms:created>
  <dcterms:modified xsi:type="dcterms:W3CDTF">2020-05-21T17:39:00Z</dcterms:modified>
</cp:coreProperties>
</file>