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4A" w:rsidRPr="009A0FDF" w:rsidRDefault="00BC104A" w:rsidP="00BC104A">
      <w:pPr>
        <w:jc w:val="center"/>
        <w:rPr>
          <w:sz w:val="24"/>
          <w:szCs w:val="24"/>
        </w:rPr>
      </w:pPr>
      <w:r w:rsidRPr="009A0FDF">
        <w:rPr>
          <w:noProof/>
          <w:sz w:val="24"/>
          <w:szCs w:val="24"/>
          <w:lang w:eastAsia="es-SV"/>
        </w:rPr>
        <w:drawing>
          <wp:inline distT="0" distB="0" distL="0" distR="0" wp14:anchorId="21ABD713" wp14:editId="5866AEB8">
            <wp:extent cx="955074" cy="883444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74" cy="88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04A" w:rsidRPr="009A0FDF" w:rsidRDefault="00BC104A" w:rsidP="00BC104A">
      <w:pPr>
        <w:jc w:val="center"/>
        <w:rPr>
          <w:b/>
          <w:sz w:val="24"/>
          <w:szCs w:val="24"/>
        </w:rPr>
      </w:pPr>
      <w:r w:rsidRPr="009A0FDF">
        <w:rPr>
          <w:b/>
          <w:sz w:val="24"/>
          <w:szCs w:val="24"/>
        </w:rPr>
        <w:t>GUIA DE ORGANIZACIÓN DE ARCHIVOS</w:t>
      </w:r>
    </w:p>
    <w:p w:rsidR="00BC104A" w:rsidRPr="009A0FDF" w:rsidRDefault="00BC104A" w:rsidP="00BC104A">
      <w:pPr>
        <w:jc w:val="center"/>
        <w:rPr>
          <w:sz w:val="24"/>
          <w:szCs w:val="24"/>
        </w:rPr>
      </w:pPr>
      <w:r w:rsidRPr="009A0FDF">
        <w:rPr>
          <w:b/>
          <w:sz w:val="24"/>
          <w:szCs w:val="24"/>
        </w:rPr>
        <w:t>GOBERNACION POLITICA DEPARTAMENTAL DE SAN SALVADOR</w:t>
      </w:r>
    </w:p>
    <w:p w:rsidR="00BC104A" w:rsidRDefault="00BC104A" w:rsidP="00BC104A">
      <w:pPr>
        <w:rPr>
          <w:sz w:val="48"/>
          <w:szCs w:val="48"/>
        </w:rPr>
      </w:pPr>
    </w:p>
    <w:p w:rsidR="008E3612" w:rsidRPr="00435DF4" w:rsidRDefault="008E3612" w:rsidP="000F4CCC">
      <w:pPr>
        <w:pStyle w:val="Ttulo1"/>
        <w:rPr>
          <w:sz w:val="24"/>
          <w:szCs w:val="24"/>
        </w:rPr>
      </w:pPr>
      <w:r w:rsidRPr="00435DF4">
        <w:rPr>
          <w:sz w:val="24"/>
          <w:szCs w:val="24"/>
        </w:rPr>
        <w:t>FINALIDAD</w:t>
      </w:r>
    </w:p>
    <w:p w:rsidR="008E3612" w:rsidRDefault="00BC104A" w:rsidP="008E3612">
      <w:pPr>
        <w:rPr>
          <w:sz w:val="23"/>
          <w:szCs w:val="23"/>
        </w:rPr>
      </w:pPr>
      <w:r w:rsidRPr="00435DF4">
        <w:t>El presente</w:t>
      </w:r>
      <w:r w:rsidR="008E3612" w:rsidRPr="00435DF4">
        <w:t xml:space="preserve"> documento tiene como objeto de f</w:t>
      </w:r>
      <w:r w:rsidR="008E3612">
        <w:rPr>
          <w:sz w:val="23"/>
          <w:szCs w:val="23"/>
        </w:rPr>
        <w:t xml:space="preserve">acilitar la obtención y acceso a </w:t>
      </w:r>
      <w:r w:rsidR="00435DF4">
        <w:rPr>
          <w:sz w:val="23"/>
          <w:szCs w:val="23"/>
        </w:rPr>
        <w:t>la</w:t>
      </w:r>
      <w:r w:rsidR="008E3612">
        <w:rPr>
          <w:sz w:val="23"/>
          <w:szCs w:val="23"/>
        </w:rPr>
        <w:t xml:space="preserve"> información disponible en la Gobernación de San Salvador, </w:t>
      </w:r>
      <w:r w:rsidR="00EB5345">
        <w:rPr>
          <w:sz w:val="23"/>
          <w:szCs w:val="23"/>
        </w:rPr>
        <w:t>estableciendo</w:t>
      </w:r>
      <w:r w:rsidR="008E3612">
        <w:rPr>
          <w:sz w:val="23"/>
          <w:szCs w:val="23"/>
        </w:rPr>
        <w:t xml:space="preserve"> lineamientos que permitan lograr dicho Objetivo.</w:t>
      </w:r>
    </w:p>
    <w:p w:rsidR="008E3612" w:rsidRPr="00435DF4" w:rsidRDefault="008E3612" w:rsidP="00435DF4">
      <w:pPr>
        <w:pStyle w:val="Ttulo1"/>
        <w:rPr>
          <w:sz w:val="24"/>
          <w:szCs w:val="24"/>
        </w:rPr>
      </w:pPr>
      <w:r w:rsidRPr="00435DF4">
        <w:rPr>
          <w:sz w:val="24"/>
          <w:szCs w:val="24"/>
        </w:rPr>
        <w:t>MARCO LEGAL</w:t>
      </w:r>
    </w:p>
    <w:p w:rsidR="008E3612" w:rsidRPr="008E3612" w:rsidRDefault="008E3612" w:rsidP="008E3612">
      <w:pPr>
        <w:rPr>
          <w:sz w:val="23"/>
          <w:szCs w:val="23"/>
        </w:rPr>
      </w:pPr>
      <w:r>
        <w:rPr>
          <w:sz w:val="23"/>
          <w:szCs w:val="23"/>
        </w:rPr>
        <w:t>Gu</w:t>
      </w:r>
      <w:r w:rsidRPr="008E3612">
        <w:rPr>
          <w:sz w:val="23"/>
          <w:szCs w:val="23"/>
        </w:rPr>
        <w:t>ía de organización de los Archivos</w:t>
      </w:r>
    </w:p>
    <w:p w:rsidR="008E3612" w:rsidRPr="008E3612" w:rsidRDefault="008E3612" w:rsidP="008E3612">
      <w:pPr>
        <w:rPr>
          <w:sz w:val="23"/>
          <w:szCs w:val="23"/>
        </w:rPr>
      </w:pPr>
      <w:r>
        <w:rPr>
          <w:sz w:val="23"/>
          <w:szCs w:val="23"/>
        </w:rPr>
        <w:t>Art. 48. Reglamento de la Ley de Acceso a la Información Publica</w:t>
      </w:r>
    </w:p>
    <w:p w:rsidR="008E3612" w:rsidRDefault="008E3612" w:rsidP="008E3612">
      <w:pPr>
        <w:rPr>
          <w:sz w:val="23"/>
          <w:szCs w:val="23"/>
        </w:rPr>
      </w:pPr>
      <w:r w:rsidRPr="008E3612">
        <w:rPr>
          <w:sz w:val="23"/>
          <w:szCs w:val="23"/>
        </w:rPr>
        <w:t>De conformidad con los lineamientos emitidos por el Instituto o los criterios específicos que emita el Ente Obligado correspondiente, el Responsable de</w:t>
      </w:r>
      <w:r>
        <w:rPr>
          <w:sz w:val="23"/>
          <w:szCs w:val="23"/>
        </w:rPr>
        <w:t xml:space="preserve"> </w:t>
      </w:r>
      <w:r w:rsidRPr="008E3612">
        <w:rPr>
          <w:sz w:val="23"/>
          <w:szCs w:val="23"/>
        </w:rPr>
        <w:t>Archivos elaborará una guía simple de la organización</w:t>
      </w:r>
      <w:r>
        <w:rPr>
          <w:sz w:val="23"/>
          <w:szCs w:val="23"/>
        </w:rPr>
        <w:t xml:space="preserve"> </w:t>
      </w:r>
      <w:r w:rsidRPr="008E3612">
        <w:rPr>
          <w:sz w:val="23"/>
          <w:szCs w:val="23"/>
        </w:rPr>
        <w:t>de los archivos de la dependencia o entidad, con el</w:t>
      </w:r>
      <w:r>
        <w:rPr>
          <w:sz w:val="23"/>
          <w:szCs w:val="23"/>
        </w:rPr>
        <w:t xml:space="preserve"> </w:t>
      </w:r>
      <w:r w:rsidRPr="008E3612">
        <w:rPr>
          <w:sz w:val="23"/>
          <w:szCs w:val="23"/>
        </w:rPr>
        <w:t>objeto de facilitar la obtención y acceso a la información publicada.</w:t>
      </w:r>
    </w:p>
    <w:p w:rsidR="008E3612" w:rsidRPr="00435DF4" w:rsidRDefault="008E3612" w:rsidP="00435DF4">
      <w:pPr>
        <w:pStyle w:val="Ttulo1"/>
        <w:rPr>
          <w:sz w:val="24"/>
          <w:szCs w:val="24"/>
        </w:rPr>
      </w:pPr>
    </w:p>
    <w:p w:rsidR="008E3612" w:rsidRPr="00435DF4" w:rsidRDefault="008E3612" w:rsidP="00435DF4">
      <w:pPr>
        <w:pStyle w:val="Ttulo1"/>
        <w:rPr>
          <w:sz w:val="24"/>
          <w:szCs w:val="24"/>
        </w:rPr>
      </w:pPr>
      <w:r w:rsidRPr="00435DF4">
        <w:rPr>
          <w:sz w:val="24"/>
          <w:szCs w:val="24"/>
        </w:rPr>
        <w:t>DIAGNOSTICO</w:t>
      </w:r>
    </w:p>
    <w:p w:rsidR="00A842E9" w:rsidRDefault="008E3612" w:rsidP="008E3612">
      <w:pPr>
        <w:rPr>
          <w:sz w:val="23"/>
          <w:szCs w:val="23"/>
        </w:rPr>
      </w:pPr>
      <w:r>
        <w:rPr>
          <w:sz w:val="23"/>
          <w:szCs w:val="23"/>
        </w:rPr>
        <w:t xml:space="preserve">Actualmente en la </w:t>
      </w:r>
      <w:r w:rsidR="00EB5345">
        <w:rPr>
          <w:sz w:val="23"/>
          <w:szCs w:val="23"/>
        </w:rPr>
        <w:t>Gobernación</w:t>
      </w:r>
      <w:r>
        <w:rPr>
          <w:sz w:val="23"/>
          <w:szCs w:val="23"/>
        </w:rPr>
        <w:t xml:space="preserve"> no se tiene una Unidad de Archivo </w:t>
      </w:r>
      <w:r w:rsidR="00EB5345">
        <w:rPr>
          <w:sz w:val="23"/>
          <w:szCs w:val="23"/>
        </w:rPr>
        <w:t>específica</w:t>
      </w:r>
      <w:r>
        <w:rPr>
          <w:sz w:val="23"/>
          <w:szCs w:val="23"/>
        </w:rPr>
        <w:t xml:space="preserve">, el Control de los documentos lo lleva cada empleado según la función </w:t>
      </w:r>
      <w:r w:rsidR="00A842E9">
        <w:rPr>
          <w:sz w:val="23"/>
          <w:szCs w:val="23"/>
        </w:rPr>
        <w:t xml:space="preserve">que realiza, llevándose diferentes archivos según los criterios de clasificación: temático y cronológico. </w:t>
      </w:r>
    </w:p>
    <w:p w:rsidR="00A842E9" w:rsidRDefault="00A842E9" w:rsidP="008E3612">
      <w:pPr>
        <w:rPr>
          <w:sz w:val="23"/>
          <w:szCs w:val="23"/>
        </w:rPr>
      </w:pPr>
      <w:r>
        <w:rPr>
          <w:sz w:val="23"/>
          <w:szCs w:val="23"/>
        </w:rPr>
        <w:t xml:space="preserve">A nivel de Infraestructura no se tienes las condiciones ambientales necesarias (humedad, espacio, temperatura) para la correcta conservación de los documentos,   a pesar de que los mismo están ubicados en estantería estos no </w:t>
      </w:r>
      <w:r w:rsidR="00CC6DB6">
        <w:rPr>
          <w:sz w:val="23"/>
          <w:szCs w:val="23"/>
        </w:rPr>
        <w:t>cumplen</w:t>
      </w:r>
      <w:r>
        <w:rPr>
          <w:sz w:val="23"/>
          <w:szCs w:val="23"/>
        </w:rPr>
        <w:t xml:space="preserve"> las normas de espacio (80 </w:t>
      </w:r>
      <w:proofErr w:type="spellStart"/>
      <w:r>
        <w:rPr>
          <w:sz w:val="23"/>
          <w:szCs w:val="23"/>
        </w:rPr>
        <w:t>cms</w:t>
      </w:r>
      <w:proofErr w:type="spellEnd"/>
      <w:r>
        <w:rPr>
          <w:sz w:val="23"/>
          <w:szCs w:val="23"/>
        </w:rPr>
        <w:t xml:space="preserve"> entre línea) entre ellas.</w:t>
      </w:r>
    </w:p>
    <w:p w:rsidR="00EB5345" w:rsidRDefault="00A842E9" w:rsidP="008E3612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Como </w:t>
      </w:r>
      <w:r w:rsidR="00CC6DB6">
        <w:rPr>
          <w:sz w:val="23"/>
          <w:szCs w:val="23"/>
        </w:rPr>
        <w:t>último</w:t>
      </w:r>
      <w:r>
        <w:rPr>
          <w:sz w:val="23"/>
          <w:szCs w:val="23"/>
        </w:rPr>
        <w:t xml:space="preserve"> elemento no se poseen las condiciones de </w:t>
      </w:r>
      <w:r w:rsidR="000010D8">
        <w:rPr>
          <w:sz w:val="23"/>
          <w:szCs w:val="23"/>
        </w:rPr>
        <w:t xml:space="preserve">seguridad </w:t>
      </w:r>
      <w:r>
        <w:rPr>
          <w:sz w:val="23"/>
          <w:szCs w:val="23"/>
        </w:rPr>
        <w:t xml:space="preserve">que permita el resguardo de los mismos ante incendios o sismos; </w:t>
      </w:r>
      <w:r w:rsidR="000010D8">
        <w:rPr>
          <w:sz w:val="23"/>
          <w:szCs w:val="23"/>
        </w:rPr>
        <w:t xml:space="preserve">con el </w:t>
      </w:r>
      <w:r w:rsidR="00CC6DB6">
        <w:rPr>
          <w:sz w:val="23"/>
          <w:szCs w:val="23"/>
        </w:rPr>
        <w:t>agravante</w:t>
      </w:r>
      <w:r w:rsidR="000010D8">
        <w:rPr>
          <w:sz w:val="23"/>
          <w:szCs w:val="23"/>
        </w:rPr>
        <w:t xml:space="preserve"> que no se cuenta con un respaldo  digital de los documentos emitidos. </w:t>
      </w:r>
    </w:p>
    <w:p w:rsidR="000010D8" w:rsidRDefault="000010D8" w:rsidP="008E3612">
      <w:pPr>
        <w:rPr>
          <w:sz w:val="23"/>
          <w:szCs w:val="23"/>
        </w:rPr>
      </w:pPr>
    </w:p>
    <w:p w:rsidR="000010D8" w:rsidRPr="00435DF4" w:rsidRDefault="000010D8" w:rsidP="00435DF4">
      <w:pPr>
        <w:pStyle w:val="Ttulo1"/>
        <w:rPr>
          <w:sz w:val="24"/>
          <w:szCs w:val="24"/>
        </w:rPr>
      </w:pPr>
      <w:r w:rsidRPr="00435DF4">
        <w:rPr>
          <w:sz w:val="24"/>
          <w:szCs w:val="24"/>
        </w:rPr>
        <w:t>INFORMACION INSTITUCIONAL OFICIOSA</w:t>
      </w:r>
      <w:bookmarkStart w:id="0" w:name="_GoBack"/>
      <w:bookmarkEnd w:id="0"/>
    </w:p>
    <w:p w:rsidR="000010D8" w:rsidRDefault="000010D8" w:rsidP="008E3612">
      <w:pPr>
        <w:rPr>
          <w:sz w:val="23"/>
          <w:szCs w:val="23"/>
        </w:rPr>
      </w:pPr>
      <w:r>
        <w:rPr>
          <w:sz w:val="23"/>
          <w:szCs w:val="23"/>
        </w:rPr>
        <w:t xml:space="preserve">Actualmente en la </w:t>
      </w:r>
      <w:r w:rsidR="00CC6DB6">
        <w:rPr>
          <w:sz w:val="23"/>
          <w:szCs w:val="23"/>
        </w:rPr>
        <w:t>Gobernación</w:t>
      </w:r>
      <w:r>
        <w:rPr>
          <w:sz w:val="23"/>
          <w:szCs w:val="23"/>
        </w:rPr>
        <w:t xml:space="preserve"> de San Salvador no existe </w:t>
      </w:r>
      <w:r w:rsidR="00CC6DB6">
        <w:rPr>
          <w:sz w:val="23"/>
          <w:szCs w:val="23"/>
        </w:rPr>
        <w:t>declaratoria</w:t>
      </w:r>
      <w:r>
        <w:rPr>
          <w:sz w:val="23"/>
          <w:szCs w:val="23"/>
        </w:rPr>
        <w:t xml:space="preserve"> de Reserva de </w:t>
      </w:r>
      <w:r w:rsidR="00CC6DB6">
        <w:rPr>
          <w:sz w:val="23"/>
          <w:szCs w:val="23"/>
        </w:rPr>
        <w:t>Información</w:t>
      </w:r>
      <w:r>
        <w:rPr>
          <w:sz w:val="23"/>
          <w:szCs w:val="23"/>
        </w:rPr>
        <w:t xml:space="preserve">, por lo tanto toda la documentación es de carácter oficiosa. </w:t>
      </w:r>
    </w:p>
    <w:p w:rsidR="000010D8" w:rsidRDefault="000010D8" w:rsidP="008E3612">
      <w:pPr>
        <w:rPr>
          <w:sz w:val="23"/>
          <w:szCs w:val="23"/>
        </w:rPr>
      </w:pPr>
      <w:r>
        <w:rPr>
          <w:sz w:val="23"/>
          <w:szCs w:val="23"/>
        </w:rPr>
        <w:t xml:space="preserve">En el siguiente cuadro se muestra la </w:t>
      </w:r>
      <w:r w:rsidR="00CC6DB6">
        <w:rPr>
          <w:sz w:val="23"/>
          <w:szCs w:val="23"/>
        </w:rPr>
        <w:t>Información</w:t>
      </w:r>
      <w:r>
        <w:rPr>
          <w:sz w:val="23"/>
          <w:szCs w:val="23"/>
        </w:rPr>
        <w:t xml:space="preserve"> disponible en la </w:t>
      </w:r>
      <w:r w:rsidR="00CC6DB6">
        <w:rPr>
          <w:sz w:val="23"/>
          <w:szCs w:val="23"/>
        </w:rPr>
        <w:t>Gobernación</w:t>
      </w:r>
      <w:r>
        <w:rPr>
          <w:sz w:val="23"/>
          <w:szCs w:val="23"/>
        </w:rPr>
        <w:t xml:space="preserve"> de San Salvador</w:t>
      </w:r>
    </w:p>
    <w:tbl>
      <w:tblPr>
        <w:tblStyle w:val="Tablaconcuadrcula"/>
        <w:tblW w:w="9279" w:type="dxa"/>
        <w:tblLook w:val="04A0" w:firstRow="1" w:lastRow="0" w:firstColumn="1" w:lastColumn="0" w:noHBand="0" w:noVBand="1"/>
      </w:tblPr>
      <w:tblGrid>
        <w:gridCol w:w="1855"/>
        <w:gridCol w:w="1855"/>
        <w:gridCol w:w="1856"/>
        <w:gridCol w:w="1444"/>
        <w:gridCol w:w="2269"/>
      </w:tblGrid>
      <w:tr w:rsidR="000010D8" w:rsidTr="00FA6306">
        <w:trPr>
          <w:trHeight w:val="646"/>
        </w:trPr>
        <w:tc>
          <w:tcPr>
            <w:tcW w:w="1855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  <w:tc>
          <w:tcPr>
            <w:tcW w:w="1855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Forma de Resguardo</w:t>
            </w:r>
          </w:p>
        </w:tc>
        <w:tc>
          <w:tcPr>
            <w:tcW w:w="1856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Años disponible</w:t>
            </w:r>
          </w:p>
        </w:tc>
        <w:tc>
          <w:tcPr>
            <w:tcW w:w="1444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Responsable</w:t>
            </w:r>
          </w:p>
        </w:tc>
        <w:tc>
          <w:tcPr>
            <w:tcW w:w="2269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Observaciones</w:t>
            </w:r>
          </w:p>
        </w:tc>
      </w:tr>
      <w:tr w:rsidR="000010D8" w:rsidTr="00FA6306">
        <w:trPr>
          <w:trHeight w:val="629"/>
        </w:trPr>
        <w:tc>
          <w:tcPr>
            <w:tcW w:w="1855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Autorizaciones Especiales</w:t>
            </w:r>
          </w:p>
        </w:tc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Físico</w:t>
            </w:r>
          </w:p>
        </w:tc>
        <w:tc>
          <w:tcPr>
            <w:tcW w:w="1856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2003-2014</w:t>
            </w:r>
          </w:p>
        </w:tc>
        <w:tc>
          <w:tcPr>
            <w:tcW w:w="1444" w:type="dxa"/>
          </w:tcPr>
          <w:p w:rsidR="000010D8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III</w:t>
            </w:r>
          </w:p>
        </w:tc>
        <w:tc>
          <w:tcPr>
            <w:tcW w:w="2269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</w:tr>
      <w:tr w:rsidR="000010D8" w:rsidTr="00FA6306">
        <w:trPr>
          <w:trHeight w:val="629"/>
        </w:trPr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Autorización de </w:t>
            </w:r>
            <w:r w:rsidR="000010D8">
              <w:rPr>
                <w:sz w:val="23"/>
                <w:szCs w:val="23"/>
              </w:rPr>
              <w:t>Recibideros</w:t>
            </w:r>
          </w:p>
        </w:tc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Físico</w:t>
            </w:r>
          </w:p>
        </w:tc>
        <w:tc>
          <w:tcPr>
            <w:tcW w:w="1856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2009-2013</w:t>
            </w:r>
          </w:p>
        </w:tc>
        <w:tc>
          <w:tcPr>
            <w:tcW w:w="1444" w:type="dxa"/>
          </w:tcPr>
          <w:p w:rsidR="000010D8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I</w:t>
            </w:r>
          </w:p>
        </w:tc>
        <w:tc>
          <w:tcPr>
            <w:tcW w:w="2269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</w:tr>
      <w:tr w:rsidR="000010D8" w:rsidTr="00FA6306">
        <w:trPr>
          <w:trHeight w:val="1257"/>
        </w:trPr>
        <w:tc>
          <w:tcPr>
            <w:tcW w:w="1855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Índice de Matrimonios</w:t>
            </w:r>
            <w:r w:rsidR="00CC6DB6">
              <w:rPr>
                <w:sz w:val="23"/>
                <w:szCs w:val="23"/>
              </w:rPr>
              <w:t xml:space="preserve"> (Solo Índice)</w:t>
            </w:r>
          </w:p>
        </w:tc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Digital</w:t>
            </w:r>
          </w:p>
        </w:tc>
        <w:tc>
          <w:tcPr>
            <w:tcW w:w="1856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1918-2014</w:t>
            </w:r>
          </w:p>
        </w:tc>
        <w:tc>
          <w:tcPr>
            <w:tcW w:w="1444" w:type="dxa"/>
          </w:tcPr>
          <w:p w:rsidR="000010D8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III</w:t>
            </w:r>
          </w:p>
        </w:tc>
        <w:tc>
          <w:tcPr>
            <w:tcW w:w="2269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Solo Índice(motor de búsqueda), las actas matrimoniales se llevan en físico</w:t>
            </w:r>
          </w:p>
        </w:tc>
      </w:tr>
      <w:tr w:rsidR="000010D8" w:rsidTr="00FA6306">
        <w:trPr>
          <w:trHeight w:val="951"/>
        </w:trPr>
        <w:tc>
          <w:tcPr>
            <w:tcW w:w="1855" w:type="dxa"/>
          </w:tcPr>
          <w:p w:rsidR="000010D8" w:rsidRDefault="00627EF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Índice</w:t>
            </w:r>
            <w:r w:rsidR="000010D8">
              <w:rPr>
                <w:sz w:val="23"/>
                <w:szCs w:val="23"/>
              </w:rPr>
              <w:t xml:space="preserve"> de Matriculas de Destace</w:t>
            </w:r>
          </w:p>
        </w:tc>
        <w:tc>
          <w:tcPr>
            <w:tcW w:w="1855" w:type="dxa"/>
          </w:tcPr>
          <w:p w:rsidR="000010D8" w:rsidRDefault="00627EF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Digital</w:t>
            </w:r>
          </w:p>
        </w:tc>
        <w:tc>
          <w:tcPr>
            <w:tcW w:w="1856" w:type="dxa"/>
          </w:tcPr>
          <w:p w:rsidR="000010D8" w:rsidRDefault="00627EF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1995-2014</w:t>
            </w:r>
          </w:p>
        </w:tc>
        <w:tc>
          <w:tcPr>
            <w:tcW w:w="1444" w:type="dxa"/>
          </w:tcPr>
          <w:p w:rsidR="000010D8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I</w:t>
            </w:r>
          </w:p>
        </w:tc>
        <w:tc>
          <w:tcPr>
            <w:tcW w:w="2269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</w:tr>
      <w:tr w:rsidR="00627EF6" w:rsidTr="00FA6306">
        <w:trPr>
          <w:trHeight w:val="629"/>
        </w:trPr>
        <w:tc>
          <w:tcPr>
            <w:tcW w:w="1855" w:type="dxa"/>
          </w:tcPr>
          <w:p w:rsidR="00627EF6" w:rsidRDefault="00627EF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Matriculas de Destace</w:t>
            </w:r>
          </w:p>
        </w:tc>
        <w:tc>
          <w:tcPr>
            <w:tcW w:w="1855" w:type="dxa"/>
          </w:tcPr>
          <w:p w:rsidR="00627EF6" w:rsidRDefault="00627EF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Libros </w:t>
            </w:r>
            <w:r w:rsidR="00CC6DB6">
              <w:rPr>
                <w:sz w:val="23"/>
                <w:szCs w:val="23"/>
              </w:rPr>
              <w:t>físicos</w:t>
            </w:r>
          </w:p>
        </w:tc>
        <w:tc>
          <w:tcPr>
            <w:tcW w:w="1856" w:type="dxa"/>
          </w:tcPr>
          <w:p w:rsidR="00627EF6" w:rsidRDefault="00627EF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1995-2014</w:t>
            </w:r>
          </w:p>
        </w:tc>
        <w:tc>
          <w:tcPr>
            <w:tcW w:w="1444" w:type="dxa"/>
          </w:tcPr>
          <w:p w:rsidR="00627EF6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I</w:t>
            </w:r>
          </w:p>
        </w:tc>
        <w:tc>
          <w:tcPr>
            <w:tcW w:w="2269" w:type="dxa"/>
          </w:tcPr>
          <w:p w:rsidR="00627EF6" w:rsidRDefault="00627EF6" w:rsidP="008E3612">
            <w:pPr>
              <w:rPr>
                <w:sz w:val="23"/>
                <w:szCs w:val="23"/>
              </w:rPr>
            </w:pPr>
          </w:p>
        </w:tc>
      </w:tr>
      <w:tr w:rsidR="000010D8" w:rsidTr="00FA6306">
        <w:trPr>
          <w:trHeight w:val="951"/>
        </w:trPr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Índice</w:t>
            </w:r>
            <w:r w:rsidR="000010D8">
              <w:rPr>
                <w:sz w:val="23"/>
                <w:szCs w:val="23"/>
              </w:rPr>
              <w:t xml:space="preserve"> de Matriculas de corretero</w:t>
            </w:r>
          </w:p>
        </w:tc>
        <w:tc>
          <w:tcPr>
            <w:tcW w:w="1855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  <w:tc>
          <w:tcPr>
            <w:tcW w:w="1856" w:type="dxa"/>
          </w:tcPr>
          <w:p w:rsidR="000010D8" w:rsidRDefault="00627EF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2005-2007</w:t>
            </w:r>
          </w:p>
        </w:tc>
        <w:tc>
          <w:tcPr>
            <w:tcW w:w="1444" w:type="dxa"/>
          </w:tcPr>
          <w:p w:rsidR="000010D8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I</w:t>
            </w:r>
          </w:p>
        </w:tc>
        <w:tc>
          <w:tcPr>
            <w:tcW w:w="2269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</w:tr>
      <w:tr w:rsidR="000010D8" w:rsidTr="00FA6306">
        <w:trPr>
          <w:trHeight w:val="629"/>
        </w:trPr>
        <w:tc>
          <w:tcPr>
            <w:tcW w:w="1855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Inventario de Donaciones</w:t>
            </w:r>
          </w:p>
        </w:tc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Físico </w:t>
            </w:r>
          </w:p>
        </w:tc>
        <w:tc>
          <w:tcPr>
            <w:tcW w:w="1856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2010-2014</w:t>
            </w:r>
          </w:p>
        </w:tc>
        <w:tc>
          <w:tcPr>
            <w:tcW w:w="1444" w:type="dxa"/>
          </w:tcPr>
          <w:p w:rsidR="000010D8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Promotor</w:t>
            </w:r>
          </w:p>
        </w:tc>
        <w:tc>
          <w:tcPr>
            <w:tcW w:w="2269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</w:tr>
      <w:tr w:rsidR="000010D8" w:rsidTr="00FA6306">
        <w:trPr>
          <w:trHeight w:val="646"/>
        </w:trPr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Planes de Trabajo</w:t>
            </w:r>
            <w:r w:rsidR="000010D8">
              <w:rPr>
                <w:sz w:val="23"/>
                <w:szCs w:val="23"/>
              </w:rPr>
              <w:t xml:space="preserve"> </w:t>
            </w:r>
            <w:r w:rsidR="003E1818">
              <w:rPr>
                <w:sz w:val="23"/>
                <w:szCs w:val="23"/>
              </w:rPr>
              <w:t>y seguimientos</w:t>
            </w:r>
          </w:p>
        </w:tc>
        <w:tc>
          <w:tcPr>
            <w:tcW w:w="1855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Físico</w:t>
            </w:r>
          </w:p>
        </w:tc>
        <w:tc>
          <w:tcPr>
            <w:tcW w:w="1856" w:type="dxa"/>
          </w:tcPr>
          <w:p w:rsidR="000010D8" w:rsidRDefault="00CC6DB6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2012-2014</w:t>
            </w:r>
          </w:p>
        </w:tc>
        <w:tc>
          <w:tcPr>
            <w:tcW w:w="1444" w:type="dxa"/>
          </w:tcPr>
          <w:p w:rsidR="000010D8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Promotor</w:t>
            </w:r>
          </w:p>
        </w:tc>
        <w:tc>
          <w:tcPr>
            <w:tcW w:w="2269" w:type="dxa"/>
          </w:tcPr>
          <w:p w:rsidR="000010D8" w:rsidRDefault="000010D8" w:rsidP="008E3612">
            <w:pPr>
              <w:rPr>
                <w:sz w:val="23"/>
                <w:szCs w:val="23"/>
              </w:rPr>
            </w:pPr>
          </w:p>
        </w:tc>
      </w:tr>
      <w:tr w:rsidR="009A0FDF" w:rsidTr="00FA6306">
        <w:trPr>
          <w:trHeight w:val="646"/>
        </w:trPr>
        <w:tc>
          <w:tcPr>
            <w:tcW w:w="1855" w:type="dxa"/>
          </w:tcPr>
          <w:p w:rsidR="009A0FDF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Actas Gabinete</w:t>
            </w:r>
          </w:p>
        </w:tc>
        <w:tc>
          <w:tcPr>
            <w:tcW w:w="1855" w:type="dxa"/>
          </w:tcPr>
          <w:p w:rsidR="009A0FDF" w:rsidRDefault="00A9187A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Físico</w:t>
            </w:r>
          </w:p>
        </w:tc>
        <w:tc>
          <w:tcPr>
            <w:tcW w:w="1856" w:type="dxa"/>
          </w:tcPr>
          <w:p w:rsidR="009A0FDF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2010-2014</w:t>
            </w:r>
          </w:p>
        </w:tc>
        <w:tc>
          <w:tcPr>
            <w:tcW w:w="1444" w:type="dxa"/>
          </w:tcPr>
          <w:p w:rsidR="009A0FDF" w:rsidRDefault="009A0FDF" w:rsidP="008E36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II</w:t>
            </w:r>
          </w:p>
        </w:tc>
        <w:tc>
          <w:tcPr>
            <w:tcW w:w="2269" w:type="dxa"/>
          </w:tcPr>
          <w:p w:rsidR="009A0FDF" w:rsidRDefault="009A0FDF" w:rsidP="008E3612">
            <w:pPr>
              <w:rPr>
                <w:sz w:val="23"/>
                <w:szCs w:val="23"/>
              </w:rPr>
            </w:pPr>
          </w:p>
        </w:tc>
      </w:tr>
    </w:tbl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0010D8" w:rsidRDefault="000010D8" w:rsidP="008E3612">
      <w:pPr>
        <w:rPr>
          <w:sz w:val="23"/>
          <w:szCs w:val="23"/>
        </w:rPr>
      </w:pPr>
    </w:p>
    <w:p w:rsidR="00EB5345" w:rsidRPr="008E3612" w:rsidRDefault="00EB5345" w:rsidP="008E3612">
      <w:pPr>
        <w:rPr>
          <w:sz w:val="23"/>
          <w:szCs w:val="23"/>
        </w:rPr>
      </w:pPr>
    </w:p>
    <w:p w:rsidR="00BC104A" w:rsidRPr="00BC104A" w:rsidRDefault="00BC104A" w:rsidP="00BC104A">
      <w:pPr>
        <w:tabs>
          <w:tab w:val="left" w:pos="3420"/>
        </w:tabs>
        <w:jc w:val="right"/>
        <w:rPr>
          <w:sz w:val="32"/>
          <w:szCs w:val="32"/>
        </w:rPr>
      </w:pPr>
    </w:p>
    <w:sectPr w:rsidR="00BC104A" w:rsidRPr="00BC10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4A"/>
    <w:rsid w:val="000010D8"/>
    <w:rsid w:val="000F4CCC"/>
    <w:rsid w:val="003E1818"/>
    <w:rsid w:val="00435DF4"/>
    <w:rsid w:val="00627EF6"/>
    <w:rsid w:val="00655678"/>
    <w:rsid w:val="007E1D48"/>
    <w:rsid w:val="008E3612"/>
    <w:rsid w:val="009A0FDF"/>
    <w:rsid w:val="00A842E9"/>
    <w:rsid w:val="00A9187A"/>
    <w:rsid w:val="00BB4D10"/>
    <w:rsid w:val="00BC104A"/>
    <w:rsid w:val="00CC6DB6"/>
    <w:rsid w:val="00EB5345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4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0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F4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F4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4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0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F4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F4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Vladimir Bustamante</dc:creator>
  <cp:lastModifiedBy>Ernesto Vladimir Bustamante</cp:lastModifiedBy>
  <cp:revision>3</cp:revision>
  <cp:lastPrinted>2014-11-12T15:48:00Z</cp:lastPrinted>
  <dcterms:created xsi:type="dcterms:W3CDTF">2014-11-11T16:52:00Z</dcterms:created>
  <dcterms:modified xsi:type="dcterms:W3CDTF">2014-11-12T20:32:00Z</dcterms:modified>
</cp:coreProperties>
</file>