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DC23E" w14:textId="77777777" w:rsidR="00452993" w:rsidRPr="00CE5FE2" w:rsidRDefault="00452993" w:rsidP="00452993">
      <w:pPr>
        <w:tabs>
          <w:tab w:val="left" w:pos="1918"/>
        </w:tabs>
        <w:ind w:right="-660"/>
        <w:jc w:val="center"/>
        <w:outlineLvl w:val="0"/>
        <w:rPr>
          <w:rFonts w:ascii="Arial" w:hAnsi="Arial" w:cs="Arial"/>
          <w:b/>
          <w:snapToGrid w:val="0"/>
          <w:sz w:val="21"/>
          <w:szCs w:val="21"/>
          <w:u w:val="single"/>
          <w:lang w:val="es-ES"/>
        </w:rPr>
      </w:pPr>
      <w:bookmarkStart w:id="0" w:name="_Hlk187146817"/>
      <w:bookmarkEnd w:id="0"/>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48119F56" w14:textId="77777777" w:rsidR="00452993" w:rsidRPr="00CE5FE2" w:rsidRDefault="00452993" w:rsidP="00452993">
      <w:pPr>
        <w:tabs>
          <w:tab w:val="left" w:pos="1918"/>
        </w:tabs>
        <w:ind w:right="-660"/>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001</w:t>
      </w:r>
      <w:r w:rsidRPr="00CE5FE2">
        <w:rPr>
          <w:rFonts w:ascii="Arial" w:hAnsi="Arial" w:cs="Arial"/>
          <w:b/>
          <w:snapToGrid w:val="0"/>
          <w:sz w:val="21"/>
          <w:szCs w:val="21"/>
          <w:u w:val="single"/>
          <w:lang w:val="es-ES"/>
        </w:rPr>
        <w:t>/202</w:t>
      </w:r>
      <w:r>
        <w:rPr>
          <w:rFonts w:ascii="Arial" w:hAnsi="Arial" w:cs="Arial"/>
          <w:b/>
          <w:snapToGrid w:val="0"/>
          <w:sz w:val="21"/>
          <w:szCs w:val="21"/>
          <w:u w:val="single"/>
          <w:lang w:val="es-ES"/>
        </w:rPr>
        <w:t>5</w:t>
      </w:r>
      <w:r w:rsidRPr="00CE5FE2">
        <w:rPr>
          <w:rFonts w:ascii="Arial" w:hAnsi="Arial" w:cs="Arial"/>
          <w:b/>
          <w:snapToGrid w:val="0"/>
          <w:sz w:val="21"/>
          <w:szCs w:val="21"/>
          <w:u w:val="single"/>
          <w:lang w:val="es-ES"/>
        </w:rPr>
        <w:t xml:space="preserve"> DEL</w:t>
      </w:r>
      <w:r>
        <w:rPr>
          <w:rFonts w:ascii="Arial" w:hAnsi="Arial" w:cs="Arial"/>
          <w:b/>
          <w:snapToGrid w:val="0"/>
          <w:sz w:val="21"/>
          <w:szCs w:val="21"/>
          <w:u w:val="single"/>
          <w:lang w:val="es-ES"/>
        </w:rPr>
        <w:t xml:space="preserve"> 03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ENERO</w:t>
      </w:r>
      <w:r w:rsidRPr="00CE5FE2">
        <w:rPr>
          <w:rFonts w:ascii="Arial" w:hAnsi="Arial" w:cs="Arial"/>
          <w:b/>
          <w:snapToGrid w:val="0"/>
          <w:sz w:val="21"/>
          <w:szCs w:val="21"/>
          <w:u w:val="single"/>
          <w:lang w:val="es-ES"/>
        </w:rPr>
        <w:t xml:space="preserve"> 202</w:t>
      </w:r>
      <w:r>
        <w:rPr>
          <w:rFonts w:ascii="Arial" w:hAnsi="Arial" w:cs="Arial"/>
          <w:b/>
          <w:snapToGrid w:val="0"/>
          <w:sz w:val="21"/>
          <w:szCs w:val="21"/>
          <w:u w:val="single"/>
          <w:lang w:val="es-ES"/>
        </w:rPr>
        <w:t>5</w:t>
      </w:r>
    </w:p>
    <w:p w14:paraId="671A85C6" w14:textId="77777777" w:rsidR="00452993" w:rsidRPr="00CE5FE2" w:rsidRDefault="00452993" w:rsidP="00452993">
      <w:pPr>
        <w:tabs>
          <w:tab w:val="left" w:pos="1918"/>
        </w:tabs>
        <w:ind w:right="-660"/>
        <w:jc w:val="both"/>
        <w:rPr>
          <w:rFonts w:ascii="Arial" w:hAnsi="Arial" w:cs="Arial"/>
          <w:b/>
          <w:sz w:val="21"/>
          <w:szCs w:val="21"/>
        </w:rPr>
      </w:pPr>
    </w:p>
    <w:p w14:paraId="7F8AED78" w14:textId="77777777" w:rsidR="00452993" w:rsidRPr="00CE5FE2" w:rsidRDefault="00452993" w:rsidP="00452993">
      <w:pPr>
        <w:tabs>
          <w:tab w:val="left" w:pos="1918"/>
        </w:tabs>
        <w:ind w:right="-660"/>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w:t>
      </w:r>
      <w:r>
        <w:rPr>
          <w:rFonts w:ascii="Arial" w:hAnsi="Arial" w:cs="Arial"/>
          <w:sz w:val="21"/>
          <w:szCs w:val="21"/>
          <w:lang w:val="es-ES"/>
        </w:rPr>
        <w:t xml:space="preserve"> Centro</w:t>
      </w:r>
      <w:r w:rsidRPr="00CE5FE2">
        <w:rPr>
          <w:rFonts w:ascii="Arial" w:hAnsi="Arial" w:cs="Arial"/>
          <w:sz w:val="21"/>
          <w:szCs w:val="21"/>
          <w:lang w:val="es-ES"/>
        </w:rPr>
        <w:t xml:space="preserve">,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día</w:t>
      </w:r>
      <w:r>
        <w:rPr>
          <w:rFonts w:ascii="Arial" w:eastAsia="Arial" w:hAnsi="Arial" w:cs="Arial"/>
          <w:sz w:val="21"/>
          <w:szCs w:val="21"/>
        </w:rPr>
        <w:t xml:space="preserve"> tres</w:t>
      </w:r>
      <w:r w:rsidRPr="004338EF">
        <w:rPr>
          <w:rFonts w:ascii="Arial" w:eastAsia="Arial" w:hAnsi="Arial" w:cs="Arial"/>
          <w:sz w:val="21"/>
          <w:szCs w:val="21"/>
        </w:rPr>
        <w:t xml:space="preserve"> de </w:t>
      </w:r>
      <w:r>
        <w:rPr>
          <w:rFonts w:ascii="Arial" w:eastAsia="Arial" w:hAnsi="Arial" w:cs="Arial"/>
          <w:sz w:val="21"/>
          <w:szCs w:val="21"/>
        </w:rPr>
        <w:t>enero</w:t>
      </w:r>
      <w:r w:rsidRPr="004338EF">
        <w:rPr>
          <w:rFonts w:ascii="Arial" w:eastAsia="Arial" w:hAnsi="Arial" w:cs="Arial"/>
          <w:sz w:val="21"/>
          <w:szCs w:val="21"/>
        </w:rPr>
        <w:t xml:space="preserve"> </w:t>
      </w:r>
      <w:r w:rsidRPr="00CE5FE2">
        <w:rPr>
          <w:rFonts w:ascii="Arial" w:hAnsi="Arial" w:cs="Arial"/>
          <w:sz w:val="21"/>
          <w:szCs w:val="21"/>
          <w:lang w:val="es-ES"/>
        </w:rPr>
        <w:t xml:space="preserve">de dos mil </w:t>
      </w:r>
      <w:r w:rsidRPr="00EB4C5E">
        <w:rPr>
          <w:rFonts w:ascii="Arial" w:hAnsi="Arial" w:cs="Arial"/>
          <w:sz w:val="21"/>
          <w:szCs w:val="21"/>
        </w:rPr>
        <w:t>veinticinco</w:t>
      </w:r>
      <w:r w:rsidRPr="00CE5FE2">
        <w:rPr>
          <w:rFonts w:ascii="Arial" w:hAnsi="Arial" w:cs="Arial"/>
          <w:sz w:val="21"/>
          <w:szCs w:val="21"/>
          <w:lang w:val="es-ES"/>
        </w:rPr>
        <w:t>, para tratar la Agenda de Sesión de Junta Directiva N°JD-</w:t>
      </w:r>
      <w:r>
        <w:rPr>
          <w:rFonts w:ascii="Arial" w:hAnsi="Arial" w:cs="Arial"/>
          <w:sz w:val="21"/>
          <w:szCs w:val="21"/>
          <w:lang w:val="es-ES"/>
        </w:rPr>
        <w:t>001</w:t>
      </w:r>
      <w:r w:rsidRPr="00CE5FE2">
        <w:rPr>
          <w:rFonts w:ascii="Arial" w:hAnsi="Arial" w:cs="Arial"/>
          <w:sz w:val="21"/>
          <w:szCs w:val="21"/>
          <w:lang w:val="es-ES"/>
        </w:rPr>
        <w:t>/202</w:t>
      </w:r>
      <w:r>
        <w:rPr>
          <w:rFonts w:ascii="Arial" w:hAnsi="Arial" w:cs="Arial"/>
          <w:sz w:val="21"/>
          <w:szCs w:val="21"/>
          <w:lang w:val="es-ES"/>
        </w:rPr>
        <w:t>5</w:t>
      </w:r>
      <w:r w:rsidRPr="00CE5FE2">
        <w:rPr>
          <w:rFonts w:ascii="Arial" w:hAnsi="Arial" w:cs="Arial"/>
          <w:sz w:val="21"/>
          <w:szCs w:val="21"/>
          <w:lang w:val="es-ES"/>
        </w:rPr>
        <w:t xml:space="preserve">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0FC50E0E" w14:textId="77777777" w:rsidR="00452993" w:rsidRPr="00CE5FE2" w:rsidRDefault="00452993" w:rsidP="00452993">
      <w:pPr>
        <w:tabs>
          <w:tab w:val="left" w:pos="1918"/>
        </w:tabs>
        <w:ind w:right="-660"/>
        <w:jc w:val="both"/>
        <w:rPr>
          <w:rFonts w:ascii="Arial" w:hAnsi="Arial" w:cs="Arial"/>
          <w:b/>
          <w:sz w:val="21"/>
          <w:szCs w:val="21"/>
        </w:rPr>
      </w:pPr>
    </w:p>
    <w:p w14:paraId="15B8F380" w14:textId="77777777" w:rsidR="00452993" w:rsidRPr="00CE5FE2" w:rsidRDefault="00452993" w:rsidP="00452993">
      <w:pPr>
        <w:numPr>
          <w:ilvl w:val="0"/>
          <w:numId w:val="2"/>
        </w:numPr>
        <w:tabs>
          <w:tab w:val="left" w:pos="1918"/>
        </w:tabs>
        <w:spacing w:after="160" w:line="259" w:lineRule="auto"/>
        <w:ind w:right="-660"/>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736222C1" w14:textId="77777777" w:rsidR="00452993" w:rsidRPr="00CE5FE2" w:rsidRDefault="00452993" w:rsidP="00452993">
      <w:pPr>
        <w:numPr>
          <w:ilvl w:val="0"/>
          <w:numId w:val="2"/>
        </w:numPr>
        <w:tabs>
          <w:tab w:val="left" w:pos="1918"/>
        </w:tabs>
        <w:spacing w:after="160" w:line="259" w:lineRule="auto"/>
        <w:ind w:right="-660"/>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16DC3B3B" w14:textId="77777777" w:rsidR="00452993" w:rsidRDefault="00452993" w:rsidP="00452993">
      <w:pPr>
        <w:numPr>
          <w:ilvl w:val="0"/>
          <w:numId w:val="2"/>
        </w:numPr>
        <w:tabs>
          <w:tab w:val="left" w:pos="1918"/>
        </w:tabs>
        <w:spacing w:after="160" w:line="259" w:lineRule="auto"/>
        <w:ind w:right="-660"/>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19D8F651" w14:textId="77777777" w:rsidR="00452993" w:rsidRPr="00CE5FE2" w:rsidRDefault="00452993" w:rsidP="00452993">
      <w:pPr>
        <w:numPr>
          <w:ilvl w:val="0"/>
          <w:numId w:val="2"/>
        </w:numPr>
        <w:tabs>
          <w:tab w:val="left" w:pos="1918"/>
        </w:tabs>
        <w:spacing w:after="160" w:line="259" w:lineRule="auto"/>
        <w:ind w:right="-660"/>
        <w:jc w:val="both"/>
        <w:rPr>
          <w:rFonts w:ascii="Arial" w:hAnsi="Arial" w:cs="Arial"/>
          <w:b/>
          <w:sz w:val="21"/>
          <w:szCs w:val="21"/>
          <w:lang w:val="es-ES"/>
        </w:rPr>
      </w:pPr>
      <w:r w:rsidRPr="00355C1D">
        <w:rPr>
          <w:rFonts w:ascii="Arial" w:hAnsi="Arial" w:cs="Arial"/>
          <w:b/>
          <w:sz w:val="21"/>
          <w:szCs w:val="21"/>
          <w:lang w:val="es-ES"/>
        </w:rPr>
        <w:t xml:space="preserve">RECURSO DE REVISIÓN EN EL PROCESO DE COMPRA </w:t>
      </w:r>
      <w:proofErr w:type="spellStart"/>
      <w:r w:rsidRPr="00355C1D">
        <w:rPr>
          <w:rFonts w:ascii="Arial" w:hAnsi="Arial" w:cs="Arial"/>
          <w:b/>
          <w:sz w:val="21"/>
          <w:szCs w:val="21"/>
          <w:lang w:val="es-ES"/>
        </w:rPr>
        <w:t>N°</w:t>
      </w:r>
      <w:proofErr w:type="spellEnd"/>
      <w:r w:rsidRPr="00355C1D">
        <w:rPr>
          <w:rFonts w:ascii="Arial" w:hAnsi="Arial" w:cs="Arial"/>
          <w:b/>
          <w:sz w:val="21"/>
          <w:szCs w:val="21"/>
          <w:lang w:val="es-ES"/>
        </w:rPr>
        <w:t xml:space="preserve"> SEI-FSV-016-2024 DENOMINADO </w:t>
      </w:r>
      <w:bookmarkStart w:id="1" w:name="_Hlk186780802"/>
      <w:r w:rsidRPr="00355C1D">
        <w:rPr>
          <w:rFonts w:ascii="Arial" w:hAnsi="Arial" w:cs="Arial"/>
          <w:b/>
          <w:sz w:val="21"/>
          <w:szCs w:val="21"/>
          <w:lang w:val="es-ES"/>
        </w:rPr>
        <w:t>“SERVICIOS DE DESARROLLO DE SISTEMAS INFORMÁTICOS EN PLATAFORMAS CRÍTICAS DEL FSV</w:t>
      </w:r>
      <w:bookmarkEnd w:id="1"/>
      <w:r w:rsidRPr="00355C1D">
        <w:rPr>
          <w:rFonts w:ascii="Arial" w:hAnsi="Arial" w:cs="Arial"/>
          <w:b/>
          <w:sz w:val="21"/>
          <w:szCs w:val="21"/>
          <w:lang w:val="es-ES"/>
        </w:rPr>
        <w:t>.</w:t>
      </w:r>
    </w:p>
    <w:p w14:paraId="336E3786" w14:textId="77777777" w:rsidR="00452993" w:rsidRPr="00CE5FE2" w:rsidRDefault="00452993" w:rsidP="00452993">
      <w:pPr>
        <w:tabs>
          <w:tab w:val="left" w:pos="1918"/>
        </w:tabs>
        <w:ind w:left="708" w:right="-660"/>
        <w:rPr>
          <w:rFonts w:ascii="Arial" w:hAnsi="Arial" w:cs="Arial"/>
          <w:b/>
          <w:sz w:val="21"/>
          <w:szCs w:val="21"/>
          <w:lang w:val="es-ES"/>
        </w:rPr>
      </w:pPr>
    </w:p>
    <w:p w14:paraId="2654EF11" w14:textId="77777777" w:rsidR="00452993" w:rsidRPr="00CE5FE2" w:rsidRDefault="00452993" w:rsidP="00452993">
      <w:pPr>
        <w:tabs>
          <w:tab w:val="left" w:pos="1918"/>
        </w:tabs>
        <w:ind w:right="-660"/>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23641B6C" w14:textId="77777777" w:rsidR="00452993" w:rsidRPr="00CE5FE2" w:rsidRDefault="00452993" w:rsidP="00452993">
      <w:pPr>
        <w:tabs>
          <w:tab w:val="left" w:pos="1918"/>
        </w:tabs>
        <w:ind w:right="-660"/>
        <w:jc w:val="center"/>
        <w:rPr>
          <w:rFonts w:ascii="Arial" w:hAnsi="Arial" w:cs="Arial"/>
          <w:b/>
          <w:snapToGrid w:val="0"/>
          <w:sz w:val="21"/>
          <w:szCs w:val="21"/>
          <w:u w:val="single"/>
          <w:lang w:val="es-ES"/>
        </w:rPr>
      </w:pPr>
    </w:p>
    <w:p w14:paraId="527CB335" w14:textId="77777777" w:rsidR="00452993" w:rsidRPr="00CE5FE2" w:rsidRDefault="00452993" w:rsidP="00452993">
      <w:pPr>
        <w:numPr>
          <w:ilvl w:val="0"/>
          <w:numId w:val="3"/>
        </w:numPr>
        <w:tabs>
          <w:tab w:val="left" w:pos="1918"/>
        </w:tabs>
        <w:spacing w:after="160" w:line="259" w:lineRule="auto"/>
        <w:ind w:right="-660"/>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14F3E235" w14:textId="77777777" w:rsidR="00452993" w:rsidRPr="00CE5FE2" w:rsidRDefault="00452993" w:rsidP="00452993">
      <w:pPr>
        <w:numPr>
          <w:ilvl w:val="0"/>
          <w:numId w:val="3"/>
        </w:numPr>
        <w:tabs>
          <w:tab w:val="left" w:pos="1918"/>
        </w:tabs>
        <w:spacing w:after="160" w:line="259" w:lineRule="auto"/>
        <w:ind w:right="-660"/>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w:t>
      </w:r>
      <w:r>
        <w:rPr>
          <w:rFonts w:ascii="Arial" w:eastAsia="Calibri" w:hAnsi="Arial" w:cs="Arial"/>
          <w:sz w:val="21"/>
          <w:szCs w:val="21"/>
          <w:lang w:val="es-SV" w:eastAsia="en-US"/>
        </w:rPr>
        <w:t>233</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18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diciem</w:t>
      </w:r>
      <w:r w:rsidRPr="00CE5FE2">
        <w:rPr>
          <w:rFonts w:ascii="Arial" w:eastAsia="Calibri" w:hAnsi="Arial" w:cs="Arial"/>
          <w:sz w:val="21"/>
          <w:szCs w:val="21"/>
          <w:lang w:val="es-SV" w:eastAsia="en-US"/>
        </w:rPr>
        <w:t xml:space="preserve">bre del 2024, la cual fue ratificada. </w:t>
      </w:r>
    </w:p>
    <w:p w14:paraId="6B39B895" w14:textId="77777777" w:rsidR="00452993" w:rsidRDefault="00452993" w:rsidP="00452993">
      <w:pPr>
        <w:tabs>
          <w:tab w:val="left" w:pos="1918"/>
        </w:tabs>
        <w:ind w:right="-660"/>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6A1938">
        <w:rPr>
          <w:rFonts w:ascii="Arial" w:hAnsi="Arial" w:cs="Arial"/>
          <w:sz w:val="21"/>
          <w:szCs w:val="21"/>
        </w:rPr>
        <w:t>42 solicitudes de crédito por un monto de $1,097,785.00</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001</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06B2836" w14:textId="77777777" w:rsidR="00452993" w:rsidRDefault="00452993" w:rsidP="00452993">
      <w:pPr>
        <w:tabs>
          <w:tab w:val="left" w:pos="1918"/>
        </w:tabs>
        <w:ind w:right="-660"/>
        <w:jc w:val="both"/>
        <w:rPr>
          <w:rFonts w:ascii="Arial" w:hAnsi="Arial" w:cs="Arial"/>
          <w:sz w:val="21"/>
          <w:szCs w:val="21"/>
        </w:rPr>
      </w:pPr>
    </w:p>
    <w:p w14:paraId="49F271AA" w14:textId="77777777" w:rsidR="00452993" w:rsidRPr="00355C1D" w:rsidRDefault="00452993" w:rsidP="00452993">
      <w:pPr>
        <w:tabs>
          <w:tab w:val="left" w:pos="1918"/>
        </w:tabs>
        <w:ind w:right="-660"/>
        <w:jc w:val="both"/>
        <w:rPr>
          <w:rFonts w:ascii="Arial" w:hAnsi="Arial" w:cs="Arial"/>
          <w:bCs/>
          <w:sz w:val="21"/>
          <w:szCs w:val="21"/>
        </w:rPr>
      </w:pPr>
      <w:bookmarkStart w:id="2" w:name="_Hlk187065255"/>
      <w:r w:rsidRPr="00355C1D">
        <w:rPr>
          <w:rFonts w:ascii="Arial" w:hAnsi="Arial" w:cs="Arial"/>
          <w:b/>
          <w:bCs/>
          <w:sz w:val="21"/>
          <w:szCs w:val="21"/>
          <w:lang w:val="es-SV"/>
        </w:rPr>
        <w:t xml:space="preserve">IV) </w:t>
      </w:r>
      <w:r w:rsidRPr="00355C1D">
        <w:rPr>
          <w:rFonts w:ascii="Arial" w:hAnsi="Arial" w:cs="Arial"/>
          <w:b/>
          <w:sz w:val="21"/>
          <w:szCs w:val="21"/>
          <w:lang w:val="es-ES"/>
        </w:rPr>
        <w:t xml:space="preserve">RECURSO DE REVISIÓN EN EL PROCESO DE COMPRA </w:t>
      </w:r>
      <w:proofErr w:type="spellStart"/>
      <w:r w:rsidRPr="00355C1D">
        <w:rPr>
          <w:rFonts w:ascii="Arial" w:hAnsi="Arial" w:cs="Arial"/>
          <w:b/>
          <w:sz w:val="21"/>
          <w:szCs w:val="21"/>
          <w:lang w:val="es-ES"/>
        </w:rPr>
        <w:t>N°</w:t>
      </w:r>
      <w:proofErr w:type="spellEnd"/>
      <w:r w:rsidRPr="00355C1D">
        <w:rPr>
          <w:rFonts w:ascii="Arial" w:hAnsi="Arial" w:cs="Arial"/>
          <w:b/>
          <w:sz w:val="21"/>
          <w:szCs w:val="21"/>
          <w:lang w:val="es-ES"/>
        </w:rPr>
        <w:t xml:space="preserve"> SEI-FSV-016-2024 DENOMINADO “SERVICIOS DE DESARROLLO DE SISTEMAS INFORMÁTICOS EN PLATAFORMAS CRÍTICAS DEL FSV”.</w:t>
      </w:r>
      <w:bookmarkEnd w:id="2"/>
      <w:r>
        <w:rPr>
          <w:rFonts w:ascii="Arial" w:hAnsi="Arial" w:cs="Arial"/>
          <w:b/>
          <w:sz w:val="21"/>
          <w:szCs w:val="21"/>
          <w:lang w:val="es-ES"/>
        </w:rPr>
        <w:t xml:space="preserve"> </w:t>
      </w:r>
      <w:r w:rsidRPr="00355C1D">
        <w:rPr>
          <w:rFonts w:ascii="Arial" w:hAnsi="Arial" w:cs="Arial"/>
          <w:bCs/>
          <w:sz w:val="21"/>
          <w:szCs w:val="21"/>
          <w:lang w:val="es-SV"/>
        </w:rPr>
        <w:t xml:space="preserve">El </w:t>
      </w:r>
      <w:proofErr w:type="gramStart"/>
      <w:r w:rsidRPr="00355C1D">
        <w:rPr>
          <w:rFonts w:ascii="Arial" w:hAnsi="Arial" w:cs="Arial"/>
          <w:bCs/>
          <w:sz w:val="21"/>
          <w:szCs w:val="21"/>
          <w:lang w:val="es-SV"/>
        </w:rPr>
        <w:t>Presidente</w:t>
      </w:r>
      <w:proofErr w:type="gramEnd"/>
      <w:r w:rsidRPr="00355C1D">
        <w:rPr>
          <w:rFonts w:ascii="Arial" w:hAnsi="Arial" w:cs="Arial"/>
          <w:bCs/>
          <w:sz w:val="21"/>
          <w:szCs w:val="21"/>
          <w:lang w:val="es-SV"/>
        </w:rPr>
        <w:t xml:space="preserve"> y Director Ejecutivo hizo del conocimiento de Junta Directiva, que se ha recibido recurso de revisión en el proceso N°SEI-FSV-016-2024 denominado “Servicios de desarrollo de sistemas informáticos en plataformas críticas del FSV”. Para su exposición invito al licenciado Inocente Milciades Valdivieso Suárez, Gerente Legal, quien explicó que con fecha 17 de diciembre de 2024, el señor Boris Alexander Martínez Díaz, interpuso Recurso de Revisión contra la resolución N°45/2024 pronunciada por el Gerente de Tecnología de la Información, mediante la cual se declaró desierto el proceso de compra. </w:t>
      </w:r>
      <w:r w:rsidRPr="00355C1D">
        <w:rPr>
          <w:rFonts w:ascii="Arial" w:hAnsi="Arial" w:cs="Arial"/>
          <w:bCs/>
          <w:sz w:val="21"/>
          <w:szCs w:val="21"/>
        </w:rPr>
        <w:t xml:space="preserve">El recurrente fundamenta su petición en los artículos 119  y 120 de la Ley de Compras Públicas (LCP), así como en los artículos 70 y 71 del Reglamento de dicha Ley y los lineamientos para la tramitación del Recurso de Revisión LIN-2024-018, y en resumen expone que su disconformidad con la resolución pronunciada, radica en que, a su criterio, ha presentado toda la documentación pertinente para acreditar la experticia de los recursos en la oferta y para subsanar las observaciones hechas en las prevenciones, sosteniendo que se han presentado cartas de referencia como evidencia de su amplio conocimiento en las tecnologías requeridas. Del estudio del escrito </w:t>
      </w:r>
      <w:r w:rsidRPr="00355C1D">
        <w:rPr>
          <w:rFonts w:ascii="Arial" w:hAnsi="Arial" w:cs="Arial"/>
          <w:bCs/>
          <w:sz w:val="21"/>
          <w:szCs w:val="21"/>
        </w:rPr>
        <w:lastRenderedPageBreak/>
        <w:t xml:space="preserve">presentado, se obtiene que el mismo fue interpuesto en el plazo de dos días establecido en el artículo 119 de la LCP; respecto a los requisitos de forma del recurso, conforme al artículo 70 del Reglamento de la Ley de Compras Públicas, el recurso de revisión se interpondrá por escrito, debidamente fundado y contendrá los siguientes requisitos: 1. Nombre de la autoridad o funcionario a quien se dirige. La autoridad competente para pronunciarse sobre la revisión es la Junta Directiva como máxima autoridad de la institución, pudiendo advertirse que el escrito se dirige al ingeniero Salvador Enrique </w:t>
      </w:r>
      <w:proofErr w:type="spellStart"/>
      <w:r w:rsidRPr="00355C1D">
        <w:rPr>
          <w:rFonts w:ascii="Arial" w:hAnsi="Arial" w:cs="Arial"/>
          <w:bCs/>
          <w:sz w:val="21"/>
          <w:szCs w:val="21"/>
        </w:rPr>
        <w:t>Bendeck</w:t>
      </w:r>
      <w:proofErr w:type="spellEnd"/>
      <w:r w:rsidRPr="00355C1D">
        <w:rPr>
          <w:rFonts w:ascii="Arial" w:hAnsi="Arial" w:cs="Arial"/>
          <w:bCs/>
          <w:sz w:val="21"/>
          <w:szCs w:val="21"/>
        </w:rPr>
        <w:t xml:space="preserve"> Jiménez, Gerente de Tecnología de la Información de ésta institución, no obstante lo anterior, dicho requisito puede subsanarse conforme al artículo 10 de la Ley de Procedimientos Administrativos el cual prescribe que cuando una petición se dirija a un funcionario o autoridad y ésta considere que la competencia para resolver corresponde a otra autoridad del mismo órgano, remitirá la petición al competente, lo cual ha ocurrido en el presente caso, en que la Unidad de Compras Públicas ha puesto en conocimiento de ésta Junta Directiva el recurso interpuesto, por lo que se considera que se cumple con el primero de los requisitos del artículo 70 del Reglamento de la Ley de Compras Públicas, cumpliendo además con los requisitos establecidos en los numerales 2, 3, 4 y 5 del precitado artículo, por lo que se estima que el recurso cumple con los requisitos de tiempo y forma para su interposición, siendo procedente admitirlo y darle el trámite de ley correspondiente. </w:t>
      </w:r>
      <w:r w:rsidRPr="00355C1D">
        <w:rPr>
          <w:rFonts w:ascii="Arial" w:hAnsi="Arial" w:cs="Arial"/>
          <w:bCs/>
          <w:sz w:val="21"/>
          <w:szCs w:val="21"/>
          <w:lang w:val="es-SV"/>
        </w:rPr>
        <w:t>Junta Directiva, sobre la base de lo regulado en los artículos 119 y 120 de la Ley de Compras Públicas, así como artículos 70, 71 y 72 del Reglamento de la Ley de Compras Públicas, y de conformidad con lo establecido en los artículos 3, 10 y 125 de la Ley de Procedimientos Administrativos, habiéndose cumplido con los requisitos de ley del recurso, por unanimidad RESUELVE:</w:t>
      </w:r>
    </w:p>
    <w:p w14:paraId="74FF5C9F" w14:textId="77777777" w:rsidR="00452993" w:rsidRPr="00355C1D" w:rsidRDefault="00452993" w:rsidP="00452993">
      <w:pPr>
        <w:tabs>
          <w:tab w:val="left" w:pos="1918"/>
        </w:tabs>
        <w:ind w:right="-660"/>
        <w:jc w:val="both"/>
        <w:rPr>
          <w:rFonts w:ascii="Arial" w:hAnsi="Arial" w:cs="Arial"/>
          <w:bCs/>
          <w:sz w:val="21"/>
          <w:szCs w:val="21"/>
          <w:lang w:val="es-SV"/>
        </w:rPr>
      </w:pPr>
    </w:p>
    <w:p w14:paraId="0391461D" w14:textId="77777777" w:rsidR="00452993" w:rsidRPr="00355C1D" w:rsidRDefault="00452993" w:rsidP="00452993">
      <w:pPr>
        <w:numPr>
          <w:ilvl w:val="0"/>
          <w:numId w:val="1"/>
        </w:numPr>
        <w:tabs>
          <w:tab w:val="left" w:pos="1918"/>
        </w:tabs>
        <w:ind w:right="-660"/>
        <w:jc w:val="both"/>
        <w:rPr>
          <w:rFonts w:ascii="Arial" w:hAnsi="Arial" w:cs="Arial"/>
          <w:bCs/>
          <w:sz w:val="21"/>
          <w:szCs w:val="21"/>
          <w:lang w:val="es-SV"/>
        </w:rPr>
      </w:pPr>
      <w:r w:rsidRPr="00355C1D">
        <w:rPr>
          <w:rFonts w:ascii="Arial" w:hAnsi="Arial" w:cs="Arial"/>
          <w:bCs/>
          <w:sz w:val="21"/>
          <w:szCs w:val="21"/>
          <w:lang w:val="es-SV"/>
        </w:rPr>
        <w:t>Admitir el Recurso de Revisión interpuesto por el señor Boris Alexander Martínez Díaz, contra la Resolución de fecha 11 de diciembre de 2024 pronunciada por el Gerente de Tecnología de la Información, mediante la cual se declara DESIERTO el proceso de compra SEI-FSV-016-2024 denominado “Servicios de Desarrollo de Sistemas Informáticos en Plataformas Críticas del FSV”.</w:t>
      </w:r>
    </w:p>
    <w:p w14:paraId="773B6DDF" w14:textId="77777777" w:rsidR="00452993" w:rsidRPr="00355C1D" w:rsidRDefault="00452993" w:rsidP="00452993">
      <w:pPr>
        <w:tabs>
          <w:tab w:val="left" w:pos="1918"/>
        </w:tabs>
        <w:ind w:right="-660"/>
        <w:jc w:val="both"/>
        <w:rPr>
          <w:rFonts w:ascii="Arial" w:hAnsi="Arial" w:cs="Arial"/>
          <w:bCs/>
          <w:sz w:val="21"/>
          <w:szCs w:val="21"/>
          <w:lang w:val="es-SV"/>
        </w:rPr>
      </w:pPr>
    </w:p>
    <w:p w14:paraId="3DF2EBB7" w14:textId="77777777" w:rsidR="00452993" w:rsidRPr="00355C1D" w:rsidRDefault="00452993" w:rsidP="00452993">
      <w:pPr>
        <w:numPr>
          <w:ilvl w:val="0"/>
          <w:numId w:val="1"/>
        </w:numPr>
        <w:tabs>
          <w:tab w:val="left" w:pos="1918"/>
        </w:tabs>
        <w:ind w:right="-660"/>
        <w:jc w:val="both"/>
        <w:rPr>
          <w:rFonts w:ascii="Arial" w:hAnsi="Arial" w:cs="Arial"/>
          <w:bCs/>
          <w:sz w:val="21"/>
          <w:szCs w:val="21"/>
          <w:lang w:val="es-SV"/>
        </w:rPr>
      </w:pPr>
      <w:r w:rsidRPr="00355C1D">
        <w:rPr>
          <w:rFonts w:ascii="Arial" w:hAnsi="Arial" w:cs="Arial"/>
          <w:bCs/>
          <w:sz w:val="21"/>
          <w:szCs w:val="21"/>
          <w:lang w:val="es-SV"/>
        </w:rPr>
        <w:t>Nombrar una Comisión Especial de Alto Nivel para emitir una recomendación sobre el resultado del recurso, designándose para ello a las siguientes personas:</w:t>
      </w:r>
    </w:p>
    <w:p w14:paraId="2B498DF2" w14:textId="77777777" w:rsidR="00452993" w:rsidRPr="00355C1D" w:rsidRDefault="00452993" w:rsidP="00452993">
      <w:pPr>
        <w:numPr>
          <w:ilvl w:val="1"/>
          <w:numId w:val="1"/>
        </w:numPr>
        <w:tabs>
          <w:tab w:val="left" w:pos="1918"/>
        </w:tabs>
        <w:ind w:right="-660"/>
        <w:jc w:val="both"/>
        <w:rPr>
          <w:rFonts w:ascii="Arial" w:hAnsi="Arial" w:cs="Arial"/>
          <w:bCs/>
          <w:sz w:val="21"/>
          <w:szCs w:val="21"/>
          <w:lang w:val="es-SV"/>
        </w:rPr>
      </w:pPr>
      <w:r w:rsidRPr="00355C1D">
        <w:rPr>
          <w:rFonts w:ascii="Arial" w:hAnsi="Arial" w:cs="Arial"/>
          <w:bCs/>
          <w:sz w:val="21"/>
          <w:szCs w:val="21"/>
          <w:lang w:val="es-SV"/>
        </w:rPr>
        <w:t xml:space="preserve">Lic. Juan Neftalí Murillo Ruiz, </w:t>
      </w:r>
      <w:proofErr w:type="gramStart"/>
      <w:r w:rsidRPr="00355C1D">
        <w:rPr>
          <w:rFonts w:ascii="Arial" w:hAnsi="Arial" w:cs="Arial"/>
          <w:bCs/>
          <w:sz w:val="21"/>
          <w:szCs w:val="21"/>
          <w:lang w:val="es-SV"/>
        </w:rPr>
        <w:t>Director</w:t>
      </w:r>
      <w:proofErr w:type="gramEnd"/>
      <w:r w:rsidRPr="00355C1D">
        <w:rPr>
          <w:rFonts w:ascii="Arial" w:hAnsi="Arial" w:cs="Arial"/>
          <w:bCs/>
          <w:sz w:val="21"/>
          <w:szCs w:val="21"/>
          <w:lang w:val="es-SV"/>
        </w:rPr>
        <w:t xml:space="preserve"> Sector Público;</w:t>
      </w:r>
    </w:p>
    <w:p w14:paraId="3FD734D0" w14:textId="77777777" w:rsidR="00452993" w:rsidRPr="00355C1D" w:rsidRDefault="00452993" w:rsidP="00452993">
      <w:pPr>
        <w:numPr>
          <w:ilvl w:val="1"/>
          <w:numId w:val="1"/>
        </w:numPr>
        <w:tabs>
          <w:tab w:val="left" w:pos="1918"/>
        </w:tabs>
        <w:ind w:right="-660"/>
        <w:jc w:val="both"/>
        <w:rPr>
          <w:rFonts w:ascii="Arial" w:hAnsi="Arial" w:cs="Arial"/>
          <w:bCs/>
          <w:sz w:val="21"/>
          <w:szCs w:val="21"/>
          <w:lang w:val="es-SV"/>
        </w:rPr>
      </w:pPr>
      <w:r w:rsidRPr="00355C1D">
        <w:rPr>
          <w:rFonts w:ascii="Arial" w:hAnsi="Arial" w:cs="Arial"/>
          <w:bCs/>
          <w:sz w:val="21"/>
          <w:szCs w:val="21"/>
          <w:lang w:val="es-SV"/>
        </w:rPr>
        <w:t xml:space="preserve">Licda. Tanya Elizabeth Cortez Ruíz, </w:t>
      </w:r>
      <w:proofErr w:type="gramStart"/>
      <w:r w:rsidRPr="00355C1D">
        <w:rPr>
          <w:rFonts w:ascii="Arial" w:hAnsi="Arial" w:cs="Arial"/>
          <w:bCs/>
          <w:sz w:val="21"/>
          <w:szCs w:val="21"/>
          <w:lang w:val="es-SV"/>
        </w:rPr>
        <w:t>Directora</w:t>
      </w:r>
      <w:proofErr w:type="gramEnd"/>
      <w:r w:rsidRPr="00355C1D">
        <w:rPr>
          <w:rFonts w:ascii="Arial" w:hAnsi="Arial" w:cs="Arial"/>
          <w:bCs/>
          <w:sz w:val="21"/>
          <w:szCs w:val="21"/>
          <w:lang w:val="es-SV"/>
        </w:rPr>
        <w:t xml:space="preserve"> Sector Patronal;</w:t>
      </w:r>
    </w:p>
    <w:p w14:paraId="3E11D65F" w14:textId="77777777" w:rsidR="00452993" w:rsidRPr="00355C1D" w:rsidRDefault="00452993" w:rsidP="00452993">
      <w:pPr>
        <w:numPr>
          <w:ilvl w:val="1"/>
          <w:numId w:val="1"/>
        </w:numPr>
        <w:tabs>
          <w:tab w:val="left" w:pos="1918"/>
        </w:tabs>
        <w:ind w:right="-660"/>
        <w:jc w:val="both"/>
        <w:rPr>
          <w:rFonts w:ascii="Arial" w:hAnsi="Arial" w:cs="Arial"/>
          <w:bCs/>
          <w:sz w:val="21"/>
          <w:szCs w:val="21"/>
          <w:lang w:val="es-SV"/>
        </w:rPr>
      </w:pPr>
      <w:r w:rsidRPr="00355C1D">
        <w:rPr>
          <w:rFonts w:ascii="Arial" w:hAnsi="Arial" w:cs="Arial"/>
          <w:bCs/>
          <w:sz w:val="21"/>
          <w:szCs w:val="21"/>
          <w:lang w:val="es-SV"/>
        </w:rPr>
        <w:t xml:space="preserve">Sr. José Alfredo Cartagena Tobías, </w:t>
      </w:r>
      <w:proofErr w:type="gramStart"/>
      <w:r w:rsidRPr="00355C1D">
        <w:rPr>
          <w:rFonts w:ascii="Arial" w:hAnsi="Arial" w:cs="Arial"/>
          <w:bCs/>
          <w:sz w:val="21"/>
          <w:szCs w:val="21"/>
          <w:lang w:val="es-SV"/>
        </w:rPr>
        <w:t>Director</w:t>
      </w:r>
      <w:proofErr w:type="gramEnd"/>
      <w:r w:rsidRPr="00355C1D">
        <w:rPr>
          <w:rFonts w:ascii="Arial" w:hAnsi="Arial" w:cs="Arial"/>
          <w:bCs/>
          <w:sz w:val="21"/>
          <w:szCs w:val="21"/>
          <w:lang w:val="es-SV"/>
        </w:rPr>
        <w:t xml:space="preserve"> Sector Laboral;</w:t>
      </w:r>
    </w:p>
    <w:p w14:paraId="4D59C6F0" w14:textId="77777777" w:rsidR="00452993" w:rsidRPr="00355C1D" w:rsidRDefault="00452993" w:rsidP="00452993">
      <w:pPr>
        <w:numPr>
          <w:ilvl w:val="1"/>
          <w:numId w:val="1"/>
        </w:numPr>
        <w:tabs>
          <w:tab w:val="left" w:pos="1918"/>
        </w:tabs>
        <w:ind w:right="-660"/>
        <w:jc w:val="both"/>
        <w:rPr>
          <w:rFonts w:ascii="Arial" w:hAnsi="Arial" w:cs="Arial"/>
          <w:bCs/>
          <w:sz w:val="21"/>
          <w:szCs w:val="21"/>
          <w:lang w:val="es-SV"/>
        </w:rPr>
      </w:pPr>
      <w:r w:rsidRPr="00355C1D">
        <w:rPr>
          <w:rFonts w:ascii="Arial" w:hAnsi="Arial" w:cs="Arial"/>
          <w:bCs/>
          <w:sz w:val="21"/>
          <w:szCs w:val="21"/>
          <w:lang w:val="es-SV"/>
        </w:rPr>
        <w:t xml:space="preserve">Ing. Raquel Elena Espinoza Marin, Coordinadora de Seguridad TI, Gerencia de Tecnología; </w:t>
      </w:r>
    </w:p>
    <w:p w14:paraId="0831C985" w14:textId="77777777" w:rsidR="00452993" w:rsidRPr="00355C1D" w:rsidRDefault="00452993" w:rsidP="00452993">
      <w:pPr>
        <w:numPr>
          <w:ilvl w:val="1"/>
          <w:numId w:val="1"/>
        </w:numPr>
        <w:tabs>
          <w:tab w:val="left" w:pos="1918"/>
        </w:tabs>
        <w:ind w:right="-660"/>
        <w:jc w:val="both"/>
        <w:rPr>
          <w:rFonts w:ascii="Arial" w:hAnsi="Arial" w:cs="Arial"/>
          <w:bCs/>
          <w:sz w:val="21"/>
          <w:szCs w:val="21"/>
          <w:lang w:val="es-SV"/>
        </w:rPr>
      </w:pPr>
      <w:r w:rsidRPr="00355C1D">
        <w:rPr>
          <w:rFonts w:ascii="Arial" w:hAnsi="Arial" w:cs="Arial"/>
          <w:bCs/>
          <w:sz w:val="21"/>
          <w:szCs w:val="21"/>
          <w:lang w:val="es-SV"/>
        </w:rPr>
        <w:t xml:space="preserve">Ing. Julio Tarcicio Rivas Garcia, </w:t>
      </w:r>
      <w:proofErr w:type="gramStart"/>
      <w:r w:rsidRPr="00355C1D">
        <w:rPr>
          <w:rFonts w:ascii="Arial" w:hAnsi="Arial" w:cs="Arial"/>
          <w:bCs/>
          <w:sz w:val="21"/>
          <w:szCs w:val="21"/>
          <w:lang w:val="es-SV"/>
        </w:rPr>
        <w:t>Jefe</w:t>
      </w:r>
      <w:proofErr w:type="gramEnd"/>
      <w:r w:rsidRPr="00355C1D">
        <w:rPr>
          <w:rFonts w:ascii="Arial" w:hAnsi="Arial" w:cs="Arial"/>
          <w:bCs/>
          <w:sz w:val="21"/>
          <w:szCs w:val="21"/>
          <w:lang w:val="es-SV"/>
        </w:rPr>
        <w:t xml:space="preserve"> Unidad de Compras Públicas;</w:t>
      </w:r>
    </w:p>
    <w:p w14:paraId="790CAF1B" w14:textId="77777777" w:rsidR="00452993" w:rsidRPr="00355C1D" w:rsidRDefault="00452993" w:rsidP="00452993">
      <w:pPr>
        <w:tabs>
          <w:tab w:val="left" w:pos="1918"/>
        </w:tabs>
        <w:ind w:right="-660"/>
        <w:jc w:val="both"/>
        <w:rPr>
          <w:rFonts w:ascii="Arial" w:hAnsi="Arial" w:cs="Arial"/>
          <w:bCs/>
          <w:sz w:val="21"/>
          <w:szCs w:val="21"/>
          <w:lang w:val="es-SV"/>
        </w:rPr>
      </w:pPr>
    </w:p>
    <w:p w14:paraId="76A69D0F" w14:textId="77777777" w:rsidR="00452993" w:rsidRPr="00355C1D" w:rsidRDefault="00452993" w:rsidP="00452993">
      <w:pPr>
        <w:numPr>
          <w:ilvl w:val="0"/>
          <w:numId w:val="1"/>
        </w:numPr>
        <w:tabs>
          <w:tab w:val="left" w:pos="1918"/>
        </w:tabs>
        <w:ind w:right="-660"/>
        <w:jc w:val="both"/>
        <w:rPr>
          <w:rFonts w:ascii="Arial" w:hAnsi="Arial" w:cs="Arial"/>
          <w:bCs/>
          <w:sz w:val="21"/>
          <w:szCs w:val="21"/>
          <w:lang w:val="es-SV"/>
        </w:rPr>
      </w:pPr>
      <w:r w:rsidRPr="00355C1D">
        <w:rPr>
          <w:rFonts w:ascii="Arial" w:hAnsi="Arial" w:cs="Arial"/>
          <w:bCs/>
          <w:sz w:val="21"/>
          <w:szCs w:val="21"/>
          <w:lang w:val="es-SV"/>
        </w:rPr>
        <w:t xml:space="preserve">Suspender los efectos de la resolución recurrida en el lapso comprendido entre la interposición del Recurso de Revisión y la resolución </w:t>
      </w:r>
      <w:proofErr w:type="gramStart"/>
      <w:r w:rsidRPr="00355C1D">
        <w:rPr>
          <w:rFonts w:ascii="Arial" w:hAnsi="Arial" w:cs="Arial"/>
          <w:bCs/>
          <w:sz w:val="21"/>
          <w:szCs w:val="21"/>
          <w:lang w:val="es-SV"/>
        </w:rPr>
        <w:t>del mismo</w:t>
      </w:r>
      <w:proofErr w:type="gramEnd"/>
      <w:r w:rsidRPr="00355C1D">
        <w:rPr>
          <w:rFonts w:ascii="Arial" w:hAnsi="Arial" w:cs="Arial"/>
          <w:bCs/>
          <w:sz w:val="21"/>
          <w:szCs w:val="21"/>
          <w:lang w:val="es-SV"/>
        </w:rPr>
        <w:t xml:space="preserve">. </w:t>
      </w:r>
    </w:p>
    <w:p w14:paraId="70E44B32" w14:textId="77777777" w:rsidR="00452993" w:rsidRPr="00355C1D" w:rsidRDefault="00452993" w:rsidP="00452993">
      <w:pPr>
        <w:tabs>
          <w:tab w:val="left" w:pos="1918"/>
        </w:tabs>
        <w:ind w:right="-660"/>
        <w:jc w:val="both"/>
        <w:rPr>
          <w:rFonts w:ascii="Arial" w:hAnsi="Arial" w:cs="Arial"/>
          <w:bCs/>
          <w:sz w:val="21"/>
          <w:szCs w:val="21"/>
          <w:lang w:val="es-SV"/>
        </w:rPr>
      </w:pPr>
    </w:p>
    <w:p w14:paraId="0125BC06" w14:textId="77777777" w:rsidR="00452993" w:rsidRPr="00355C1D" w:rsidRDefault="00452993" w:rsidP="00452993">
      <w:pPr>
        <w:numPr>
          <w:ilvl w:val="0"/>
          <w:numId w:val="1"/>
        </w:numPr>
        <w:tabs>
          <w:tab w:val="left" w:pos="1918"/>
        </w:tabs>
        <w:ind w:right="-660"/>
        <w:jc w:val="both"/>
        <w:rPr>
          <w:rFonts w:ascii="Arial" w:hAnsi="Arial" w:cs="Arial"/>
          <w:bCs/>
          <w:sz w:val="21"/>
          <w:szCs w:val="21"/>
          <w:lang w:val="es-SV"/>
        </w:rPr>
      </w:pPr>
      <w:r w:rsidRPr="00355C1D">
        <w:rPr>
          <w:rFonts w:ascii="Arial" w:hAnsi="Arial" w:cs="Arial"/>
          <w:bCs/>
          <w:sz w:val="21"/>
          <w:szCs w:val="21"/>
          <w:lang w:val="es-SV"/>
        </w:rPr>
        <w:t>Comisionar a la Unidad de Compras Públicas para notificar esta resolución en forma legal.”</w:t>
      </w:r>
    </w:p>
    <w:p w14:paraId="1FAAD33A" w14:textId="77777777" w:rsidR="00452993" w:rsidRPr="00CE5FE2" w:rsidRDefault="00452993" w:rsidP="00452993">
      <w:pPr>
        <w:tabs>
          <w:tab w:val="left" w:pos="1918"/>
        </w:tabs>
        <w:ind w:right="-660"/>
        <w:jc w:val="both"/>
        <w:rPr>
          <w:rFonts w:ascii="Arial" w:hAnsi="Arial" w:cs="Arial"/>
          <w:sz w:val="21"/>
          <w:szCs w:val="21"/>
        </w:rPr>
      </w:pPr>
    </w:p>
    <w:p w14:paraId="77760F84" w14:textId="77777777" w:rsidR="00452993" w:rsidRPr="00CE5FE2" w:rsidRDefault="00452993" w:rsidP="00452993">
      <w:pPr>
        <w:tabs>
          <w:tab w:val="left" w:pos="1382"/>
        </w:tabs>
        <w:ind w:right="-660"/>
        <w:jc w:val="both"/>
        <w:rPr>
          <w:rFonts w:ascii="Arial" w:hAnsi="Arial" w:cs="Arial"/>
          <w:sz w:val="21"/>
          <w:szCs w:val="21"/>
        </w:rPr>
      </w:pPr>
      <w:r w:rsidRPr="00CE5FE2">
        <w:rPr>
          <w:rFonts w:ascii="Arial" w:hAnsi="Arial" w:cs="Arial"/>
          <w:sz w:val="21"/>
          <w:szCs w:val="21"/>
        </w:rPr>
        <w:tab/>
      </w:r>
    </w:p>
    <w:p w14:paraId="073E302F" w14:textId="77777777" w:rsidR="00452993" w:rsidRPr="00CE5FE2" w:rsidRDefault="00452993" w:rsidP="00452993">
      <w:pPr>
        <w:ind w:right="-660"/>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77CB2242" w14:textId="77777777" w:rsidR="00452993" w:rsidRPr="00CE5FE2" w:rsidRDefault="00452993" w:rsidP="00452993">
      <w:pPr>
        <w:tabs>
          <w:tab w:val="left" w:pos="1918"/>
          <w:tab w:val="left" w:pos="2880"/>
        </w:tabs>
        <w:ind w:right="-660"/>
        <w:jc w:val="both"/>
        <w:rPr>
          <w:rFonts w:ascii="Arial" w:eastAsia="Arial" w:hAnsi="Arial" w:cs="Arial"/>
          <w:b/>
          <w:sz w:val="21"/>
          <w:szCs w:val="21"/>
        </w:rPr>
      </w:pPr>
    </w:p>
    <w:p w14:paraId="46EE3E1B" w14:textId="77777777" w:rsidR="00452993" w:rsidRPr="00B1672E" w:rsidRDefault="00452993" w:rsidP="00452993">
      <w:pPr>
        <w:tabs>
          <w:tab w:val="left" w:pos="1918"/>
          <w:tab w:val="left" w:pos="2880"/>
        </w:tabs>
        <w:ind w:right="-660"/>
        <w:jc w:val="both"/>
        <w:rPr>
          <w:rFonts w:ascii="Arial" w:eastAsia="Arial" w:hAnsi="Arial" w:cs="Arial"/>
          <w:b/>
        </w:rPr>
      </w:pPr>
    </w:p>
    <w:p w14:paraId="692B9719" w14:textId="10EA0C43" w:rsidR="00932134" w:rsidRPr="00E0698A" w:rsidRDefault="00E0698A" w:rsidP="00E0698A">
      <w:pPr>
        <w:spacing w:line="360" w:lineRule="auto"/>
        <w:jc w:val="both"/>
        <w:rPr>
          <w:rFonts w:ascii="Calibri" w:hAnsi="Calibri" w:cs="Calibri"/>
          <w:b/>
          <w:i/>
        </w:rPr>
      </w:pPr>
      <w:bookmarkStart w:id="3" w:name="_Hlk189124689"/>
      <w:r w:rsidRPr="00E0698A">
        <w:rPr>
          <w:rFonts w:ascii="Calibri" w:hAnsi="Calibri" w:cs="Calibri"/>
          <w:b/>
          <w:i/>
        </w:rPr>
        <w:t xml:space="preserve">La presente acta es conforme con su original, la cual se encuentra firmada por los </w:t>
      </w:r>
      <w:proofErr w:type="gramStart"/>
      <w:r w:rsidRPr="00E0698A">
        <w:rPr>
          <w:rFonts w:ascii="Calibri" w:hAnsi="Calibri" w:cs="Calibri"/>
          <w:b/>
          <w:i/>
        </w:rPr>
        <w:t>Directores</w:t>
      </w:r>
      <w:proofErr w:type="gramEnd"/>
      <w:r w:rsidRPr="00E0698A">
        <w:rPr>
          <w:rFonts w:ascii="Calibri" w:hAnsi="Calibri" w:cs="Calibri"/>
          <w:b/>
          <w:i/>
        </w:rPr>
        <w:t>: Roberto Eduardo Calderón López, Javier Antonio Mejía Cortez</w:t>
      </w:r>
      <w:r w:rsidRPr="00E0698A">
        <w:rPr>
          <w:rFonts w:ascii="Calibri" w:eastAsia="Arial" w:hAnsi="Calibri" w:cs="Calibri"/>
          <w:b/>
          <w:i/>
        </w:rPr>
        <w:t xml:space="preserve">, Tanya Elizabeth Cortez Ruíz, Fredis Vásquez Jovel, Erick Enrique Montoya Villacorta, Juan Neftalí Murillo Ruíz, Rafael Enrique Cuéllar Renderos y José Alfredo Cartagena Tobías, </w:t>
      </w:r>
      <w:r w:rsidRPr="00E0698A">
        <w:rPr>
          <w:rFonts w:ascii="Calibri" w:hAnsi="Calibri" w:cs="Calibri"/>
          <w:b/>
          <w:i/>
        </w:rPr>
        <w:t>así como por el Presidente y Director Ejecutivo, Oscar Armando Morales.</w:t>
      </w:r>
      <w:bookmarkEnd w:id="3"/>
    </w:p>
    <w:sectPr w:rsidR="00932134" w:rsidRPr="00E0698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09BD8" w14:textId="77777777" w:rsidR="00E0698A" w:rsidRDefault="00E0698A" w:rsidP="00E0698A">
      <w:r>
        <w:separator/>
      </w:r>
    </w:p>
  </w:endnote>
  <w:endnote w:type="continuationSeparator" w:id="0">
    <w:p w14:paraId="685414C9" w14:textId="77777777" w:rsidR="00E0698A" w:rsidRDefault="00E0698A" w:rsidP="00E06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CDA4B" w14:textId="77777777" w:rsidR="00E0698A" w:rsidRDefault="00E0698A" w:rsidP="00E0698A">
      <w:r>
        <w:separator/>
      </w:r>
    </w:p>
  </w:footnote>
  <w:footnote w:type="continuationSeparator" w:id="0">
    <w:p w14:paraId="3950E44B" w14:textId="77777777" w:rsidR="00E0698A" w:rsidRDefault="00E0698A" w:rsidP="00E06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4A51" w14:textId="4B111EEB" w:rsidR="00E0698A" w:rsidRPr="000843BF" w:rsidRDefault="00E0698A" w:rsidP="00E0698A">
    <w:pPr>
      <w:rPr>
        <w:rFonts w:ascii="Arial" w:hAnsi="Arial" w:cs="Arial"/>
        <w:b/>
        <w:color w:val="FF0000"/>
      </w:rPr>
    </w:pPr>
    <w:bookmarkStart w:id="4" w:name="_Hlk56697089"/>
    <w:bookmarkStart w:id="5"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47AAC6EA" w14:textId="77777777" w:rsidR="00E0698A" w:rsidRPr="000843BF" w:rsidRDefault="00E0698A" w:rsidP="00E0698A">
    <w:pPr>
      <w:rPr>
        <w:rFonts w:ascii="Arial" w:hAnsi="Arial" w:cs="Arial"/>
        <w:b/>
        <w:color w:val="FF0000"/>
      </w:rPr>
    </w:pPr>
    <w:r w:rsidRPr="000843BF">
      <w:rPr>
        <w:rFonts w:ascii="Arial" w:hAnsi="Arial" w:cs="Arial"/>
        <w:b/>
        <w:color w:val="FF0000"/>
      </w:rPr>
      <w:t>SUPRESIÓN DE FIRMAS Y SELLOS</w:t>
    </w:r>
    <w:bookmarkEnd w:id="4"/>
  </w:p>
  <w:bookmarkEnd w:id="5"/>
  <w:p w14:paraId="070F02D5" w14:textId="481AE6B2" w:rsidR="00E0698A" w:rsidRDefault="00E0698A">
    <w:pPr>
      <w:pStyle w:val="Encabezado"/>
    </w:pPr>
  </w:p>
  <w:p w14:paraId="6A0EAB90" w14:textId="77777777" w:rsidR="00E0698A" w:rsidRDefault="00E069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43DD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5317DBB"/>
    <w:multiLevelType w:val="hybridMultilevel"/>
    <w:tmpl w:val="759C793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645268E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60254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2651384">
    <w:abstractNumId w:val="2"/>
  </w:num>
  <w:num w:numId="3" w16cid:durableId="1172990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993"/>
    <w:rsid w:val="00452993"/>
    <w:rsid w:val="005037A0"/>
    <w:rsid w:val="005A0FA2"/>
    <w:rsid w:val="00932134"/>
    <w:rsid w:val="00E0698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624ED"/>
  <w15:chartTrackingRefBased/>
  <w15:docId w15:val="{9C7A9215-DF84-4E0A-B0F7-17F2922CE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993"/>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452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2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299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299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299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299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299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299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299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299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299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299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299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299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29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29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29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2993"/>
    <w:rPr>
      <w:rFonts w:eastAsiaTheme="majorEastAsia" w:cstheme="majorBidi"/>
      <w:color w:val="272727" w:themeColor="text1" w:themeTint="D8"/>
    </w:rPr>
  </w:style>
  <w:style w:type="paragraph" w:styleId="Ttulo">
    <w:name w:val="Title"/>
    <w:basedOn w:val="Normal"/>
    <w:next w:val="Normal"/>
    <w:link w:val="TtuloCar"/>
    <w:uiPriority w:val="10"/>
    <w:qFormat/>
    <w:rsid w:val="0045299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29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29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29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2993"/>
    <w:pPr>
      <w:spacing w:before="160"/>
      <w:jc w:val="center"/>
    </w:pPr>
    <w:rPr>
      <w:i/>
      <w:iCs/>
      <w:color w:val="404040" w:themeColor="text1" w:themeTint="BF"/>
    </w:rPr>
  </w:style>
  <w:style w:type="character" w:customStyle="1" w:styleId="CitaCar">
    <w:name w:val="Cita Car"/>
    <w:basedOn w:val="Fuentedeprrafopredeter"/>
    <w:link w:val="Cita"/>
    <w:uiPriority w:val="29"/>
    <w:rsid w:val="00452993"/>
    <w:rPr>
      <w:i/>
      <w:iCs/>
      <w:color w:val="404040" w:themeColor="text1" w:themeTint="BF"/>
    </w:rPr>
  </w:style>
  <w:style w:type="paragraph" w:styleId="Prrafodelista">
    <w:name w:val="List Paragraph"/>
    <w:basedOn w:val="Normal"/>
    <w:uiPriority w:val="34"/>
    <w:qFormat/>
    <w:rsid w:val="00452993"/>
    <w:pPr>
      <w:ind w:left="720"/>
      <w:contextualSpacing/>
    </w:pPr>
  </w:style>
  <w:style w:type="character" w:styleId="nfasisintenso">
    <w:name w:val="Intense Emphasis"/>
    <w:basedOn w:val="Fuentedeprrafopredeter"/>
    <w:uiPriority w:val="21"/>
    <w:qFormat/>
    <w:rsid w:val="00452993"/>
    <w:rPr>
      <w:i/>
      <w:iCs/>
      <w:color w:val="0F4761" w:themeColor="accent1" w:themeShade="BF"/>
    </w:rPr>
  </w:style>
  <w:style w:type="paragraph" w:styleId="Citadestacada">
    <w:name w:val="Intense Quote"/>
    <w:basedOn w:val="Normal"/>
    <w:next w:val="Normal"/>
    <w:link w:val="CitadestacadaCar"/>
    <w:uiPriority w:val="30"/>
    <w:qFormat/>
    <w:rsid w:val="00452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2993"/>
    <w:rPr>
      <w:i/>
      <w:iCs/>
      <w:color w:val="0F4761" w:themeColor="accent1" w:themeShade="BF"/>
    </w:rPr>
  </w:style>
  <w:style w:type="character" w:styleId="Referenciaintensa">
    <w:name w:val="Intense Reference"/>
    <w:basedOn w:val="Fuentedeprrafopredeter"/>
    <w:uiPriority w:val="32"/>
    <w:qFormat/>
    <w:rsid w:val="00452993"/>
    <w:rPr>
      <w:b/>
      <w:bCs/>
      <w:smallCaps/>
      <w:color w:val="0F4761" w:themeColor="accent1" w:themeShade="BF"/>
      <w:spacing w:val="5"/>
    </w:rPr>
  </w:style>
  <w:style w:type="paragraph" w:styleId="Encabezado">
    <w:name w:val="header"/>
    <w:basedOn w:val="Normal"/>
    <w:link w:val="EncabezadoCar"/>
    <w:uiPriority w:val="99"/>
    <w:unhideWhenUsed/>
    <w:rsid w:val="00E0698A"/>
    <w:pPr>
      <w:tabs>
        <w:tab w:val="center" w:pos="4419"/>
        <w:tab w:val="right" w:pos="8838"/>
      </w:tabs>
    </w:pPr>
  </w:style>
  <w:style w:type="character" w:customStyle="1" w:styleId="EncabezadoCar">
    <w:name w:val="Encabezado Car"/>
    <w:basedOn w:val="Fuentedeprrafopredeter"/>
    <w:link w:val="Encabezado"/>
    <w:uiPriority w:val="99"/>
    <w:rsid w:val="00E0698A"/>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E0698A"/>
    <w:pPr>
      <w:tabs>
        <w:tab w:val="center" w:pos="4419"/>
        <w:tab w:val="right" w:pos="8838"/>
      </w:tabs>
    </w:pPr>
  </w:style>
  <w:style w:type="character" w:customStyle="1" w:styleId="PiedepginaCar">
    <w:name w:val="Pie de página Car"/>
    <w:basedOn w:val="Fuentedeprrafopredeter"/>
    <w:link w:val="Piedepgina"/>
    <w:uiPriority w:val="99"/>
    <w:rsid w:val="00E0698A"/>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1066</Words>
  <Characters>5866</Characters>
  <Application>Microsoft Office Word</Application>
  <DocSecurity>0</DocSecurity>
  <Lines>48</Lines>
  <Paragraphs>13</Paragraphs>
  <ScaleCrop>false</ScaleCrop>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2025-02-28T23:00:00Z</dcterms:created>
  <dcterms:modified xsi:type="dcterms:W3CDTF">2025-02-28T23:56:00Z</dcterms:modified>
</cp:coreProperties>
</file>