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A49A1" w14:textId="77777777" w:rsidR="00AA6082" w:rsidRPr="00EE133E" w:rsidRDefault="00AA6082" w:rsidP="00AA6082">
      <w:pPr>
        <w:spacing w:line="360" w:lineRule="auto"/>
        <w:jc w:val="both"/>
        <w:rPr>
          <w:color w:val="000000"/>
          <w:lang w:val="es-SV"/>
        </w:rPr>
      </w:pPr>
      <w:bookmarkStart w:id="0" w:name="_Hlk94516021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25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cuatro de julio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presencial: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>,</w:t>
      </w:r>
      <w:r w:rsidRPr="008D0541">
        <w:rPr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 xml:space="preserve">;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LABORAL. </w:t>
      </w:r>
      <w:r w:rsidRPr="00E23669">
        <w:rPr>
          <w:lang w:val="es-SV"/>
        </w:rPr>
        <w:t>Y</w:t>
      </w:r>
      <w:r>
        <w:rPr>
          <w:lang w:val="es-SV"/>
        </w:rPr>
        <w:t xml:space="preserve"> de </w:t>
      </w:r>
      <w:r w:rsidRPr="002B15B4">
        <w:rPr>
          <w:lang w:val="es-SV"/>
        </w:rPr>
        <w:t xml:space="preserve">manera </w:t>
      </w:r>
      <w:r>
        <w:rPr>
          <w:lang w:val="es-SV"/>
        </w:rPr>
        <w:t xml:space="preserve">sincrónica vía plataforma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: la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proofErr w:type="gramStart"/>
      <w:r w:rsidRPr="00E23669">
        <w:rPr>
          <w:lang w:val="es-SV"/>
        </w:rPr>
        <w:t>Secretaria</w:t>
      </w:r>
      <w:proofErr w:type="gramEnd"/>
      <w:r w:rsidRPr="00E23669">
        <w:rPr>
          <w:lang w:val="es-SV"/>
        </w:rPr>
        <w:t>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655A69">
        <w:rPr>
          <w:bCs/>
          <w:lang w:val="es-SV"/>
        </w:rPr>
        <w:t xml:space="preserve">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24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junio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112/2024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25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26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1" w:name="_Hlk102123535"/>
      <w:r w:rsidRPr="00E23669">
        <w:rPr>
          <w:lang w:val="es-SV"/>
        </w:rPr>
        <w:t>La agenda fue aprobada tal como aparece redactada</w:t>
      </w:r>
      <w:bookmarkEnd w:id="1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24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27 de junio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20 DE JUNIO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bookmarkStart w:id="2" w:name="_Hlk95311893"/>
      <w:r>
        <w:rPr>
          <w:b/>
          <w:bCs/>
          <w:color w:val="000000"/>
          <w:lang w:val="es-SV"/>
        </w:rPr>
        <w:t xml:space="preserve">  </w:t>
      </w:r>
      <w:r w:rsidRPr="00901BF5">
        <w:rPr>
          <w:color w:val="000000"/>
          <w:lang w:val="es-SV"/>
        </w:rPr>
        <w:t xml:space="preserve">Transferencia Presupuestaria a </w:t>
      </w:r>
      <w:proofErr w:type="gramStart"/>
      <w:r w:rsidRPr="00901BF5">
        <w:rPr>
          <w:color w:val="000000"/>
          <w:lang w:val="es-SV"/>
        </w:rPr>
        <w:t>Junio</w:t>
      </w:r>
      <w:proofErr w:type="gramEnd"/>
      <w:r w:rsidRPr="00901BF5">
        <w:rPr>
          <w:color w:val="000000"/>
          <w:lang w:val="es-SV"/>
        </w:rPr>
        <w:t xml:space="preserve"> 2024</w:t>
      </w:r>
      <w:r>
        <w:rPr>
          <w:color w:val="000000"/>
          <w:lang w:val="es-SV"/>
        </w:rPr>
        <w:t xml:space="preserve">;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</w:t>
      </w:r>
      <w:r w:rsidRPr="00901BF5">
        <w:rPr>
          <w:color w:val="000000"/>
          <w:lang w:val="es-SV"/>
        </w:rPr>
        <w:t>Solicitud de Autorización de Revocatoria y Otorgamiento de Poderes Judiciales, Administrativos y Especiales;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 w:rsidRPr="00A63B2F">
        <w:rPr>
          <w:color w:val="000000"/>
          <w:lang w:val="es-SV"/>
        </w:rPr>
        <w:t>Auto</w:t>
      </w:r>
      <w:r>
        <w:rPr>
          <w:color w:val="000000"/>
          <w:lang w:val="es-SV"/>
        </w:rPr>
        <w:t>rización de Precios de Venta de Activos Extraordinarios;</w:t>
      </w:r>
      <w:r>
        <w:rPr>
          <w:bCs/>
          <w:color w:val="000000"/>
          <w:lang w:val="es-SV"/>
        </w:rPr>
        <w:t xml:space="preserve"> </w:t>
      </w:r>
      <w:r w:rsidRPr="00174D7B"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 Recurso de Revisión Interpuesto en el Proceso de Subasta Inversa Electrónica No. SIE-FSV-001-2024 “Servicio de Instalación de Hasta 120 Puntos de </w:t>
      </w:r>
      <w:r>
        <w:rPr>
          <w:bCs/>
          <w:color w:val="000000"/>
          <w:lang w:val="es-SV"/>
        </w:rPr>
        <w:lastRenderedPageBreak/>
        <w:t xml:space="preserve">Red, para las Oficinas del FSV”; </w:t>
      </w:r>
      <w:r w:rsidRPr="00A06991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2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17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469,576.81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7C4F91">
        <w:rPr>
          <w:b/>
          <w:color w:val="000000"/>
          <w:lang w:val="es-SV"/>
        </w:rPr>
        <w:t xml:space="preserve">Además, el </w:t>
      </w:r>
      <w:r>
        <w:rPr>
          <w:b/>
          <w:color w:val="000000"/>
          <w:lang w:val="es-SV"/>
        </w:rPr>
        <w:t>señor</w:t>
      </w:r>
      <w:r w:rsidRPr="007C4F91">
        <w:rPr>
          <w:b/>
          <w:color w:val="000000"/>
          <w:lang w:val="es-SV"/>
        </w:rPr>
        <w:t xml:space="preserve"> Manuel Antonio García </w:t>
      </w:r>
      <w:r>
        <w:rPr>
          <w:b/>
          <w:color w:val="000000"/>
          <w:lang w:val="es-SV"/>
        </w:rPr>
        <w:t xml:space="preserve">Mancía, </w:t>
      </w:r>
      <w:r w:rsidRPr="007C4F91">
        <w:rPr>
          <w:b/>
          <w:color w:val="000000"/>
          <w:lang w:val="es-SV"/>
        </w:rPr>
        <w:t>comenta que la disminución en el número de activos y créditos se debe a que, en per</w:t>
      </w:r>
      <w:r>
        <w:rPr>
          <w:b/>
          <w:color w:val="000000"/>
          <w:lang w:val="es-SV"/>
        </w:rPr>
        <w:t>í</w:t>
      </w:r>
      <w:r w:rsidRPr="007C4F91">
        <w:rPr>
          <w:b/>
          <w:color w:val="000000"/>
          <w:lang w:val="es-SV"/>
        </w:rPr>
        <w:t>odos anteriores, había un mayor número de activos extraordinarios, principalmente</w:t>
      </w:r>
      <w:r>
        <w:rPr>
          <w:b/>
          <w:color w:val="000000"/>
          <w:lang w:val="es-SV"/>
        </w:rPr>
        <w:t xml:space="preserve"> </w:t>
      </w:r>
      <w:r w:rsidRPr="007C4F91">
        <w:rPr>
          <w:b/>
          <w:color w:val="000000"/>
          <w:lang w:val="es-SV"/>
        </w:rPr>
        <w:t>viviendas recuperadas. En la actualidad, la mayoría de los créditos otorgados ya no son de viviendas recuperadas, lo que ha contribuido a la disminución de los activos extraordinarios y, en consecuencia, a la reducción en el número de créditos a otorgar.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901BF5">
        <w:rPr>
          <w:color w:val="000000"/>
          <w:lang w:val="es-SV"/>
        </w:rPr>
        <w:t xml:space="preserve">Transferencia Presupuestaria a </w:t>
      </w:r>
      <w:proofErr w:type="gramStart"/>
      <w:r w:rsidRPr="00901BF5">
        <w:rPr>
          <w:color w:val="000000"/>
          <w:lang w:val="es-SV"/>
        </w:rPr>
        <w:t>Junio</w:t>
      </w:r>
      <w:proofErr w:type="gramEnd"/>
      <w:r w:rsidRPr="00901BF5">
        <w:rPr>
          <w:color w:val="000000"/>
          <w:lang w:val="es-SV"/>
        </w:rPr>
        <w:t xml:space="preserve"> 2024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 w:rsidRPr="00901BF5">
        <w:rPr>
          <w:color w:val="000000"/>
          <w:lang w:val="es-SV"/>
        </w:rPr>
        <w:t>Solicitud de Autorización de Revocatoria y Otorgamiento de Poderes Judiciales, Administrativos y Especiales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A63B2F">
        <w:rPr>
          <w:color w:val="000000"/>
          <w:lang w:val="es-SV"/>
        </w:rPr>
        <w:t>Auto</w:t>
      </w:r>
      <w:r>
        <w:rPr>
          <w:color w:val="000000"/>
          <w:lang w:val="es-SV"/>
        </w:rPr>
        <w:t>rización de Precios de Venta de Activos Extraordinarios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Recurso de Revisión Interpuesto en el Proceso de Subasta Inversa Electrónica No. SIE-FSV-001-2024 “Servicio de Instalación de Hasta 120 Puntos de Red, para las Oficinas del FSV”,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 Punto VIII.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 xml:space="preserve">ACTA DE </w:t>
      </w:r>
      <w:r w:rsidRPr="00E23669">
        <w:rPr>
          <w:b/>
          <w:bCs/>
          <w:lang w:val="es-SV"/>
        </w:rPr>
        <w:lastRenderedPageBreak/>
        <w:t>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21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$672,103.70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24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$581,155.42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25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$509,016.91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26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$310,121.11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1. Revisión del Proyecto de Informe de Labores Segundo Trimestre Abril-</w:t>
      </w:r>
      <w:proofErr w:type="gramStart"/>
      <w:r>
        <w:rPr>
          <w:b/>
          <w:bCs/>
          <w:lang w:val="es-SV"/>
        </w:rPr>
        <w:t>Junio</w:t>
      </w:r>
      <w:proofErr w:type="gramEnd"/>
      <w:r>
        <w:rPr>
          <w:b/>
          <w:bCs/>
          <w:lang w:val="es-SV"/>
        </w:rPr>
        <w:t xml:space="preserve"> 2024 del </w:t>
      </w:r>
      <w:r>
        <w:rPr>
          <w:b/>
          <w:bCs/>
          <w:lang w:val="es-SV"/>
        </w:rPr>
        <w:lastRenderedPageBreak/>
        <w:t>Consejo de Vigilancia FSV.</w:t>
      </w:r>
      <w:r w:rsidRPr="00E23669">
        <w:rPr>
          <w:lang w:val="es-SV"/>
        </w:rPr>
        <w:t xml:space="preserve"> </w:t>
      </w:r>
      <w:r>
        <w:rPr>
          <w:b/>
          <w:color w:val="000000"/>
          <w:lang w:val="es-SV"/>
        </w:rPr>
        <w:t>EL CONSEJO POR UNANIMIDAD SE DA POR ENTERADO. 2</w:t>
      </w:r>
      <w:r w:rsidRPr="008433F6">
        <w:rPr>
          <w:b/>
          <w:lang w:val="es-SV"/>
        </w:rPr>
        <w:t>.</w:t>
      </w:r>
      <w:r>
        <w:rPr>
          <w:b/>
          <w:lang w:val="es-SV"/>
        </w:rPr>
        <w:t xml:space="preserve"> Se recibe correo electrónico de fecha 28 de junio 2024,  suscrito por la licenciada Alba Alicia Coto de Rivas, Jefa Área de Presupuesto y Cotizaciones, donde adjunta documentación relacionada a la formulación del presupuesto 2025 del Consejo de Vigilancia: a) </w:t>
      </w:r>
      <w:r>
        <w:rPr>
          <w:lang w:val="es-SV"/>
        </w:rPr>
        <w:t xml:space="preserve"> Memorándum remitido a la Licenciada Bertha Alicia Santacruz de Escobar, Presidenta del Consejo de Vigilancia, proveniente de Gerencia de Finanzas, de fecha 27 de junio del presente año, de asunto: Requerimiento Formulación del Presupuesto 2025, </w:t>
      </w:r>
      <w:proofErr w:type="spellStart"/>
      <w:r>
        <w:rPr>
          <w:lang w:val="es-SV"/>
        </w:rPr>
        <w:t>Ref</w:t>
      </w:r>
      <w:proofErr w:type="spellEnd"/>
      <w:r>
        <w:rPr>
          <w:lang w:val="es-SV"/>
        </w:rPr>
        <w:t xml:space="preserve">: GFI-038/2024, suscrito por el Licenciado René Cuéllar Marenco, Gerente de Finanzas FSV, en el cual, se envían los formatos por medio electrónico con la información del presupuesto 2024 como referencia y el proyecto de presupuesto por Centro de Costo. </w:t>
      </w:r>
      <w:r w:rsidRPr="00451B68">
        <w:rPr>
          <w:b/>
          <w:bCs/>
          <w:lang w:val="es-SV"/>
        </w:rPr>
        <w:t>b)</w:t>
      </w:r>
      <w:r>
        <w:rPr>
          <w:lang w:val="es-SV"/>
        </w:rPr>
        <w:t xml:space="preserve"> Lineamientos Generales para la Formulación del Proyecto Presupuesto de Ingresos y Egresos 2025. </w:t>
      </w:r>
      <w:r w:rsidRPr="00451B68">
        <w:rPr>
          <w:b/>
          <w:bCs/>
          <w:lang w:val="es-SV"/>
        </w:rPr>
        <w:t>c)</w:t>
      </w:r>
      <w:r>
        <w:rPr>
          <w:lang w:val="es-SV"/>
        </w:rPr>
        <w:t xml:space="preserve"> Presupuestos 2025-2024, del Consejo de Vigilancia. </w:t>
      </w:r>
      <w:r>
        <w:rPr>
          <w:b/>
          <w:color w:val="000000"/>
          <w:lang w:val="es-SV"/>
        </w:rPr>
        <w:t>EL CONSEJO POR UNANIMIDAD SE DA POR ENTERADO.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once de julio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seis minutos</w:t>
      </w:r>
      <w:r w:rsidRPr="00E23669">
        <w:rPr>
          <w:lang w:val="es-SV"/>
        </w:rPr>
        <w:t>, ratificamos su contenido y firmamos.</w:t>
      </w:r>
    </w:p>
    <w:p w14:paraId="54977656" w14:textId="77777777" w:rsidR="00AA6082" w:rsidRPr="00E23669" w:rsidRDefault="00AA6082" w:rsidP="00AA6082">
      <w:pPr>
        <w:spacing w:line="360" w:lineRule="auto"/>
        <w:jc w:val="both"/>
        <w:rPr>
          <w:sz w:val="22"/>
          <w:lang w:val="es-SV"/>
        </w:rPr>
      </w:pPr>
    </w:p>
    <w:p w14:paraId="51A39AB5" w14:textId="77777777" w:rsidR="00AA6082" w:rsidRPr="00E23669" w:rsidRDefault="00AA6082" w:rsidP="00AA6082">
      <w:pPr>
        <w:spacing w:line="360" w:lineRule="auto"/>
        <w:jc w:val="both"/>
        <w:rPr>
          <w:sz w:val="22"/>
          <w:lang w:val="es-SV"/>
        </w:rPr>
      </w:pPr>
    </w:p>
    <w:p w14:paraId="4896C27A" w14:textId="77777777" w:rsidR="00B32D3B" w:rsidRPr="00051A45" w:rsidRDefault="00B32D3B" w:rsidP="00B32D3B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3" w:name="_Hlk80273629"/>
      <w:bookmarkEnd w:id="0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3"/>
    <w:p w14:paraId="06AB74BF" w14:textId="77777777" w:rsidR="002D72D8" w:rsidRPr="00B32D3B" w:rsidRDefault="002D72D8"/>
    <w:sectPr w:rsidR="002D72D8" w:rsidRPr="00B32D3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992BE" w14:textId="77777777" w:rsidR="002B68AE" w:rsidRDefault="002B68AE" w:rsidP="002B68AE">
      <w:r>
        <w:separator/>
      </w:r>
    </w:p>
  </w:endnote>
  <w:endnote w:type="continuationSeparator" w:id="0">
    <w:p w14:paraId="5563543F" w14:textId="77777777" w:rsidR="002B68AE" w:rsidRDefault="002B68AE" w:rsidP="002B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F55CA" w14:textId="77777777" w:rsidR="002B68AE" w:rsidRDefault="002B68AE" w:rsidP="002B68AE">
      <w:r>
        <w:separator/>
      </w:r>
    </w:p>
  </w:footnote>
  <w:footnote w:type="continuationSeparator" w:id="0">
    <w:p w14:paraId="14C59DB0" w14:textId="77777777" w:rsidR="002B68AE" w:rsidRDefault="002B68AE" w:rsidP="002B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FE822" w14:textId="77777777" w:rsidR="002B68AE" w:rsidRPr="000843BF" w:rsidRDefault="002B68AE" w:rsidP="002B68AE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4" w:name="_Hlk56697089"/>
    <w:bookmarkStart w:id="5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D192835" w14:textId="77777777" w:rsidR="002B68AE" w:rsidRPr="000843BF" w:rsidRDefault="002B68AE" w:rsidP="002B68AE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4"/>
  </w:p>
  <w:bookmarkEnd w:id="5"/>
  <w:p w14:paraId="47F0E4AE" w14:textId="77777777" w:rsidR="002B68AE" w:rsidRDefault="002B68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82"/>
    <w:rsid w:val="00244194"/>
    <w:rsid w:val="002B68AE"/>
    <w:rsid w:val="002D72D8"/>
    <w:rsid w:val="003409E2"/>
    <w:rsid w:val="00AA6082"/>
    <w:rsid w:val="00B32D3B"/>
    <w:rsid w:val="00C6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05415D"/>
  <w15:chartTrackingRefBased/>
  <w15:docId w15:val="{20A15EF8-9CDF-41C8-B34A-93FC25D5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8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60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0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60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60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60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60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60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60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60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6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6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60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60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60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60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60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60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6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60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60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60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60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60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6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60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608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68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68AE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B68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8AE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2024-08-15T16:19:00Z</dcterms:created>
  <dcterms:modified xsi:type="dcterms:W3CDTF">2024-08-15T17:21:00Z</dcterms:modified>
</cp:coreProperties>
</file>