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160EE" w14:textId="77777777" w:rsidR="00521376" w:rsidRPr="00EE133E" w:rsidRDefault="00521376" w:rsidP="00521376">
      <w:pPr>
        <w:spacing w:line="360" w:lineRule="auto"/>
        <w:jc w:val="both"/>
        <w:rPr>
          <w:color w:val="000000"/>
          <w:lang w:val="es-SV"/>
        </w:rPr>
      </w:pPr>
      <w:bookmarkStart w:id="0" w:name="_Hlk94516021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21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seis de junio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>;</w:t>
      </w:r>
      <w:r>
        <w:rPr>
          <w:bCs/>
          <w:lang w:val="es-SV"/>
        </w:rPr>
        <w:t xml:space="preserve"> </w:t>
      </w:r>
      <w:r w:rsidRPr="00CD764D">
        <w:rPr>
          <w:lang w:val="es-SV"/>
        </w:rPr>
        <w:t xml:space="preserve">y de manera sincrónica mediante la plataforma Microsoft </w:t>
      </w:r>
      <w:proofErr w:type="spellStart"/>
      <w:r w:rsidRPr="00CD764D"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655A69">
        <w:rPr>
          <w:bCs/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20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mayo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090/2024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Asamblea de Gobernadores</w:t>
      </w:r>
      <w:r w:rsidRPr="00E23669">
        <w:rPr>
          <w:bCs/>
          <w:lang w:val="es-SV"/>
        </w:rPr>
        <w:t xml:space="preserve">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185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IX.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1" w:name="_Hlk102123535"/>
      <w:r w:rsidRPr="00E23669">
        <w:rPr>
          <w:lang w:val="es-SV"/>
        </w:rPr>
        <w:t>La agenda fue aprobada tal como aparece redactada</w:t>
      </w:r>
      <w:bookmarkEnd w:id="1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20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veintitrés de 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 DE MAYO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2" w:name="_Hlk95311893"/>
      <w:r>
        <w:rPr>
          <w:b/>
          <w:bCs/>
          <w:color w:val="000000"/>
          <w:lang w:val="es-SV"/>
        </w:rPr>
        <w:t xml:space="preserve"> </w:t>
      </w:r>
      <w:r w:rsidRPr="00FF2F53">
        <w:rPr>
          <w:color w:val="000000"/>
          <w:lang w:val="es-SV"/>
        </w:rPr>
        <w:t xml:space="preserve">Informe de la Cartera Hipotecaria del FSV al mes de </w:t>
      </w:r>
      <w:proofErr w:type="gramStart"/>
      <w:r w:rsidRPr="00FF2F53">
        <w:rPr>
          <w:color w:val="000000"/>
          <w:lang w:val="es-SV"/>
        </w:rPr>
        <w:t>Abril</w:t>
      </w:r>
      <w:proofErr w:type="gramEnd"/>
      <w:r w:rsidRPr="00FF2F53">
        <w:rPr>
          <w:color w:val="000000"/>
          <w:lang w:val="es-SV"/>
        </w:rPr>
        <w:t xml:space="preserve"> 2024</w:t>
      </w:r>
      <w:r w:rsidRPr="00FA1793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FF2F53">
        <w:rPr>
          <w:color w:val="000000"/>
          <w:lang w:val="es-SV"/>
        </w:rPr>
        <w:t>Informe Trimestral de Evaluación Técnica de la Gestión Integral de Riesgos, Cifras al 31 de Marzo 2024</w:t>
      </w:r>
      <w:r>
        <w:rPr>
          <w:color w:val="000000"/>
          <w:lang w:val="es-SV"/>
        </w:rPr>
        <w:t xml:space="preserve">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210D42">
        <w:rPr>
          <w:color w:val="000000"/>
          <w:lang w:val="es-SV"/>
        </w:rPr>
        <w:t>Autorización de Precios de Venta de Activos Extraordinarios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>Aprobación de Préstamos Personales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lastRenderedPageBreak/>
        <w:t>VIII</w:t>
      </w:r>
      <w:r>
        <w:rPr>
          <w:b/>
          <w:bCs/>
          <w:color w:val="000000"/>
          <w:lang w:val="es-SV"/>
        </w:rPr>
        <w:t xml:space="preserve">. </w:t>
      </w:r>
      <w:r w:rsidRPr="00FF2F53">
        <w:rPr>
          <w:color w:val="000000"/>
          <w:lang w:val="es-SV"/>
        </w:rPr>
        <w:t>Solicitud de SITRAFOSVI</w:t>
      </w:r>
      <w:r>
        <w:rPr>
          <w:color w:val="000000"/>
          <w:lang w:val="es-SV"/>
        </w:rPr>
        <w:t xml:space="preserve">; </w:t>
      </w:r>
      <w:r w:rsidRPr="00CE2E5C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2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631,152.22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FF2F53">
        <w:rPr>
          <w:color w:val="000000"/>
          <w:lang w:val="es-SV"/>
        </w:rPr>
        <w:t xml:space="preserve">Informe de la Cartera Hipotecaria del FSV al mes de </w:t>
      </w:r>
      <w:proofErr w:type="gramStart"/>
      <w:r w:rsidRPr="00FF2F53">
        <w:rPr>
          <w:color w:val="000000"/>
          <w:lang w:val="es-SV"/>
        </w:rPr>
        <w:t>Abril</w:t>
      </w:r>
      <w:proofErr w:type="gramEnd"/>
      <w:r w:rsidRPr="00FF2F53">
        <w:rPr>
          <w:color w:val="000000"/>
          <w:lang w:val="es-SV"/>
        </w:rPr>
        <w:t xml:space="preserve"> 2024</w:t>
      </w:r>
      <w:r>
        <w:rPr>
          <w:bCs/>
          <w:color w:val="000000" w:themeColor="text1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punto; </w:t>
      </w:r>
      <w:r w:rsidRPr="00DC7DAE">
        <w:rPr>
          <w:b/>
          <w:color w:val="000000" w:themeColor="text1"/>
          <w:lang w:val="es-SV"/>
        </w:rPr>
        <w:t>en</w:t>
      </w:r>
      <w:r>
        <w:rPr>
          <w:bCs/>
          <w:color w:val="000000" w:themeColor="text1"/>
          <w:lang w:val="es-SV"/>
        </w:rPr>
        <w:t xml:space="preserve"> </w:t>
      </w:r>
      <w:r w:rsidRPr="00DC7DAE">
        <w:rPr>
          <w:b/>
          <w:color w:val="000000" w:themeColor="text1"/>
          <w:lang w:val="es-SV"/>
        </w:rPr>
        <w:t>donde</w:t>
      </w:r>
      <w:r>
        <w:rPr>
          <w:bCs/>
          <w:color w:val="000000" w:themeColor="text1"/>
          <w:lang w:val="es-SV"/>
        </w:rPr>
        <w:t xml:space="preserve"> </w:t>
      </w:r>
      <w:r w:rsidRPr="00BA3F9B">
        <w:rPr>
          <w:b/>
          <w:color w:val="000000" w:themeColor="text1"/>
          <w:lang w:val="es-SV"/>
        </w:rPr>
        <w:t xml:space="preserve">el </w:t>
      </w:r>
      <w:r>
        <w:rPr>
          <w:b/>
          <w:color w:val="000000" w:themeColor="text1"/>
          <w:lang w:val="es-SV"/>
        </w:rPr>
        <w:t>señor</w:t>
      </w:r>
      <w:r w:rsidRPr="00A2383E">
        <w:rPr>
          <w:b/>
          <w:bCs/>
          <w:color w:val="000000" w:themeColor="text1"/>
          <w:lang w:val="es-SV"/>
        </w:rPr>
        <w:t xml:space="preserve"> Manuel Antonio García </w:t>
      </w:r>
      <w:r>
        <w:rPr>
          <w:b/>
          <w:bCs/>
          <w:color w:val="000000" w:themeColor="text1"/>
          <w:lang w:val="es-SV"/>
        </w:rPr>
        <w:t xml:space="preserve">Mancía </w:t>
      </w:r>
      <w:r w:rsidRPr="00A2383E">
        <w:rPr>
          <w:b/>
          <w:bCs/>
          <w:color w:val="000000" w:themeColor="text1"/>
          <w:lang w:val="es-SV"/>
        </w:rPr>
        <w:t xml:space="preserve">considera que los resultados obtenidos demuestran que la Institución ha mantenido un desempeño positivo durante los primeros </w:t>
      </w:r>
      <w:r>
        <w:rPr>
          <w:b/>
          <w:bCs/>
          <w:color w:val="000000" w:themeColor="text1"/>
          <w:lang w:val="es-SV"/>
        </w:rPr>
        <w:t>cuatro</w:t>
      </w:r>
      <w:r w:rsidRPr="00A2383E">
        <w:rPr>
          <w:b/>
          <w:bCs/>
          <w:color w:val="000000" w:themeColor="text1"/>
          <w:lang w:val="es-SV"/>
        </w:rPr>
        <w:t xml:space="preserve"> meses del presente año, con una alta probabilidad de superar los resultados del año anterior. Además, señala que estos buenos resultados se deben al esmero y la dedicación que la Administración pone en su gestión, lo cual ha generado una tendencia al alza.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POR UNANIMIDAD SE DA POR ENTERADO.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FF2F53">
        <w:rPr>
          <w:color w:val="000000"/>
          <w:lang w:val="es-SV"/>
        </w:rPr>
        <w:t xml:space="preserve">Informe Trimestral de Evaluación Técnica de la Gestión Integral de Riesgos, Cifras al 31 de </w:t>
      </w:r>
      <w:proofErr w:type="gramStart"/>
      <w:r w:rsidRPr="00FF2F53">
        <w:rPr>
          <w:color w:val="000000"/>
          <w:lang w:val="es-SV"/>
        </w:rPr>
        <w:t>Marzo</w:t>
      </w:r>
      <w:proofErr w:type="gramEnd"/>
      <w:r w:rsidRPr="00FF2F53">
        <w:rPr>
          <w:color w:val="000000"/>
          <w:lang w:val="es-SV"/>
        </w:rPr>
        <w:t xml:space="preserve"> 2024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 w:rsidRPr="00DC7DAE">
        <w:rPr>
          <w:b/>
          <w:color w:val="000000" w:themeColor="text1"/>
          <w:lang w:val="es-SV"/>
        </w:rPr>
        <w:t>en dicho</w:t>
      </w:r>
      <w:r>
        <w:rPr>
          <w:bCs/>
          <w:color w:val="000000" w:themeColor="text1"/>
          <w:lang w:val="es-SV"/>
        </w:rPr>
        <w:t xml:space="preserve"> </w:t>
      </w:r>
      <w:r w:rsidRPr="00BA3F9B">
        <w:rPr>
          <w:b/>
          <w:color w:val="000000" w:themeColor="text1"/>
          <w:lang w:val="es-SV"/>
        </w:rPr>
        <w:t>e</w:t>
      </w:r>
      <w:r w:rsidRPr="00BC4D07">
        <w:rPr>
          <w:b/>
          <w:bCs/>
          <w:color w:val="000000" w:themeColor="text1"/>
          <w:lang w:val="es-SV"/>
        </w:rPr>
        <w:t xml:space="preserve">l </w:t>
      </w:r>
      <w:r>
        <w:rPr>
          <w:b/>
          <w:bCs/>
          <w:color w:val="000000" w:themeColor="text1"/>
          <w:lang w:val="es-SV"/>
        </w:rPr>
        <w:t>señor</w:t>
      </w:r>
      <w:r w:rsidRPr="00BC4D07">
        <w:rPr>
          <w:b/>
          <w:bCs/>
          <w:color w:val="000000" w:themeColor="text1"/>
          <w:lang w:val="es-SV"/>
        </w:rPr>
        <w:t xml:space="preserve"> Manuel Antonio García </w:t>
      </w:r>
      <w:r>
        <w:rPr>
          <w:b/>
          <w:bCs/>
          <w:color w:val="000000" w:themeColor="text1"/>
          <w:lang w:val="es-SV"/>
        </w:rPr>
        <w:t xml:space="preserve">Mancía </w:t>
      </w:r>
      <w:r w:rsidRPr="00BC4D07">
        <w:rPr>
          <w:b/>
          <w:bCs/>
          <w:color w:val="000000" w:themeColor="text1"/>
          <w:lang w:val="es-SV"/>
        </w:rPr>
        <w:t>opina que</w:t>
      </w:r>
      <w:r>
        <w:rPr>
          <w:b/>
          <w:bCs/>
          <w:color w:val="000000" w:themeColor="text1"/>
          <w:lang w:val="es-SV"/>
        </w:rPr>
        <w:t>,</w:t>
      </w:r>
      <w:r w:rsidRPr="00BC4D07">
        <w:rPr>
          <w:b/>
          <w:bCs/>
          <w:color w:val="000000" w:themeColor="text1"/>
          <w:lang w:val="es-SV"/>
        </w:rPr>
        <w:t xml:space="preserve"> </w:t>
      </w:r>
      <w:r>
        <w:rPr>
          <w:b/>
          <w:bCs/>
          <w:color w:val="000000" w:themeColor="text1"/>
          <w:lang w:val="es-SV"/>
        </w:rPr>
        <w:t>con</w:t>
      </w:r>
      <w:r w:rsidRPr="00BC4D07">
        <w:rPr>
          <w:b/>
          <w:bCs/>
          <w:color w:val="000000" w:themeColor="text1"/>
          <w:lang w:val="es-SV"/>
        </w:rPr>
        <w:t xml:space="preserve"> base a la documentación</w:t>
      </w:r>
      <w:r>
        <w:rPr>
          <w:b/>
          <w:bCs/>
          <w:color w:val="000000" w:themeColor="text1"/>
          <w:lang w:val="es-SV"/>
        </w:rPr>
        <w:t xml:space="preserve"> analizada</w:t>
      </w:r>
      <w:r w:rsidRPr="00BC4D07">
        <w:rPr>
          <w:b/>
          <w:bCs/>
          <w:color w:val="000000" w:themeColor="text1"/>
          <w:lang w:val="es-SV"/>
        </w:rPr>
        <w:t>, los resultados obtenidos al mes de marzo están dando un resultado superior en comparación al promedio del sistema financiero</w:t>
      </w:r>
      <w:r>
        <w:rPr>
          <w:b/>
          <w:bCs/>
          <w:color w:val="000000" w:themeColor="text1"/>
          <w:lang w:val="es-SV"/>
        </w:rPr>
        <w:t xml:space="preserve">.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 w:rsidRPr="00BA3F9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5365D3">
        <w:rPr>
          <w:color w:val="000000"/>
          <w:lang w:val="es-SV"/>
        </w:rPr>
        <w:t xml:space="preserve">Autorización de Precios de Venta de </w:t>
      </w:r>
      <w:r>
        <w:rPr>
          <w:color w:val="000000"/>
          <w:lang w:val="es-SV"/>
        </w:rPr>
        <w:t>A</w:t>
      </w:r>
      <w:r w:rsidRPr="005365D3">
        <w:rPr>
          <w:color w:val="000000"/>
          <w:lang w:val="es-SV"/>
        </w:rPr>
        <w:t>ctivos Extraordinarios</w:t>
      </w:r>
      <w:r w:rsidRPr="00462D12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 w:rsidRPr="00BA3F9B">
        <w:rPr>
          <w:b/>
          <w:color w:val="000000" w:themeColor="text1"/>
          <w:lang w:val="es-SV"/>
        </w:rPr>
        <w:t>el señor</w:t>
      </w:r>
      <w:r w:rsidRPr="00BC4D07">
        <w:rPr>
          <w:b/>
          <w:bCs/>
          <w:color w:val="000000" w:themeColor="text1"/>
          <w:lang w:val="es-SV"/>
        </w:rPr>
        <w:t xml:space="preserve"> Manuel Antonio García </w:t>
      </w:r>
      <w:r>
        <w:rPr>
          <w:b/>
          <w:bCs/>
          <w:color w:val="000000" w:themeColor="text1"/>
          <w:lang w:val="es-SV"/>
        </w:rPr>
        <w:t xml:space="preserve">Mancía </w:t>
      </w:r>
      <w:r w:rsidRPr="00BC4D07">
        <w:rPr>
          <w:b/>
          <w:bCs/>
          <w:color w:val="000000" w:themeColor="text1"/>
          <w:lang w:val="es-SV"/>
        </w:rPr>
        <w:t>comenta que</w:t>
      </w:r>
      <w:r>
        <w:rPr>
          <w:b/>
          <w:bCs/>
          <w:color w:val="000000" w:themeColor="text1"/>
          <w:lang w:val="es-SV"/>
        </w:rPr>
        <w:t>,</w:t>
      </w:r>
      <w:r w:rsidRPr="00BC4D07">
        <w:rPr>
          <w:b/>
          <w:bCs/>
          <w:color w:val="000000" w:themeColor="text1"/>
          <w:lang w:val="es-SV"/>
        </w:rPr>
        <w:t xml:space="preserve"> la disminución de los </w:t>
      </w:r>
      <w:r>
        <w:rPr>
          <w:b/>
          <w:bCs/>
          <w:color w:val="000000" w:themeColor="text1"/>
          <w:lang w:val="es-SV"/>
        </w:rPr>
        <w:t>A</w:t>
      </w:r>
      <w:r w:rsidRPr="00BC4D07">
        <w:rPr>
          <w:b/>
          <w:bCs/>
          <w:color w:val="000000" w:themeColor="text1"/>
          <w:lang w:val="es-SV"/>
        </w:rPr>
        <w:t xml:space="preserve">ctivos </w:t>
      </w:r>
      <w:r>
        <w:rPr>
          <w:b/>
          <w:bCs/>
          <w:color w:val="000000" w:themeColor="text1"/>
          <w:lang w:val="es-SV"/>
        </w:rPr>
        <w:t>E</w:t>
      </w:r>
      <w:r w:rsidRPr="00BC4D07">
        <w:rPr>
          <w:b/>
          <w:bCs/>
          <w:color w:val="000000" w:themeColor="text1"/>
          <w:lang w:val="es-SV"/>
        </w:rPr>
        <w:t>xtraordinarios es positiva para el FSV. Considera que la Administración podrá tomar medidas para fomentar la construcción de viviendas y así abordar la gran demanda existente.</w:t>
      </w:r>
      <w:r>
        <w:rPr>
          <w:b/>
          <w:color w:val="000000"/>
          <w:lang w:val="es-SV"/>
        </w:rPr>
        <w:t xml:space="preserve"> 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VII. </w:t>
      </w:r>
      <w:r w:rsidRPr="00462D12">
        <w:rPr>
          <w:color w:val="000000"/>
          <w:lang w:val="es-SV"/>
        </w:rPr>
        <w:t>Aprobación de Préstamos Personales</w:t>
      </w:r>
      <w:r w:rsidRPr="005365D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lastRenderedPageBreak/>
        <w:t>V</w:t>
      </w:r>
      <w:r>
        <w:rPr>
          <w:b/>
          <w:color w:val="000000"/>
          <w:lang w:val="es-SV"/>
        </w:rPr>
        <w:t>III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F2F53">
        <w:rPr>
          <w:color w:val="000000"/>
          <w:lang w:val="es-SV"/>
        </w:rPr>
        <w:t>Solicitud de SITRAFOSVI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IX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17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$533,551.81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20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$710,215.81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21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$525,136.12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22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</w:t>
      </w:r>
      <w:r>
        <w:rPr>
          <w:color w:val="000000"/>
          <w:lang w:val="es-SV"/>
        </w:rPr>
        <w:lastRenderedPageBreak/>
        <w:t>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$801,565.66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 w:rsidRPr="00793572">
        <w:rPr>
          <w:b/>
          <w:bCs/>
          <w:lang w:val="es-SV"/>
        </w:rPr>
        <w:t>ORDINARIA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185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12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904C99">
        <w:rPr>
          <w:b/>
          <w:bCs/>
          <w:color w:val="000000"/>
          <w:lang w:val="es-SV"/>
        </w:rPr>
        <w:t>1</w:t>
      </w:r>
      <w:r>
        <w:rPr>
          <w:b/>
          <w:color w:val="000000"/>
          <w:lang w:val="es-SV"/>
        </w:rPr>
        <w:t xml:space="preserve">. </w:t>
      </w:r>
      <w:r w:rsidRPr="00D320DA">
        <w:rPr>
          <w:bCs/>
          <w:color w:val="000000"/>
          <w:lang w:val="es-SV"/>
        </w:rPr>
        <w:t>Comprobación de Quórum</w:t>
      </w:r>
      <w:r>
        <w:rPr>
          <w:bCs/>
          <w:color w:val="000000"/>
          <w:lang w:val="es-SV"/>
        </w:rPr>
        <w:t xml:space="preserve">; </w:t>
      </w:r>
      <w:r w:rsidRPr="00D320DA">
        <w:rPr>
          <w:b/>
          <w:color w:val="000000"/>
          <w:lang w:val="es-SV"/>
        </w:rPr>
        <w:t>2.</w:t>
      </w:r>
      <w:r w:rsidRPr="00D320DA">
        <w:rPr>
          <w:bCs/>
          <w:color w:val="000000"/>
          <w:lang w:val="es-SV"/>
        </w:rPr>
        <w:t xml:space="preserve">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3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4</w:t>
      </w:r>
      <w:r w:rsidRPr="009F0499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Presentación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de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Estados Financieros</w:t>
      </w:r>
      <w:r>
        <w:rPr>
          <w:color w:val="000000"/>
          <w:lang w:val="es-SV"/>
        </w:rPr>
        <w:t xml:space="preserve"> 2023</w:t>
      </w:r>
      <w:r w:rsidRPr="008B35A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Presentación Sobre Resultados Ejercicio 2023; </w:t>
      </w:r>
      <w:r w:rsidRPr="00904C99">
        <w:rPr>
          <w:b/>
          <w:bCs/>
          <w:color w:val="000000"/>
          <w:lang w:val="es-SV"/>
        </w:rPr>
        <w:t>6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Liquidación del Presupuesto de Ingresos y Egresos 2023; </w:t>
      </w:r>
      <w:r w:rsidRPr="00904C99">
        <w:rPr>
          <w:b/>
          <w:bCs/>
          <w:color w:val="000000"/>
          <w:lang w:val="es-SV"/>
        </w:rPr>
        <w:t>7</w:t>
      </w:r>
      <w:r w:rsidRPr="00E066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del Auditor Externo 2023; </w:t>
      </w:r>
      <w:r>
        <w:rPr>
          <w:b/>
          <w:bCs/>
          <w:color w:val="000000"/>
          <w:lang w:val="es-SV"/>
        </w:rPr>
        <w:t>8</w:t>
      </w:r>
      <w:r w:rsidRPr="00247817">
        <w:rPr>
          <w:color w:val="000000"/>
          <w:lang w:val="es-SV"/>
        </w:rPr>
        <w:t xml:space="preserve">.  </w:t>
      </w:r>
      <w:r>
        <w:rPr>
          <w:color w:val="000000"/>
          <w:lang w:val="es-SV"/>
        </w:rPr>
        <w:t xml:space="preserve">Modificación al Contrato del Auditor Externo 2024; 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9. </w:t>
      </w:r>
      <w:r w:rsidRPr="00D72B31">
        <w:rPr>
          <w:bCs/>
          <w:color w:val="000000"/>
          <w:lang w:val="es-SV"/>
        </w:rPr>
        <w:t xml:space="preserve">Informe Residencial </w:t>
      </w:r>
      <w:proofErr w:type="spellStart"/>
      <w:r w:rsidRPr="00D72B31">
        <w:rPr>
          <w:bCs/>
          <w:color w:val="000000"/>
          <w:lang w:val="es-SV"/>
        </w:rPr>
        <w:t>Altavista</w:t>
      </w:r>
      <w:proofErr w:type="spellEnd"/>
      <w:r w:rsidRPr="00FD0D31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 w:rsidRPr="00904C99">
        <w:rPr>
          <w:b/>
          <w:color w:val="000000"/>
          <w:lang w:val="es-SV"/>
        </w:rPr>
        <w:t>10.</w:t>
      </w:r>
      <w:r>
        <w:rPr>
          <w:color w:val="000000"/>
          <w:lang w:val="es-SV"/>
        </w:rPr>
        <w:t xml:space="preserve"> Pronunciamiento Sobre Suficiencia de Reservas de Saneamiento de Cartera Hipotecaria al 31 de Diciembre de 2023; </w:t>
      </w:r>
      <w:r w:rsidRPr="00904C99">
        <w:rPr>
          <w:b/>
          <w:bCs/>
          <w:color w:val="000000"/>
          <w:lang w:val="es-SV"/>
        </w:rPr>
        <w:t>11</w:t>
      </w:r>
      <w:r w:rsidRPr="008B35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Memoria de Labores 2023;  </w:t>
      </w:r>
      <w:r w:rsidRPr="00904C99">
        <w:rPr>
          <w:b/>
          <w:bCs/>
          <w:color w:val="000000"/>
          <w:lang w:val="es-SV"/>
        </w:rPr>
        <w:t>12</w:t>
      </w:r>
      <w:r w:rsidRPr="005C71E4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Seguimiento de Acuerdos; </w:t>
      </w:r>
      <w:r>
        <w:rPr>
          <w:b/>
          <w:bCs/>
          <w:color w:val="000000"/>
          <w:lang w:val="es-SV"/>
        </w:rPr>
        <w:t>13</w:t>
      </w:r>
      <w:r w:rsidRPr="005C71E4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de Política Crediticia. </w:t>
      </w:r>
      <w:r w:rsidRPr="00622C4C">
        <w:rPr>
          <w:b/>
          <w:bCs/>
          <w:color w:val="000000"/>
          <w:lang w:val="es-SV"/>
        </w:rPr>
        <w:t>14.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4. </w:t>
      </w:r>
      <w:r w:rsidRPr="00904C99">
        <w:rPr>
          <w:color w:val="000000"/>
          <w:lang w:val="es-SV"/>
        </w:rPr>
        <w:t>Presentación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de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Estados Financieros</w:t>
      </w:r>
      <w:r>
        <w:rPr>
          <w:color w:val="000000"/>
          <w:lang w:val="es-SV"/>
        </w:rPr>
        <w:t xml:space="preserve">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D320DA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Presentación Sobre Resultados Ejercicio 2023</w:t>
      </w:r>
      <w:r w:rsidRPr="00EC3698">
        <w:rPr>
          <w:bCs/>
          <w:color w:val="000000"/>
          <w:lang w:val="es-SV"/>
        </w:rPr>
        <w:t>,</w:t>
      </w:r>
      <w:r w:rsidRPr="00D320DA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6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Liquidación del Presupuesto de Ingresos y Egresos 2023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7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del Auditor Externo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8</w:t>
      </w:r>
      <w:r w:rsidRPr="00434B36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al Contrato del Auditor Externo 2024;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9. </w:t>
      </w:r>
      <w:r w:rsidRPr="00D72B31">
        <w:rPr>
          <w:bCs/>
          <w:color w:val="000000"/>
          <w:lang w:val="es-SV"/>
        </w:rPr>
        <w:t xml:space="preserve">Informe </w:t>
      </w:r>
      <w:r w:rsidRPr="00D72B31">
        <w:rPr>
          <w:bCs/>
          <w:color w:val="000000"/>
          <w:lang w:val="es-SV"/>
        </w:rPr>
        <w:lastRenderedPageBreak/>
        <w:t xml:space="preserve">Residencial </w:t>
      </w:r>
      <w:proofErr w:type="spellStart"/>
      <w:r w:rsidRPr="00D72B31">
        <w:rPr>
          <w:bCs/>
          <w:color w:val="000000"/>
          <w:lang w:val="es-SV"/>
        </w:rPr>
        <w:t>Altavista</w:t>
      </w:r>
      <w:proofErr w:type="spellEnd"/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10. </w:t>
      </w:r>
      <w:r>
        <w:rPr>
          <w:color w:val="000000"/>
          <w:lang w:val="es-SV"/>
        </w:rPr>
        <w:t xml:space="preserve">Pronunciamiento Sobre Suficiencia de Reservas de Saneamiento de Cartera Hipotecaria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 w:rsidRPr="00764C2D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11</w:t>
      </w:r>
      <w:r w:rsidRPr="008B35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Memoria de Labores 2023;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7B7754">
        <w:rPr>
          <w:b/>
          <w:color w:val="000000"/>
          <w:lang w:val="es-SV"/>
        </w:rPr>
        <w:t>Punto 1</w:t>
      </w:r>
      <w:r>
        <w:rPr>
          <w:b/>
          <w:color w:val="000000"/>
          <w:lang w:val="es-SV"/>
        </w:rPr>
        <w:t>2</w:t>
      </w:r>
      <w:r w:rsidRPr="007B7754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Seguimiento de Acuerdos</w:t>
      </w:r>
      <w:r>
        <w:rPr>
          <w:b/>
          <w:bCs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13</w:t>
      </w:r>
      <w:r w:rsidRPr="00251EBA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622C4C">
        <w:rPr>
          <w:color w:val="000000"/>
          <w:lang w:val="es-SV"/>
        </w:rPr>
        <w:t xml:space="preserve">Modificación de Política Crediticia,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622C4C">
        <w:rPr>
          <w:b/>
          <w:bCs/>
          <w:color w:val="000000"/>
          <w:lang w:val="es-SV"/>
        </w:rPr>
        <w:t>Punto 14.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POR UNANIMIDAD SE DA POR ENTERADO. IX.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trece de junio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tres minutos</w:t>
      </w:r>
      <w:r w:rsidRPr="00E23669">
        <w:rPr>
          <w:lang w:val="es-SV"/>
        </w:rPr>
        <w:t>, ratificamos su contenido y firmamos.</w:t>
      </w:r>
    </w:p>
    <w:p w14:paraId="01A073D0" w14:textId="77777777" w:rsidR="00521376" w:rsidRDefault="00521376" w:rsidP="00521376">
      <w:pPr>
        <w:spacing w:line="360" w:lineRule="auto"/>
        <w:jc w:val="both"/>
        <w:rPr>
          <w:sz w:val="22"/>
          <w:lang w:val="es-SV"/>
        </w:rPr>
      </w:pPr>
    </w:p>
    <w:p w14:paraId="08388572" w14:textId="77777777" w:rsidR="00521376" w:rsidRPr="00E23669" w:rsidRDefault="00521376" w:rsidP="00521376">
      <w:pPr>
        <w:spacing w:line="360" w:lineRule="auto"/>
        <w:jc w:val="both"/>
        <w:rPr>
          <w:sz w:val="22"/>
          <w:lang w:val="es-SV"/>
        </w:rPr>
      </w:pPr>
    </w:p>
    <w:p w14:paraId="032BC0D3" w14:textId="77777777" w:rsidR="001B3D64" w:rsidRPr="00051A45" w:rsidRDefault="001B3D64" w:rsidP="001B3D64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  <w:bookmarkEnd w:id="0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3"/>
    <w:p w14:paraId="171923EA" w14:textId="77777777" w:rsidR="002D72D8" w:rsidRPr="001B3D64" w:rsidRDefault="002D72D8"/>
    <w:sectPr w:rsidR="002D72D8" w:rsidRPr="001B3D6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9686F" w14:textId="77777777" w:rsidR="00BE5438" w:rsidRDefault="00BE5438" w:rsidP="00BE5438">
      <w:r>
        <w:separator/>
      </w:r>
    </w:p>
  </w:endnote>
  <w:endnote w:type="continuationSeparator" w:id="0">
    <w:p w14:paraId="22A07BD0" w14:textId="77777777" w:rsidR="00BE5438" w:rsidRDefault="00BE5438" w:rsidP="00BE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DE59A" w14:textId="77777777" w:rsidR="00BE5438" w:rsidRDefault="00BE5438" w:rsidP="00BE5438">
      <w:r>
        <w:separator/>
      </w:r>
    </w:p>
  </w:footnote>
  <w:footnote w:type="continuationSeparator" w:id="0">
    <w:p w14:paraId="1C44DF1D" w14:textId="77777777" w:rsidR="00BE5438" w:rsidRDefault="00BE5438" w:rsidP="00BE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02D35" w14:textId="77777777" w:rsidR="00BE5438" w:rsidRPr="000843BF" w:rsidRDefault="00BE5438" w:rsidP="00BE5438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893303C" w14:textId="77777777" w:rsidR="00BE5438" w:rsidRPr="000843BF" w:rsidRDefault="00BE5438" w:rsidP="00BE5438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0FFB0E26" w14:textId="77777777" w:rsidR="00BE5438" w:rsidRDefault="00BE54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76"/>
    <w:rsid w:val="00115A5F"/>
    <w:rsid w:val="001B3D64"/>
    <w:rsid w:val="00244194"/>
    <w:rsid w:val="00290497"/>
    <w:rsid w:val="002D72D8"/>
    <w:rsid w:val="00521376"/>
    <w:rsid w:val="00BE5438"/>
    <w:rsid w:val="00F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CB275"/>
  <w15:chartTrackingRefBased/>
  <w15:docId w15:val="{891D2108-EF08-4C9D-89BA-CDF0563F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7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13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3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3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3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3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3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3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3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3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3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3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3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3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3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3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2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3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2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3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213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13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213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3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3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54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5438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54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438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1906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2024-07-18T15:40:00Z</dcterms:created>
  <dcterms:modified xsi:type="dcterms:W3CDTF">2024-07-22T22:31:00Z</dcterms:modified>
</cp:coreProperties>
</file>