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5584" w14:textId="77777777" w:rsidR="00287F52" w:rsidRPr="00243951" w:rsidRDefault="00287F52" w:rsidP="00287F52">
      <w:pPr>
        <w:spacing w:line="360" w:lineRule="auto"/>
        <w:jc w:val="both"/>
        <w:rPr>
          <w:bCs/>
          <w:color w:val="000000" w:themeColor="text1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15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diecinueve de abril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en forma virtual sincrónica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14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07 de marzo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048/2024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08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VIII.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 </w:t>
      </w:r>
      <w:r w:rsidRPr="003609CD"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3609CD">
        <w:rPr>
          <w:b/>
          <w:lang w:val="es-SV"/>
        </w:rPr>
        <w:t>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3609CD">
        <w:rPr>
          <w:b/>
          <w:lang w:val="es-SV"/>
        </w:rPr>
        <w:t>XI.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3609CD">
        <w:rPr>
          <w:b/>
          <w:lang w:val="es-SV"/>
        </w:rPr>
        <w:t>XII.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XIII.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XIV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14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12 de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07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 xml:space="preserve">Aprobación de </w:t>
      </w:r>
      <w:r w:rsidRPr="00DC798B">
        <w:rPr>
          <w:bCs/>
          <w:color w:val="000000"/>
          <w:lang w:val="es-SV"/>
        </w:rPr>
        <w:lastRenderedPageBreak/>
        <w:t>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>forme del Proceso de Contratación Directa No. CD-FSV-004-2024, “Suministro de Combustible en Cupones para los Vehículos Automotores y Plantas Eléctricas de Emergencia del FSV”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Modificación al Instructivo para la Administración y Venta de Activos Extraordinarios;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F95B31">
        <w:rPr>
          <w:color w:val="000000"/>
          <w:lang w:val="es-SV"/>
        </w:rPr>
        <w:t>Autorización de Precios de Venta de Activos Extraordinarios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2D193C">
        <w:rPr>
          <w:color w:val="000000"/>
          <w:lang w:val="es-SV"/>
        </w:rPr>
        <w:t>Informe de</w:t>
      </w:r>
      <w:r>
        <w:rPr>
          <w:color w:val="000000"/>
          <w:lang w:val="es-SV"/>
        </w:rPr>
        <w:t xml:space="preserve"> Misión al Exterior a Indianápolis, Estados Unidos de América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Solicitud de Misión Oficial; </w:t>
      </w:r>
      <w:r w:rsidRPr="002D193C">
        <w:rPr>
          <w:b/>
          <w:color w:val="000000"/>
          <w:lang w:val="es-SV"/>
        </w:rPr>
        <w:t>IX.</w:t>
      </w:r>
      <w:r>
        <w:rPr>
          <w:bCs/>
          <w:color w:val="000000"/>
          <w:lang w:val="es-SV"/>
        </w:rPr>
        <w:t xml:space="preserve">  Modificación a la Estructura Organizativa de la Unidad de Género; </w:t>
      </w:r>
      <w:r w:rsidRPr="002D193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955,712.89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>forme del Proceso de Contratación Directa No. CD-FSV-004-2024, “Suministro de Combustible en Cupones para los Vehículos Automotores y Plantas Eléctricas de Emergencia del FSV”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Modificación al Instructivo para la Administración y Venta de Activos Extraordinarios,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F95B31">
        <w:rPr>
          <w:color w:val="000000"/>
          <w:lang w:val="es-SV"/>
        </w:rPr>
        <w:t>Autorización de Precios de Venta de Activos Extraordinarios</w:t>
      </w:r>
      <w:r w:rsidRPr="00AF6D99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VII.</w:t>
      </w:r>
      <w:r>
        <w:rPr>
          <w:b/>
          <w:bCs/>
          <w:color w:val="000000"/>
          <w:lang w:val="es-SV"/>
        </w:rPr>
        <w:t xml:space="preserve"> </w:t>
      </w:r>
      <w:r w:rsidRPr="00AF6D99">
        <w:rPr>
          <w:color w:val="000000"/>
          <w:lang w:val="es-SV"/>
        </w:rPr>
        <w:t>I</w:t>
      </w:r>
      <w:r>
        <w:rPr>
          <w:color w:val="000000"/>
          <w:lang w:val="es-SV"/>
        </w:rPr>
        <w:t xml:space="preserve">nforme de Misión al Exterior a Indianápolis, Estados Unidos de América,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V</w:t>
      </w:r>
      <w:r>
        <w:rPr>
          <w:b/>
          <w:bCs/>
          <w:color w:val="000000"/>
          <w:lang w:val="es-SV"/>
        </w:rPr>
        <w:t xml:space="preserve">III. </w:t>
      </w:r>
      <w:r w:rsidRPr="00F95B31">
        <w:rPr>
          <w:color w:val="000000"/>
          <w:lang w:val="es-SV"/>
        </w:rPr>
        <w:t>Solicitud de Misión Oficial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 IX. </w:t>
      </w:r>
      <w:r>
        <w:rPr>
          <w:bCs/>
          <w:color w:val="000000"/>
          <w:lang w:val="es-SV"/>
        </w:rPr>
        <w:t xml:space="preserve"> Modificación a la </w:t>
      </w:r>
      <w:r>
        <w:rPr>
          <w:bCs/>
          <w:color w:val="000000"/>
          <w:lang w:val="es-SV"/>
        </w:rPr>
        <w:lastRenderedPageBreak/>
        <w:t>Estructura Organizativa de la Unidad de Género</w:t>
      </w:r>
      <w:r w:rsidRPr="00F95B3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b/>
          <w:bCs/>
          <w:color w:val="000000"/>
          <w:lang w:val="es-SV"/>
        </w:rPr>
        <w:t xml:space="preserve">X.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08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$731,118.76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11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$633,782.70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$724,689.33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13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lastRenderedPageBreak/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$1,248,872.09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>forme de Asamblea de Gobernadores AG-185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la Cartera Hipotecaria del FSV, al Mes de </w:t>
      </w:r>
      <w:proofErr w:type="gramStart"/>
      <w:r>
        <w:rPr>
          <w:color w:val="000000"/>
          <w:lang w:val="es-SV"/>
        </w:rPr>
        <w:t>Febrero</w:t>
      </w:r>
      <w:proofErr w:type="gramEnd"/>
      <w:r>
        <w:rPr>
          <w:color w:val="000000"/>
          <w:lang w:val="es-SV"/>
        </w:rPr>
        <w:t xml:space="preserve"> 2024;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0A439E">
        <w:rPr>
          <w:color w:val="000000"/>
          <w:lang w:val="es-SV"/>
        </w:rPr>
        <w:t>Aprobación de Préstamos Personales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0A439E">
        <w:rPr>
          <w:color w:val="000000"/>
          <w:lang w:val="es-SV"/>
        </w:rPr>
        <w:t>Solicitud de Factibilidad de Financiamiento de Largo Plazo Para Proyecto Residencial Villa Santiago</w:t>
      </w:r>
      <w:r>
        <w:rPr>
          <w:color w:val="000000"/>
          <w:lang w:val="es-SV"/>
        </w:rPr>
        <w:t>.</w:t>
      </w:r>
      <w:r w:rsidRPr="000A439E">
        <w:rPr>
          <w:color w:val="000000"/>
          <w:lang w:val="es-SV"/>
        </w:rPr>
        <w:t xml:space="preserve"> Ubicado en Carretera </w:t>
      </w:r>
      <w:proofErr w:type="spellStart"/>
      <w:r w:rsidRPr="000A439E">
        <w:rPr>
          <w:color w:val="000000"/>
          <w:lang w:val="es-SV"/>
        </w:rPr>
        <w:t>By</w:t>
      </w:r>
      <w:proofErr w:type="spellEnd"/>
      <w:r w:rsidRPr="000A439E">
        <w:rPr>
          <w:color w:val="000000"/>
          <w:lang w:val="es-SV"/>
        </w:rPr>
        <w:t xml:space="preserve"> Pass, Barrio</w:t>
      </w:r>
      <w:r>
        <w:rPr>
          <w:color w:val="000000"/>
          <w:lang w:val="es-SV"/>
        </w:rPr>
        <w:t xml:space="preserve"> Santa Cruz, Municipio de Chalchuapa, Departamento de Santa Ana, Solicitada por Sociedad Cooperativa Créditos Ágil &amp; Confiable S.A. de C.V.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 w:rsidRPr="000A439E">
        <w:rPr>
          <w:color w:val="000000"/>
          <w:lang w:val="es-SV"/>
        </w:rPr>
        <w:t>Solicitud de Factibilidad de Financiamiento de Largo Plazo Para Proyecto Residencial Loma Alta, Tercera Etapa, Ubicado en Km. 99</w:t>
      </w:r>
      <w:r w:rsidRPr="00C721C2">
        <w:rPr>
          <w:lang w:val="es-SV"/>
        </w:rPr>
        <w:t>,</w:t>
      </w:r>
      <w:r w:rsidRPr="000A439E">
        <w:rPr>
          <w:color w:val="000000"/>
          <w:lang w:val="es-SV"/>
        </w:rPr>
        <w:t xml:space="preserve"> Sobre la Carretera que de</w:t>
      </w:r>
      <w:r>
        <w:rPr>
          <w:color w:val="000000"/>
          <w:lang w:val="es-SV"/>
        </w:rPr>
        <w:t xml:space="preserve"> Sonsonate Conduce a Santa Ana (Los Naranjos), en el Cantón y Caserío El Almendro, Municipio de </w:t>
      </w:r>
      <w:proofErr w:type="spellStart"/>
      <w:r>
        <w:rPr>
          <w:color w:val="000000"/>
          <w:lang w:val="es-SV"/>
        </w:rPr>
        <w:t>Sonzacate</w:t>
      </w:r>
      <w:proofErr w:type="spellEnd"/>
      <w:r>
        <w:rPr>
          <w:color w:val="000000"/>
          <w:lang w:val="es-SV"/>
        </w:rPr>
        <w:t>, Departamento de Sonsonate, Solicitada Orión S.A. de C.V.</w:t>
      </w:r>
      <w:r>
        <w:rPr>
          <w:bCs/>
          <w:color w:val="000000"/>
          <w:lang w:val="es-SV"/>
        </w:rPr>
        <w:t xml:space="preserve">; </w:t>
      </w:r>
      <w:r w:rsidRPr="002D193C">
        <w:rPr>
          <w:b/>
          <w:color w:val="000000"/>
          <w:lang w:val="es-SV"/>
        </w:rPr>
        <w:t>IX.</w:t>
      </w:r>
      <w:r>
        <w:rPr>
          <w:b/>
          <w:color w:val="000000"/>
          <w:lang w:val="es-SV"/>
        </w:rPr>
        <w:t xml:space="preserve"> </w:t>
      </w:r>
      <w:r w:rsidRPr="000A439E">
        <w:rPr>
          <w:color w:val="000000"/>
          <w:lang w:val="es-SV"/>
        </w:rPr>
        <w:t>Solicitud de Factibilidad de Financiamiento de Largo Plazo Para Proyecto Residencial</w:t>
      </w:r>
      <w:r>
        <w:rPr>
          <w:color w:val="000000"/>
          <w:lang w:val="es-SV"/>
        </w:rPr>
        <w:t xml:space="preserve"> El Cairo. Ubicado en Calle a la Geotérmica, Cantón Los Magueyes, Departamento de Ahuachapán, Solicitada por Inversiones e Inmobiliaria Fénix S.A. de C.V.</w:t>
      </w:r>
      <w:r>
        <w:rPr>
          <w:bCs/>
          <w:color w:val="000000"/>
          <w:lang w:val="es-SV"/>
        </w:rPr>
        <w:t xml:space="preserve">; </w:t>
      </w:r>
      <w:r w:rsidRPr="002D193C">
        <w:rPr>
          <w:b/>
          <w:color w:val="000000"/>
          <w:lang w:val="es-SV"/>
        </w:rPr>
        <w:t>X.</w:t>
      </w:r>
      <w:r>
        <w:rPr>
          <w:b/>
          <w:color w:val="000000"/>
          <w:lang w:val="es-SV"/>
        </w:rPr>
        <w:t xml:space="preserve"> </w:t>
      </w:r>
      <w:r w:rsidRPr="00942A79">
        <w:rPr>
          <w:bCs/>
          <w:color w:val="000000"/>
          <w:lang w:val="es-SV"/>
        </w:rPr>
        <w:t>Solicitud de Aprobación</w:t>
      </w:r>
      <w:r>
        <w:rPr>
          <w:bCs/>
          <w:color w:val="000000"/>
          <w:lang w:val="es-SV"/>
        </w:rPr>
        <w:t xml:space="preserve"> de Mecanismo de Contratación y Especificaciones Técnicas Para el Proceso Mercado Bursátil No. MB-002/2024 “Suministro e Implementación de una Solución de Facturación Electrónica Para el FSV”</w:t>
      </w:r>
      <w:r w:rsidRPr="00942A79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805,219.54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 xml:space="preserve">forme de Asamblea de Gobernadores AG-185,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la Cartera Hipotecaria del FSV, </w:t>
      </w:r>
      <w:r>
        <w:rPr>
          <w:color w:val="000000"/>
          <w:lang w:val="es-SV"/>
        </w:rPr>
        <w:lastRenderedPageBreak/>
        <w:t xml:space="preserve">al Mes de </w:t>
      </w:r>
      <w:proofErr w:type="gramStart"/>
      <w:r>
        <w:rPr>
          <w:color w:val="000000"/>
          <w:lang w:val="es-SV"/>
        </w:rPr>
        <w:t>Febrero</w:t>
      </w:r>
      <w:proofErr w:type="gramEnd"/>
      <w:r>
        <w:rPr>
          <w:color w:val="000000"/>
          <w:lang w:val="es-SV"/>
        </w:rPr>
        <w:t xml:space="preserve">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VI. </w:t>
      </w:r>
      <w:r w:rsidRPr="00BB493E">
        <w:rPr>
          <w:color w:val="000000"/>
          <w:lang w:val="es-SV"/>
        </w:rPr>
        <w:t>Aprobación de Préstamos Personales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0A439E">
        <w:rPr>
          <w:color w:val="000000"/>
          <w:lang w:val="es-SV"/>
        </w:rPr>
        <w:t>Solicitud de Factibilidad de Financiamiento de Largo Plazo Para Proyecto Residencial Villa Santiago</w:t>
      </w:r>
      <w:r>
        <w:rPr>
          <w:color w:val="000000"/>
          <w:lang w:val="es-SV"/>
        </w:rPr>
        <w:t>.</w:t>
      </w:r>
      <w:r w:rsidRPr="007E6733">
        <w:rPr>
          <w:color w:val="FF0000"/>
          <w:lang w:val="es-SV"/>
        </w:rPr>
        <w:t xml:space="preserve"> </w:t>
      </w:r>
      <w:r w:rsidRPr="000A439E">
        <w:rPr>
          <w:color w:val="000000"/>
          <w:lang w:val="es-SV"/>
        </w:rPr>
        <w:t xml:space="preserve">Ubicado en Carretera </w:t>
      </w:r>
      <w:proofErr w:type="spellStart"/>
      <w:r w:rsidRPr="000A439E">
        <w:rPr>
          <w:color w:val="000000"/>
          <w:lang w:val="es-SV"/>
        </w:rPr>
        <w:t>By</w:t>
      </w:r>
      <w:proofErr w:type="spellEnd"/>
      <w:r w:rsidRPr="000A439E">
        <w:rPr>
          <w:color w:val="000000"/>
          <w:lang w:val="es-SV"/>
        </w:rPr>
        <w:t xml:space="preserve"> Pass, Barrio</w:t>
      </w:r>
      <w:r>
        <w:rPr>
          <w:color w:val="000000"/>
          <w:lang w:val="es-SV"/>
        </w:rPr>
        <w:t xml:space="preserve"> Santa Cruz, Municipio de Chalchuapa, Departamento de Santa Ana, Solicitada por Sociedad Cooperativa Créditos Ágil &amp; Confiable S.A. de C.V.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0A439E">
        <w:rPr>
          <w:color w:val="000000"/>
          <w:lang w:val="es-SV"/>
        </w:rPr>
        <w:t>Solicitud de Factibilidad de Financiamiento de Largo Plazo Para Proyecto Residencial Loma Alta, Tercera Etapa, Ubicado en Km. 99</w:t>
      </w:r>
      <w:r>
        <w:rPr>
          <w:color w:val="000000"/>
          <w:lang w:val="es-SV"/>
        </w:rPr>
        <w:t>,</w:t>
      </w:r>
      <w:r w:rsidRPr="000A439E">
        <w:rPr>
          <w:color w:val="000000"/>
          <w:lang w:val="es-SV"/>
        </w:rPr>
        <w:t xml:space="preserve"> Sobre la Carretera que de</w:t>
      </w:r>
      <w:r>
        <w:rPr>
          <w:color w:val="000000"/>
          <w:lang w:val="es-SV"/>
        </w:rPr>
        <w:t xml:space="preserve"> Sonsonate Conduce a Santa Ana (Los Naranjos), en el Cantón y Caserío El Almendro, Municipio de </w:t>
      </w:r>
      <w:proofErr w:type="spellStart"/>
      <w:r>
        <w:rPr>
          <w:color w:val="000000"/>
          <w:lang w:val="es-SV"/>
        </w:rPr>
        <w:t>Sonzacate</w:t>
      </w:r>
      <w:proofErr w:type="spellEnd"/>
      <w:r>
        <w:rPr>
          <w:color w:val="000000"/>
          <w:lang w:val="es-SV"/>
        </w:rPr>
        <w:t xml:space="preserve">, Departamento de Sonsonate, Solicitada Orión S.A. de C.V,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IX.</w:t>
      </w:r>
      <w:r w:rsidRPr="00B47014">
        <w:rPr>
          <w:color w:val="000000"/>
          <w:lang w:val="es-SV"/>
        </w:rPr>
        <w:t xml:space="preserve"> </w:t>
      </w:r>
      <w:r w:rsidRPr="000A439E">
        <w:rPr>
          <w:color w:val="000000"/>
          <w:lang w:val="es-SV"/>
        </w:rPr>
        <w:t>Solicitud de Factibilidad de Financiamiento de Largo Plazo Para Proyecto Residencial</w:t>
      </w:r>
      <w:r>
        <w:rPr>
          <w:color w:val="000000"/>
          <w:lang w:val="es-SV"/>
        </w:rPr>
        <w:t xml:space="preserve"> El Cairo. Ubicado en Calle a la Geotérmica, Cantón Los Magueyes, Departamento de Ahuachapán, Solicitada por Inversiones e Inmobiliaria Fénix S.A. de C.V.,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 w:rsidRPr="00454ECE">
        <w:rPr>
          <w:b/>
          <w:color w:val="000000" w:themeColor="text1"/>
          <w:lang w:val="es-SV"/>
        </w:rPr>
        <w:t>e</w:t>
      </w:r>
      <w:r w:rsidRPr="00243951">
        <w:rPr>
          <w:b/>
          <w:bCs/>
          <w:color w:val="000000" w:themeColor="text1"/>
          <w:lang w:val="es-SV"/>
        </w:rPr>
        <w:t xml:space="preserve">l licenciado Jesús Amado Campos </w:t>
      </w:r>
      <w:r>
        <w:rPr>
          <w:b/>
          <w:bCs/>
          <w:color w:val="000000" w:themeColor="text1"/>
          <w:lang w:val="es-SV"/>
        </w:rPr>
        <w:t xml:space="preserve">Sánchez, </w:t>
      </w:r>
      <w:r w:rsidRPr="00243951">
        <w:rPr>
          <w:b/>
          <w:bCs/>
          <w:color w:val="000000" w:themeColor="text1"/>
          <w:lang w:val="es-SV"/>
        </w:rPr>
        <w:t>opina que es favorable la producción de viviendas con precios medios, es decir, entre 40,000 y 80,000 dólares. Considera que esto representa una excelente oportunidad para que más familias puedan acceder a una vivienda propia</w:t>
      </w:r>
      <w:r w:rsidRPr="00243951">
        <w:rPr>
          <w:bCs/>
          <w:color w:val="000000" w:themeColor="text1"/>
          <w:lang w:val="es-SV"/>
        </w:rPr>
        <w:t xml:space="preserve">.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b/>
          <w:bCs/>
          <w:color w:val="000000"/>
          <w:lang w:val="es-SV"/>
        </w:rPr>
        <w:t xml:space="preserve">X. </w:t>
      </w:r>
      <w:r w:rsidRPr="00942A79">
        <w:rPr>
          <w:bCs/>
          <w:color w:val="000000"/>
          <w:lang w:val="es-SV"/>
        </w:rPr>
        <w:t>Solicitud de Aprobación</w:t>
      </w:r>
      <w:r>
        <w:rPr>
          <w:bCs/>
          <w:color w:val="000000"/>
          <w:lang w:val="es-SV"/>
        </w:rPr>
        <w:t xml:space="preserve"> de Mecanismo de Contratación y Especificaciones Técnicas Para el Proceso Mercado Bursátil No. MB-002/2024 “Suministro e Implementación de una Solución de Facturación Electrónica Para el FSV”</w:t>
      </w:r>
      <w:r w:rsidRPr="00F95B3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</w:t>
      </w:r>
      <w:r>
        <w:rPr>
          <w:b/>
          <w:color w:val="000000"/>
          <w:lang w:val="es-SV"/>
        </w:rPr>
        <w:lastRenderedPageBreak/>
        <w:t xml:space="preserve">UNANIMIDAD SE DA POR ENTERADO. </w:t>
      </w:r>
      <w:r>
        <w:rPr>
          <w:b/>
          <w:bCs/>
          <w:color w:val="000000"/>
          <w:lang w:val="es-SV"/>
        </w:rPr>
        <w:t xml:space="preserve">XI.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 IX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15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$1,198,829.99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18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$874,009.79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19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$720,060.83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20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$615,204.01 </w:t>
      </w:r>
      <w:r w:rsidRPr="004238A4">
        <w:rPr>
          <w:b/>
          <w:color w:val="000000"/>
          <w:lang w:val="es-SV"/>
        </w:rPr>
        <w:t xml:space="preserve">no teniendo ninguna observación que hacer al respecto al </w:t>
      </w:r>
      <w:r w:rsidRPr="004238A4">
        <w:rPr>
          <w:b/>
          <w:color w:val="000000"/>
          <w:lang w:val="es-SV"/>
        </w:rPr>
        <w:lastRenderedPageBreak/>
        <w:t>contenido del acta antes relacionada</w:t>
      </w:r>
      <w:r>
        <w:rPr>
          <w:b/>
          <w:color w:val="000000"/>
          <w:lang w:val="es-SV"/>
        </w:rPr>
        <w:t xml:space="preserve">. XIII.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XIV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veinticuatro de abril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presencial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diecinueve minutos</w:t>
      </w:r>
      <w:r w:rsidRPr="00E23669">
        <w:rPr>
          <w:lang w:val="es-SV"/>
        </w:rPr>
        <w:t>, ratificamos su contenido y firmamos.</w:t>
      </w:r>
    </w:p>
    <w:p w14:paraId="533C62A6" w14:textId="77777777" w:rsidR="00287F52" w:rsidRPr="00E23669" w:rsidRDefault="00287F52" w:rsidP="00287F52">
      <w:pPr>
        <w:spacing w:line="360" w:lineRule="auto"/>
        <w:jc w:val="both"/>
        <w:rPr>
          <w:sz w:val="22"/>
          <w:lang w:val="es-SV"/>
        </w:rPr>
      </w:pPr>
    </w:p>
    <w:p w14:paraId="4EA14EE6" w14:textId="77777777" w:rsidR="00287F52" w:rsidRPr="00E23669" w:rsidRDefault="00287F52" w:rsidP="00287F52">
      <w:pPr>
        <w:spacing w:line="360" w:lineRule="auto"/>
        <w:jc w:val="both"/>
        <w:rPr>
          <w:sz w:val="22"/>
          <w:lang w:val="es-SV"/>
        </w:rPr>
      </w:pPr>
    </w:p>
    <w:p w14:paraId="1AAC21F8" w14:textId="77777777" w:rsidR="008E12F2" w:rsidRPr="00051A45" w:rsidRDefault="008E12F2" w:rsidP="008E12F2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589FDC37" w14:textId="77777777" w:rsidR="008E12F2" w:rsidRPr="005E1A87" w:rsidRDefault="008E12F2" w:rsidP="008E12F2"/>
    <w:p w14:paraId="408B87D5" w14:textId="77777777" w:rsidR="002D72D8" w:rsidRPr="008E12F2" w:rsidRDefault="002D72D8"/>
    <w:sectPr w:rsidR="002D72D8" w:rsidRPr="008E12F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509B0" w14:textId="77777777" w:rsidR="009479C8" w:rsidRDefault="009479C8" w:rsidP="009479C8">
      <w:r>
        <w:separator/>
      </w:r>
    </w:p>
  </w:endnote>
  <w:endnote w:type="continuationSeparator" w:id="0">
    <w:p w14:paraId="3D78741B" w14:textId="77777777" w:rsidR="009479C8" w:rsidRDefault="009479C8" w:rsidP="0094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BBB43" w14:textId="77777777" w:rsidR="009479C8" w:rsidRDefault="009479C8" w:rsidP="009479C8">
      <w:r>
        <w:separator/>
      </w:r>
    </w:p>
  </w:footnote>
  <w:footnote w:type="continuationSeparator" w:id="0">
    <w:p w14:paraId="51CCB3A5" w14:textId="77777777" w:rsidR="009479C8" w:rsidRDefault="009479C8" w:rsidP="0094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EFDD6" w14:textId="77777777" w:rsidR="009479C8" w:rsidRPr="000843BF" w:rsidRDefault="009479C8" w:rsidP="009479C8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A0CB56A" w14:textId="77777777" w:rsidR="009479C8" w:rsidRPr="000843BF" w:rsidRDefault="009479C8" w:rsidP="009479C8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35124BF" w14:textId="77777777" w:rsidR="009479C8" w:rsidRDefault="00947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52"/>
    <w:rsid w:val="00244194"/>
    <w:rsid w:val="00287F52"/>
    <w:rsid w:val="002D72D8"/>
    <w:rsid w:val="008022E8"/>
    <w:rsid w:val="008E12F2"/>
    <w:rsid w:val="009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07DA50"/>
  <w15:chartTrackingRefBased/>
  <w15:docId w15:val="{370442C8-CA8B-4076-9E95-27EC0108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5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7F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F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F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F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F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F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F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F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F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F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F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F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F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F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F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7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F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F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7F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F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7F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F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F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79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9C8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479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9C8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2506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2024-05-07T17:56:00Z</dcterms:created>
  <dcterms:modified xsi:type="dcterms:W3CDTF">2024-05-13T22:29:00Z</dcterms:modified>
</cp:coreProperties>
</file>