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9E4E" w14:textId="77777777" w:rsidR="00616EC1" w:rsidRPr="0050739B" w:rsidRDefault="00616EC1" w:rsidP="00616EC1">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4B4EE430" w14:textId="77777777" w:rsidR="00616EC1" w:rsidRPr="0050739B" w:rsidRDefault="00616EC1" w:rsidP="00616EC1">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JD-011/2024 DEL 17 DE ENERO 2024</w:t>
      </w:r>
    </w:p>
    <w:p w14:paraId="2C94D4B7" w14:textId="77777777" w:rsidR="00616EC1" w:rsidRPr="0050739B" w:rsidRDefault="00616EC1" w:rsidP="00616EC1">
      <w:pPr>
        <w:tabs>
          <w:tab w:val="left" w:pos="1918"/>
        </w:tabs>
        <w:spacing w:after="0" w:line="240" w:lineRule="auto"/>
        <w:ind w:right="-943"/>
        <w:jc w:val="both"/>
        <w:rPr>
          <w:rFonts w:ascii="Arial" w:eastAsia="Times New Roman" w:hAnsi="Arial" w:cs="Arial"/>
          <w:b/>
          <w:lang w:val="es-ES_tradnl" w:eastAsia="es-ES"/>
        </w:rPr>
      </w:pPr>
    </w:p>
    <w:p w14:paraId="64B12AB3" w14:textId="77777777" w:rsidR="00616EC1" w:rsidRPr="0050739B" w:rsidRDefault="00616EC1" w:rsidP="00616EC1">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w:t>
      </w:r>
      <w:r w:rsidRPr="0050739B">
        <w:rPr>
          <w:rFonts w:ascii="Arial" w:eastAsia="Arial" w:hAnsi="Arial" w:cs="Arial"/>
        </w:rPr>
        <w:t>diecisiete</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JD-011/2024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7BBFF408" w14:textId="77777777" w:rsidR="00616EC1" w:rsidRPr="0050739B" w:rsidRDefault="00616EC1" w:rsidP="00616EC1">
      <w:pPr>
        <w:tabs>
          <w:tab w:val="left" w:pos="1918"/>
        </w:tabs>
        <w:spacing w:after="0" w:line="240" w:lineRule="auto"/>
        <w:ind w:right="-943"/>
        <w:jc w:val="both"/>
        <w:rPr>
          <w:rFonts w:ascii="Arial" w:eastAsia="Times New Roman" w:hAnsi="Arial" w:cs="Arial"/>
          <w:b/>
          <w:lang w:val="es-ES_tradnl" w:eastAsia="es-ES"/>
        </w:rPr>
      </w:pPr>
    </w:p>
    <w:p w14:paraId="0E01E366" w14:textId="77777777" w:rsidR="00616EC1" w:rsidRPr="0050739B" w:rsidRDefault="00616EC1" w:rsidP="00616EC1">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797D89B5" w14:textId="77777777" w:rsidR="00616EC1" w:rsidRPr="0050739B" w:rsidRDefault="00616EC1" w:rsidP="00616EC1">
      <w:pPr>
        <w:tabs>
          <w:tab w:val="left" w:pos="1918"/>
        </w:tabs>
        <w:spacing w:after="0" w:line="240" w:lineRule="auto"/>
        <w:ind w:left="360" w:right="-943"/>
        <w:jc w:val="both"/>
        <w:rPr>
          <w:rFonts w:ascii="Arial" w:eastAsia="Times New Roman" w:hAnsi="Arial" w:cs="Arial"/>
          <w:b/>
          <w:snapToGrid w:val="0"/>
          <w:lang w:val="es-ES" w:eastAsia="es-ES"/>
        </w:rPr>
      </w:pPr>
    </w:p>
    <w:p w14:paraId="6018D3CC" w14:textId="77777777" w:rsidR="00616EC1" w:rsidRPr="0050739B" w:rsidRDefault="00616EC1" w:rsidP="00616EC1">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33821A71" w14:textId="77777777" w:rsidR="00616EC1" w:rsidRPr="0050739B" w:rsidRDefault="00616EC1" w:rsidP="00616EC1">
      <w:pPr>
        <w:tabs>
          <w:tab w:val="left" w:pos="1918"/>
        </w:tabs>
        <w:spacing w:after="0" w:line="240" w:lineRule="auto"/>
        <w:ind w:right="-943"/>
        <w:jc w:val="both"/>
        <w:rPr>
          <w:rFonts w:ascii="Arial" w:eastAsia="Times New Roman" w:hAnsi="Arial" w:cs="Arial"/>
          <w:b/>
          <w:snapToGrid w:val="0"/>
          <w:lang w:val="es-ES" w:eastAsia="es-ES"/>
        </w:rPr>
      </w:pPr>
    </w:p>
    <w:p w14:paraId="213D3905" w14:textId="77777777" w:rsidR="00616EC1" w:rsidRPr="0050739B" w:rsidRDefault="00616EC1" w:rsidP="00616EC1">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44C131BC" w14:textId="77777777" w:rsidR="00616EC1" w:rsidRPr="0050739B" w:rsidRDefault="00616EC1" w:rsidP="00616EC1">
      <w:pPr>
        <w:pStyle w:val="Prrafodelista"/>
        <w:tabs>
          <w:tab w:val="left" w:pos="1918"/>
        </w:tabs>
        <w:ind w:right="-943"/>
        <w:rPr>
          <w:rFonts w:ascii="Arial" w:hAnsi="Arial" w:cs="Arial"/>
          <w:b/>
          <w:lang w:val="es-ES"/>
        </w:rPr>
      </w:pPr>
    </w:p>
    <w:p w14:paraId="429DC69F" w14:textId="77777777" w:rsidR="00616EC1" w:rsidRPr="0050739B" w:rsidRDefault="00616EC1" w:rsidP="00616EC1">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39D9ACFC" w14:textId="77777777" w:rsidR="00616EC1" w:rsidRPr="0050739B" w:rsidRDefault="00616EC1" w:rsidP="00616EC1">
      <w:pPr>
        <w:tabs>
          <w:tab w:val="left" w:pos="1918"/>
        </w:tabs>
        <w:spacing w:after="0" w:line="240" w:lineRule="auto"/>
        <w:ind w:right="-943"/>
        <w:jc w:val="center"/>
        <w:rPr>
          <w:rFonts w:ascii="Arial" w:eastAsia="Times New Roman" w:hAnsi="Arial" w:cs="Arial"/>
          <w:b/>
          <w:snapToGrid w:val="0"/>
          <w:u w:val="single"/>
          <w:lang w:val="es-ES" w:eastAsia="es-ES"/>
        </w:rPr>
      </w:pPr>
    </w:p>
    <w:p w14:paraId="6ECE169C" w14:textId="77777777" w:rsidR="00616EC1" w:rsidRPr="0050739B" w:rsidRDefault="00616EC1" w:rsidP="00616EC1">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7346616B" w14:textId="77777777" w:rsidR="00616EC1" w:rsidRPr="0050739B" w:rsidRDefault="00616EC1" w:rsidP="00616EC1">
      <w:pPr>
        <w:tabs>
          <w:tab w:val="left" w:pos="1918"/>
        </w:tabs>
        <w:spacing w:after="0" w:line="240" w:lineRule="auto"/>
        <w:ind w:right="-943"/>
        <w:jc w:val="both"/>
        <w:rPr>
          <w:rFonts w:ascii="Arial" w:eastAsia="Times New Roman" w:hAnsi="Arial" w:cs="Arial"/>
          <w:b/>
          <w:snapToGrid w:val="0"/>
          <w:lang w:val="es-ES" w:eastAsia="es-ES"/>
        </w:rPr>
      </w:pPr>
    </w:p>
    <w:p w14:paraId="6E1444B9" w14:textId="77777777" w:rsidR="00616EC1" w:rsidRPr="0050739B" w:rsidRDefault="00616EC1" w:rsidP="00616EC1">
      <w:pPr>
        <w:numPr>
          <w:ilvl w:val="0"/>
          <w:numId w:val="2"/>
        </w:numPr>
        <w:tabs>
          <w:tab w:val="left" w:pos="1918"/>
        </w:tabs>
        <w:spacing w:after="0" w:line="240" w:lineRule="auto"/>
        <w:ind w:right="-943"/>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JD-010/2024 del 16 de enero del 2024, la cual fue ratificada. </w:t>
      </w:r>
    </w:p>
    <w:p w14:paraId="1A9D5AFB" w14:textId="77777777" w:rsidR="00616EC1" w:rsidRPr="0050739B" w:rsidRDefault="00616EC1" w:rsidP="00616EC1">
      <w:pPr>
        <w:tabs>
          <w:tab w:val="left" w:pos="1918"/>
        </w:tabs>
        <w:autoSpaceDE w:val="0"/>
        <w:autoSpaceDN w:val="0"/>
        <w:adjustRightInd w:val="0"/>
        <w:spacing w:after="0"/>
        <w:ind w:right="-943"/>
        <w:jc w:val="both"/>
        <w:rPr>
          <w:rFonts w:ascii="Arial" w:hAnsi="Arial" w:cs="Arial"/>
          <w:b/>
          <w:bCs/>
          <w:lang w:val="es-MX"/>
        </w:rPr>
      </w:pPr>
    </w:p>
    <w:p w14:paraId="21B806B5" w14:textId="77777777" w:rsidR="00616EC1" w:rsidRPr="0050739B" w:rsidRDefault="00616EC1" w:rsidP="00616EC1">
      <w:pPr>
        <w:pStyle w:val="Prrafodelista"/>
        <w:tabs>
          <w:tab w:val="left" w:pos="1918"/>
        </w:tabs>
        <w:ind w:left="0"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 xml:space="preserve">El </w:t>
      </w:r>
      <w:proofErr w:type="gramStart"/>
      <w:r w:rsidRPr="0050739B">
        <w:rPr>
          <w:rFonts w:ascii="Arial" w:hAnsi="Arial" w:cs="Arial"/>
        </w:rPr>
        <w:t>Presidente</w:t>
      </w:r>
      <w:proofErr w:type="gramEnd"/>
      <w:r w:rsidRPr="0050739B">
        <w:rPr>
          <w:rFonts w:ascii="Arial" w:hAnsi="Arial" w:cs="Arial"/>
        </w:rPr>
        <w:t xml:space="preserve"> y Director Ejecutivo sometió a consideración de Junta Directiva</w:t>
      </w:r>
      <w:r w:rsidRPr="0050739B">
        <w:rPr>
          <w:rFonts w:ascii="Arial" w:eastAsia="Arial" w:hAnsi="Arial" w:cs="Arial"/>
        </w:rPr>
        <w:t xml:space="preserve">, 24 solicitudes de crédito por un monto de $545,362.80, </w:t>
      </w:r>
      <w:r w:rsidRPr="0050739B">
        <w:rPr>
          <w:rFonts w:ascii="Arial" w:hAnsi="Arial" w:cs="Arial"/>
        </w:rPr>
        <w:t xml:space="preserve">según consta en el Acta N°011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E61816" w14:textId="77777777" w:rsidR="00616EC1" w:rsidRPr="0050739B" w:rsidRDefault="00616EC1" w:rsidP="00616EC1">
      <w:pPr>
        <w:pStyle w:val="Prrafodelista"/>
        <w:tabs>
          <w:tab w:val="left" w:pos="1918"/>
        </w:tabs>
        <w:ind w:left="0" w:right="-943"/>
        <w:jc w:val="both"/>
        <w:rPr>
          <w:rFonts w:ascii="Arial" w:hAnsi="Arial" w:cs="Arial"/>
        </w:rPr>
      </w:pPr>
    </w:p>
    <w:p w14:paraId="3536BEA9" w14:textId="77777777" w:rsidR="00616EC1" w:rsidRPr="0050739B" w:rsidRDefault="00616EC1" w:rsidP="00616EC1">
      <w:pPr>
        <w:tabs>
          <w:tab w:val="left" w:pos="1918"/>
        </w:tabs>
        <w:spacing w:after="0"/>
        <w:ind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103D3BDB" w14:textId="77777777" w:rsidR="00616EC1" w:rsidRPr="0050739B" w:rsidRDefault="00616EC1" w:rsidP="00616EC1">
      <w:pPr>
        <w:tabs>
          <w:tab w:val="left" w:pos="1918"/>
          <w:tab w:val="left" w:pos="2880"/>
        </w:tabs>
        <w:spacing w:after="0" w:line="240" w:lineRule="auto"/>
        <w:ind w:right="-943"/>
        <w:jc w:val="both"/>
        <w:rPr>
          <w:rFonts w:ascii="Arial" w:eastAsia="Arial" w:hAnsi="Arial" w:cs="Arial"/>
          <w:b/>
          <w:lang w:val="es-ES_tradnl" w:eastAsia="es-ES"/>
        </w:rPr>
      </w:pPr>
    </w:p>
    <w:p w14:paraId="182DE799" w14:textId="77777777" w:rsidR="00616EC1" w:rsidRPr="0050739B" w:rsidRDefault="00616EC1" w:rsidP="00616EC1">
      <w:pPr>
        <w:tabs>
          <w:tab w:val="left" w:pos="1918"/>
          <w:tab w:val="left" w:pos="2880"/>
        </w:tabs>
        <w:spacing w:after="0" w:line="240" w:lineRule="auto"/>
        <w:ind w:right="-943"/>
        <w:jc w:val="both"/>
        <w:rPr>
          <w:rFonts w:ascii="Arial" w:eastAsia="Arial" w:hAnsi="Arial" w:cs="Arial"/>
          <w:b/>
          <w:lang w:val="es-ES_tradnl" w:eastAsia="es-ES"/>
        </w:rPr>
      </w:pPr>
    </w:p>
    <w:p w14:paraId="341AA469" w14:textId="77777777" w:rsidR="00616EC1" w:rsidRPr="0050739B" w:rsidRDefault="00616EC1" w:rsidP="00616EC1">
      <w:pPr>
        <w:tabs>
          <w:tab w:val="left" w:pos="1918"/>
          <w:tab w:val="left" w:pos="2880"/>
        </w:tabs>
        <w:spacing w:after="0" w:line="240" w:lineRule="auto"/>
        <w:ind w:right="-943"/>
        <w:jc w:val="both"/>
        <w:rPr>
          <w:rFonts w:ascii="Arial" w:eastAsia="Arial" w:hAnsi="Arial" w:cs="Arial"/>
          <w:b/>
          <w:lang w:val="es-ES_tradnl" w:eastAsia="es-ES"/>
        </w:rPr>
      </w:pPr>
    </w:p>
    <w:p w14:paraId="7D222316" w14:textId="77777777" w:rsidR="00616EC1" w:rsidRPr="0050739B" w:rsidRDefault="00616EC1" w:rsidP="00616EC1">
      <w:pPr>
        <w:tabs>
          <w:tab w:val="left" w:pos="1918"/>
          <w:tab w:val="left" w:pos="2880"/>
        </w:tabs>
        <w:spacing w:after="0" w:line="240" w:lineRule="auto"/>
        <w:ind w:right="-943"/>
        <w:jc w:val="both"/>
        <w:rPr>
          <w:rFonts w:ascii="Arial" w:eastAsia="Arial" w:hAnsi="Arial" w:cs="Arial"/>
          <w:b/>
          <w:lang w:val="es-ES_tradnl" w:eastAsia="es-ES"/>
        </w:rPr>
      </w:pPr>
    </w:p>
    <w:p w14:paraId="6654515C" w14:textId="62CD4F72" w:rsidR="00616EC1" w:rsidRPr="00EA26A5" w:rsidRDefault="00EA26A5" w:rsidP="00EA26A5">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616EC1" w:rsidRPr="00EA26A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6A31" w14:textId="77777777" w:rsidR="00EA26A5" w:rsidRDefault="00EA26A5" w:rsidP="00EA26A5">
      <w:pPr>
        <w:spacing w:after="0" w:line="240" w:lineRule="auto"/>
      </w:pPr>
      <w:r>
        <w:separator/>
      </w:r>
    </w:p>
  </w:endnote>
  <w:endnote w:type="continuationSeparator" w:id="0">
    <w:p w14:paraId="1F16E0F3" w14:textId="77777777" w:rsidR="00EA26A5" w:rsidRDefault="00EA26A5" w:rsidP="00EA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0078" w14:textId="77777777" w:rsidR="00EA26A5" w:rsidRDefault="00EA26A5" w:rsidP="00EA26A5">
      <w:pPr>
        <w:spacing w:after="0" w:line="240" w:lineRule="auto"/>
      </w:pPr>
      <w:r>
        <w:separator/>
      </w:r>
    </w:p>
  </w:footnote>
  <w:footnote w:type="continuationSeparator" w:id="0">
    <w:p w14:paraId="0B28893E" w14:textId="77777777" w:rsidR="00EA26A5" w:rsidRDefault="00EA26A5" w:rsidP="00EA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C777" w14:textId="77777777" w:rsidR="00EA26A5" w:rsidRPr="000843BF" w:rsidRDefault="00EA26A5" w:rsidP="00EA26A5">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5410FF3" w14:textId="77777777" w:rsidR="00EA26A5" w:rsidRPr="00526F25" w:rsidRDefault="00EA26A5" w:rsidP="00EA26A5">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C1F6690" w14:textId="77777777" w:rsidR="00EA26A5" w:rsidRDefault="00EA26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631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1ED75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70622043">
    <w:abstractNumId w:val="1"/>
  </w:num>
  <w:num w:numId="2" w16cid:durableId="58179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C1"/>
    <w:rsid w:val="00616EC1"/>
    <w:rsid w:val="00EA26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F121"/>
  <w15:chartTrackingRefBased/>
  <w15:docId w15:val="{3F1CEFE1-BC71-4F10-AE58-59FD40C7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C1"/>
    <w:pPr>
      <w:spacing w:line="259" w:lineRule="auto"/>
    </w:pPr>
    <w:rPr>
      <w:kern w:val="0"/>
      <w:sz w:val="22"/>
      <w:szCs w:val="22"/>
      <w14:ligatures w14:val="none"/>
    </w:rPr>
  </w:style>
  <w:style w:type="paragraph" w:styleId="Ttulo1">
    <w:name w:val="heading 1"/>
    <w:basedOn w:val="Normal"/>
    <w:next w:val="Normal"/>
    <w:link w:val="Ttulo1Car"/>
    <w:uiPriority w:val="9"/>
    <w:qFormat/>
    <w:rsid w:val="00616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6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6E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6E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6E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6E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6E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6E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6E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6E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6E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6E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6E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6E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6E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6E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6E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6EC1"/>
    <w:rPr>
      <w:rFonts w:eastAsiaTheme="majorEastAsia" w:cstheme="majorBidi"/>
      <w:color w:val="272727" w:themeColor="text1" w:themeTint="D8"/>
    </w:rPr>
  </w:style>
  <w:style w:type="paragraph" w:styleId="Ttulo">
    <w:name w:val="Title"/>
    <w:basedOn w:val="Normal"/>
    <w:next w:val="Normal"/>
    <w:link w:val="TtuloCar"/>
    <w:uiPriority w:val="10"/>
    <w:qFormat/>
    <w:rsid w:val="00616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6E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6E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6E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6EC1"/>
    <w:pPr>
      <w:spacing w:before="160"/>
      <w:jc w:val="center"/>
    </w:pPr>
    <w:rPr>
      <w:i/>
      <w:iCs/>
      <w:color w:val="404040" w:themeColor="text1" w:themeTint="BF"/>
    </w:rPr>
  </w:style>
  <w:style w:type="character" w:customStyle="1" w:styleId="CitaCar">
    <w:name w:val="Cita Car"/>
    <w:basedOn w:val="Fuentedeprrafopredeter"/>
    <w:link w:val="Cita"/>
    <w:uiPriority w:val="29"/>
    <w:rsid w:val="00616EC1"/>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16EC1"/>
    <w:pPr>
      <w:ind w:left="720"/>
      <w:contextualSpacing/>
    </w:pPr>
  </w:style>
  <w:style w:type="character" w:styleId="nfasisintenso">
    <w:name w:val="Intense Emphasis"/>
    <w:basedOn w:val="Fuentedeprrafopredeter"/>
    <w:uiPriority w:val="21"/>
    <w:qFormat/>
    <w:rsid w:val="00616EC1"/>
    <w:rPr>
      <w:i/>
      <w:iCs/>
      <w:color w:val="0F4761" w:themeColor="accent1" w:themeShade="BF"/>
    </w:rPr>
  </w:style>
  <w:style w:type="paragraph" w:styleId="Citadestacada">
    <w:name w:val="Intense Quote"/>
    <w:basedOn w:val="Normal"/>
    <w:next w:val="Normal"/>
    <w:link w:val="CitadestacadaCar"/>
    <w:uiPriority w:val="30"/>
    <w:qFormat/>
    <w:rsid w:val="00616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6EC1"/>
    <w:rPr>
      <w:i/>
      <w:iCs/>
      <w:color w:val="0F4761" w:themeColor="accent1" w:themeShade="BF"/>
    </w:rPr>
  </w:style>
  <w:style w:type="character" w:styleId="Referenciaintensa">
    <w:name w:val="Intense Reference"/>
    <w:basedOn w:val="Fuentedeprrafopredeter"/>
    <w:uiPriority w:val="32"/>
    <w:qFormat/>
    <w:rsid w:val="00616EC1"/>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A26A5"/>
    <w:rPr>
      <w:kern w:val="0"/>
      <w:sz w:val="22"/>
      <w:szCs w:val="22"/>
      <w14:ligatures w14:val="none"/>
    </w:rPr>
  </w:style>
  <w:style w:type="paragraph" w:styleId="Encabezado">
    <w:name w:val="header"/>
    <w:basedOn w:val="Normal"/>
    <w:link w:val="EncabezadoCar"/>
    <w:uiPriority w:val="99"/>
    <w:unhideWhenUsed/>
    <w:rsid w:val="00EA26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26A5"/>
    <w:rPr>
      <w:kern w:val="0"/>
      <w:sz w:val="22"/>
      <w:szCs w:val="22"/>
      <w14:ligatures w14:val="none"/>
    </w:rPr>
  </w:style>
  <w:style w:type="paragraph" w:styleId="Piedepgina">
    <w:name w:val="footer"/>
    <w:basedOn w:val="Normal"/>
    <w:link w:val="PiedepginaCar"/>
    <w:uiPriority w:val="99"/>
    <w:unhideWhenUsed/>
    <w:rsid w:val="00EA26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26A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2024-02-20T21:32:00Z</dcterms:created>
  <dcterms:modified xsi:type="dcterms:W3CDTF">2024-02-20T21:48:00Z</dcterms:modified>
</cp:coreProperties>
</file>