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3F2983E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C52A8">
        <w:rPr>
          <w:rFonts w:ascii="Museo Sans 100" w:eastAsia="Times New Roman" w:hAnsi="Museo Sans 100" w:cs="Calibri Light"/>
          <w:bCs/>
          <w:sz w:val="20"/>
        </w:rPr>
        <w:t>diciembre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864"/>
        <w:gridCol w:w="1307"/>
        <w:gridCol w:w="1320"/>
        <w:gridCol w:w="864"/>
        <w:gridCol w:w="1309"/>
        <w:gridCol w:w="795"/>
        <w:gridCol w:w="1219"/>
        <w:gridCol w:w="680"/>
        <w:gridCol w:w="680"/>
        <w:gridCol w:w="146"/>
      </w:tblGrid>
      <w:tr w:rsidR="00E9450A" w:rsidRPr="00FE35D2" w14:paraId="6A855BDC" w14:textId="77777777" w:rsidTr="00FC52A8">
        <w:trPr>
          <w:gridAfter w:val="1"/>
          <w:wAfter w:w="70" w:type="pct"/>
          <w:trHeight w:val="509"/>
        </w:trPr>
        <w:tc>
          <w:tcPr>
            <w:tcW w:w="609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1EF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38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837ADD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31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2B14ECE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CD0D4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26A700A" w14:textId="2F7B3856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  <w:r w:rsidR="001E304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1E3045" w:rsidRPr="001E3045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85907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E9450A" w:rsidRPr="00FE35D2" w14:paraId="22B6B4BF" w14:textId="77777777" w:rsidTr="00FC52A8">
        <w:trPr>
          <w:trHeight w:val="295"/>
        </w:trPr>
        <w:tc>
          <w:tcPr>
            <w:tcW w:w="609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921FA9D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38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7981D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1BFB142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2000D5E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70D8133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50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C226841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0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E9450A" w:rsidRPr="00FE35D2" w14:paraId="7728EE3A" w14:textId="77777777" w:rsidTr="00FC52A8">
        <w:trPr>
          <w:trHeight w:val="454"/>
        </w:trPr>
        <w:tc>
          <w:tcPr>
            <w:tcW w:w="609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640C134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D40BC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77D5E4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97B1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9909D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BE59C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BBE90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DE701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23D6DB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9A6E79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230E503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1D8A619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481E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C729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8B6B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A5BBE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263B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9D79BF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8845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E99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85E16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2453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1A92191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1A2BA5D1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68EF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C2EE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C39C7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9980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D15F1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3ABB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442A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1F47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0F21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90AC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23B03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5829D3A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84FE1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15B1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51A9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DFC8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1B90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EA1E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E4D7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3D93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58B8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B5C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7CAD758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87ABA66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D684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997E7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95D6C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5D5C9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B523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D1D5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FC299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D35C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96E06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2C299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6A451D1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EFBF9F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4DC53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942A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8B1B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0662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F0D74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8069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6EA73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10B0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531D4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97A5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4EC5739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8241AEF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96FB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24879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67B41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7416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DC9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6D067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9EDC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27DF45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137F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809800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F82633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DE43AE7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29E4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3FD7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0D1D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BF43C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39904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57846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7F3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7AF46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FDE21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3D65B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18D899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4E2E8E7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B4699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448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C0B94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8F939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1D91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5C4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10F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9E5C5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490E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A8A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275A0E4A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4B279F4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0DAC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99C8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B3348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F265D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B058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B4F42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C3FA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61D3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74F8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B31B0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2621AB3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F608FA9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FD741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5B3FF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B0D33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A30C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2303C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53F5F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10631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B753E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1BD01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0ADB2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7085FDA5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47BB7CA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743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414A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C948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EEF7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8D25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D279C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9680E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DC5EA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274D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5D83A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338C8CB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3E854B3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468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F6EF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41963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2D91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3C782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0DADD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63827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9163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A5F5C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D2213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5C52147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EAB5C9E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0642B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39A7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DD43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66304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69FA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6D8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0F22E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BA4CB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1CB6D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9EDA6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D2C7C5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011CFBF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CDDA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A0621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DF70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E829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7EF8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D4BD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2DB7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B9F05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4730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15A26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62039FA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0CC1D8E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5B9D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BD57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DF59A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07E216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D40A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A24A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1E5B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BA29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C9BFF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D75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038AD9A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8038688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6942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F2FA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07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4AE7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A75E3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0D774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A79A4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D5B7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DAAA2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BF9A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599BC5E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18DF6F3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A4CECE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29C1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E676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6F5B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4D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3EF6C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8CC6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B9D9C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5992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930C3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ED1CC0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E8E95D6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4795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31E0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8F6D5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062A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1830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03DB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A70D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67C7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57294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D746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05A5A3E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3C82D70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170B4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19A40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B566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356E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EDA3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B7E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F847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DB419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09D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68F19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0308CDB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F0C63DC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83DA4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90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3329B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D50E6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95E2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9F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A39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3DBE7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C01A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D66F3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7B7628E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63FA1F27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5FDA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4C14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AAAA3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3DD9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C086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88A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227A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C7FC8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E30D4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25D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1710362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E23ECFD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8A02B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727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BDC176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7BE9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C32ED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E98C0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ADEE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95AFB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8415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4B8E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64939E1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AB75364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474E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0AFE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B930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A4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CDC3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D378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C65B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C069F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AEC3D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BF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5A51F8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254FFE3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06E98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39B23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76421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D163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E185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BEEAF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49A5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4C00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CCE5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E89A80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20058A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82736E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E99A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B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F5B2B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ACA0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4A79B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F685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71EA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531950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2E9E0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71821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4299208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52A8" w:rsidRPr="00FE35D2" w14:paraId="2AD32E0D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92EAE6" w14:textId="77777777" w:rsidR="00FC52A8" w:rsidRPr="00FE35D2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94A4C46" w14:textId="6C0A90C6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5D07A6" w14:textId="5CC17809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FB4C91" w14:textId="3DAF32CF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B50150" w14:textId="0FA7EC4B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01B19" w14:textId="59FEF653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1C8166" w14:textId="24643D2B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CEE82" w14:textId="64532C4C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76E3DE" w14:textId="0F41E5BE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0920A" w14:textId="1239BFDD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6BBF7407" w14:textId="77777777" w:rsidR="00FC52A8" w:rsidRPr="00FE35D2" w:rsidRDefault="00FC52A8" w:rsidP="00FC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52A8" w:rsidRPr="00FE35D2" w14:paraId="1F11D00D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65CB" w14:textId="77777777" w:rsidR="00FC52A8" w:rsidRPr="00FE35D2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3FD1A4" w14:textId="3BAA5D71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337,428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5A89ED" w14:textId="6202F62C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$3,301,232.4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6A118F" w14:textId="04EA8130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1,610,290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3040DE" w14:textId="1F7BD841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149,365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3534AE" w14:textId="17FC4EA6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$1,649,728.1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6132BB3E" w14:textId="562F2F1A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72463707" w14:textId="6B2ED3DB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0AB9EAE7" w14:textId="7E826979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754E00" w14:textId="6C153CF7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443E24AD" w14:textId="77777777" w:rsidR="00FC52A8" w:rsidRPr="00FE35D2" w:rsidRDefault="00FC52A8" w:rsidP="00FC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p w14:paraId="7CBCDEA5" w14:textId="74B64F82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8C56A27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FC52A8">
        <w:rPr>
          <w:rFonts w:ascii="Museo Sans 100" w:eastAsia="Times New Roman" w:hAnsi="Museo Sans 100" w:cs="Calibri Light"/>
          <w:bCs/>
          <w:sz w:val="20"/>
        </w:rPr>
        <w:t>diciembre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168"/>
        <w:gridCol w:w="1018"/>
        <w:gridCol w:w="1021"/>
        <w:gridCol w:w="1021"/>
        <w:gridCol w:w="920"/>
        <w:gridCol w:w="922"/>
        <w:gridCol w:w="874"/>
        <w:gridCol w:w="671"/>
        <w:gridCol w:w="948"/>
        <w:gridCol w:w="1021"/>
      </w:tblGrid>
      <w:tr w:rsidR="00305C71" w:rsidRPr="00305C71" w14:paraId="12BCCE63" w14:textId="77777777" w:rsidTr="00FC52A8">
        <w:trPr>
          <w:trHeight w:val="459"/>
        </w:trPr>
        <w:tc>
          <w:tcPr>
            <w:tcW w:w="417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E412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534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FB6B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balance</w:t>
            </w:r>
          </w:p>
        </w:tc>
        <w:tc>
          <w:tcPr>
            <w:tcW w:w="1368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0CE1A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Estado de resultados</w:t>
            </w:r>
          </w:p>
        </w:tc>
        <w:tc>
          <w:tcPr>
            <w:tcW w:w="418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0DD569F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Colocación títulos valores</w:t>
            </w:r>
          </w:p>
        </w:tc>
        <w:tc>
          <w:tcPr>
            <w:tcW w:w="774" w:type="pct"/>
            <w:gridSpan w:val="2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4F4F64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Devolución cotizaciones</w:t>
            </w:r>
          </w:p>
        </w:tc>
        <w:tc>
          <w:tcPr>
            <w:tcW w:w="488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3D523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depósitos cotizaciones</w:t>
            </w:r>
          </w:p>
        </w:tc>
      </w:tr>
      <w:tr w:rsidR="00305C71" w:rsidRPr="00305C71" w14:paraId="2C4095BB" w14:textId="77777777" w:rsidTr="00FC52A8">
        <w:trPr>
          <w:trHeight w:val="459"/>
        </w:trPr>
        <w:tc>
          <w:tcPr>
            <w:tcW w:w="417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04671DF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98B63E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Activo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84A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Pasivo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39572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Patrimonio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75DA5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Ingresos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EAB97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Gasto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7E3D047" w14:textId="7BF9DDA2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Resultado del ejercicio</w:t>
            </w:r>
          </w:p>
        </w:tc>
        <w:tc>
          <w:tcPr>
            <w:tcW w:w="418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9BA0BC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61F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Número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5F783C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Miles de US$</w:t>
            </w:r>
          </w:p>
        </w:tc>
        <w:tc>
          <w:tcPr>
            <w:tcW w:w="488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3883AB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9F2B27" w:rsidRPr="00305C71" w14:paraId="7F06E8AC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BD035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35393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E066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CD96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0E35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15B6D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1554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5BEF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D84D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DCF35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FE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9F2B27" w:rsidRPr="00305C71" w14:paraId="0F956290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912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D6A1C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09A2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9E1E2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8F7F8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F4709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90A8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9467A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599D5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F57E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09808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9F2B27" w:rsidRPr="00305C71" w14:paraId="522187E3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F2F0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0BBA3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F2B0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73DCD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C003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D03AC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6BE27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DC114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908C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C7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C7FC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9F2B27" w:rsidRPr="00305C71" w14:paraId="431DC461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6E4E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678E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D7E9A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2B1E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F2BF0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B61EF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CDBF1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9CB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6718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261C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2568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9F2B27" w:rsidRPr="00305C71" w14:paraId="04A1D8BB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03A8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6E0D6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058D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1CBE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D51D0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C87A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04E7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3B4F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6649A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8A7CC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E198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9F2B27" w:rsidRPr="00305C71" w14:paraId="5919F280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0441D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5DDE7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2D736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AFD7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A22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6022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2105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18C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ADC336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ADFF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299A8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9F2B27" w:rsidRPr="00305C71" w14:paraId="62108FCA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7900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264C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0B6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B406D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735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532A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8AC0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159F8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969F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A11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0C11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9F2B27" w:rsidRPr="00305C71" w14:paraId="26B1B342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931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95D0B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7499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2822D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6CE40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8825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249FE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B17962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2E8D8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9C18BC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1D28C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9F2B27" w:rsidRPr="00305C71" w14:paraId="57BC3C72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36AC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321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ADF3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6389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9A9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7D4B5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531E7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DC4498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46279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8F0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46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9F2B27" w:rsidRPr="00305C71" w14:paraId="51A08184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7B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5C99B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58137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FC0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B5192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925F3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5C3C8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8A64E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4CC5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4D67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7FB0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9F2B27" w:rsidRPr="00305C71" w14:paraId="5DCC27AF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9594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E5E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6372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21472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B36C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BA45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ED85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380F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ACB8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1359C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D09A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9F2B27" w:rsidRPr="00305C71" w14:paraId="5F4C4CF7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1B5BA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8A0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5A4E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70D3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968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E1C9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2FC42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8039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074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1705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98E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9F2B27" w:rsidRPr="00305C71" w14:paraId="136870DB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318DB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16E4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90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A4F1F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E49B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21070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16712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FEC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2614A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9834C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25EF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9F2B27" w:rsidRPr="00305C71" w14:paraId="73663B76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BE2D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D4B9A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5E2FD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25174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B0C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2BF6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49304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29B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2FB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DDCE5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54216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9F2B27" w:rsidRPr="00305C71" w14:paraId="7DBBD928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040D9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8A06B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3152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475F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1D54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3C5B9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3B8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82A57F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7D0F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BAE0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4A055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9F2B27" w:rsidRPr="00305C71" w14:paraId="098EE494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86CB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4212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D855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48B8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DC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613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06251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C949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10481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E0E0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1563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9F2B27" w:rsidRPr="00305C71" w14:paraId="7DE2C6BC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E3B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5C9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683D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1EB1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8B99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595001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320AF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DB62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6447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1FB69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AC45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9F2B27" w:rsidRPr="00305C71" w14:paraId="74F9F9E7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EF1C8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260ED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13C6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A8E9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08327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848A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6D240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F1DA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46C5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124E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5B8B4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9F2B27" w:rsidRPr="00305C71" w14:paraId="34F62325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F503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8439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9A5CE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8EF31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52AB3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8056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73B8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6B82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7C872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5AEAB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EC5E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9F2B27" w:rsidRPr="00305C71" w14:paraId="5F9191A3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1AF1D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FF46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37E01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9CCB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3575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F926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484D2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C3D26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6B13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CF798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76687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9F2B27" w:rsidRPr="00305C71" w14:paraId="21BE76E3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D0B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F3C6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1E522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429E6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C38F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F5340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7D504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280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B030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514B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C403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9F2B27" w:rsidRPr="00305C71" w14:paraId="6E7023D9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E3AFD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DEA3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32524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8AD7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78C5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2F2E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21323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909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06FF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72FFE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D0B9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9F2B27" w:rsidRPr="00305C71" w14:paraId="0AE2A4D9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1C1B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52AF6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1FDC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5A41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8674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2B20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8D8CD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6185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43A9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AC774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DC34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9F2B27" w:rsidRPr="00305C71" w14:paraId="2FF0F082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DABC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97B5F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16991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FB86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5689F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4F7B5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E0D0B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741D3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09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E2AA7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25EF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9F2B27" w:rsidRPr="00305C71" w14:paraId="24E7F38D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4784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B1AFE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$1,014,224.5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6B545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$417,159.5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289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$597,065.0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B0D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$130,742.9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A68A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$90,665.9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1BEC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$40,077.0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B5367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BE9A2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19,578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2D30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$9,195.4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780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$169,162.9</w:t>
            </w:r>
          </w:p>
        </w:tc>
      </w:tr>
      <w:tr w:rsidR="00FC52A8" w:rsidRPr="00305C71" w14:paraId="25E9B828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771B9F" w14:textId="77777777" w:rsidR="00FC52A8" w:rsidRPr="00305C71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6B93D5" w14:textId="56299159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$1,058,695.6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13099B" w14:textId="5E6EFB3F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$410,139.7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642DC4" w14:textId="1DD1A22A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$648,555.8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3C8EDC" w14:textId="4F0F54CE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$138,795.0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15733" w14:textId="0785291A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$85,688.4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BB3218" w14:textId="337D0536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$53,106.6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7D9224" w14:textId="002F0D24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5C5D99" w14:textId="3333F8C1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23,807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7F8D5A" w14:textId="44EC5D8C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$11,490.9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5E7635" w14:textId="7DF0E4A5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$156,351.1</w:t>
            </w:r>
          </w:p>
        </w:tc>
      </w:tr>
      <w:tr w:rsidR="00FC52A8" w:rsidRPr="00305C71" w14:paraId="799D99AD" w14:textId="77777777" w:rsidTr="00FC52A8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4A9566" w14:textId="77777777" w:rsidR="00FC52A8" w:rsidRPr="00305C71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2522CBD" w14:textId="36985668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58B41D3" w14:textId="0D37A1EF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A691C76" w14:textId="2A4C129C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6D75A86A" w14:textId="4372BAC5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5CAEAA2" w14:textId="2373F813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983A11" w14:textId="3300C8F2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F889A0" w14:textId="64CC165D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$595,040.8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C484BB" w14:textId="2A6D1D10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359,193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24F053" w14:textId="31E27A14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$204,099.0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245354" w14:textId="0B1EFAA8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95"/>
      </w:tblGrid>
      <w:tr w:rsidR="00D57B0B" w:rsidRPr="00FE35D2" w14:paraId="024180CB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62205B4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D57B0B" w:rsidRPr="00FE35D2" w14:paraId="008967EC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5F69A47" w14:textId="437F949E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FC52A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diciembre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2023</w:t>
            </w:r>
          </w:p>
        </w:tc>
      </w:tr>
      <w:tr w:rsidR="00D57B0B" w:rsidRPr="00FE35D2" w14:paraId="5223AAA1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2646FD9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73538F" w:rsidRPr="00FE35D2" w14:paraId="3DA3AF2E" w14:textId="77777777" w:rsidTr="0073538F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55BCD1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396350" w14:textId="224212FF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337,428</w:t>
            </w:r>
          </w:p>
        </w:tc>
      </w:tr>
      <w:tr w:rsidR="0073538F" w:rsidRPr="00FE35D2" w14:paraId="446945FA" w14:textId="77777777" w:rsidTr="0073538F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B845D9D" w14:textId="77777777" w:rsidR="0073538F" w:rsidRPr="00FE35D2" w:rsidRDefault="0073538F" w:rsidP="0073538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082B13" w14:textId="29B228F6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$3,301,232.4</w:t>
            </w:r>
          </w:p>
        </w:tc>
      </w:tr>
      <w:tr w:rsidR="0073538F" w:rsidRPr="00FE35D2" w14:paraId="35E5147A" w14:textId="77777777" w:rsidTr="0073538F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5AE6C01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721038" w14:textId="7A02628F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337,428</w:t>
            </w:r>
          </w:p>
        </w:tc>
      </w:tr>
      <w:tr w:rsidR="0073538F" w:rsidRPr="00FE35D2" w14:paraId="50828B8D" w14:textId="77777777" w:rsidTr="0073538F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04F67E2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512197" w14:textId="404104FC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1,610,290</w:t>
            </w:r>
          </w:p>
        </w:tc>
      </w:tr>
      <w:tr w:rsidR="0073538F" w:rsidRPr="00FE35D2" w14:paraId="3FF1A7CF" w14:textId="77777777" w:rsidTr="0073538F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B307711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D548EA8" w14:textId="6B829A87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149,365</w:t>
            </w:r>
          </w:p>
        </w:tc>
      </w:tr>
      <w:tr w:rsidR="0073538F" w:rsidRPr="00FE35D2" w14:paraId="79C6418E" w14:textId="77777777" w:rsidTr="0073538F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4BF95CE" w14:textId="77777777" w:rsidR="0073538F" w:rsidRPr="00FE35D2" w:rsidRDefault="0073538F" w:rsidP="0073538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E2BF00" w14:textId="1D111F2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$1,649,728.1</w:t>
            </w:r>
          </w:p>
        </w:tc>
      </w:tr>
      <w:tr w:rsidR="0073538F" w:rsidRPr="00FE35D2" w14:paraId="1F940072" w14:textId="77777777" w:rsidTr="0073538F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CDEDA1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8221BDF" w14:textId="23A52E12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359,193</w:t>
            </w:r>
          </w:p>
        </w:tc>
      </w:tr>
      <w:tr w:rsidR="0073538F" w:rsidRPr="00FE35D2" w14:paraId="620CCA57" w14:textId="77777777" w:rsidTr="0073538F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BE1E55E" w14:textId="77777777" w:rsidR="0073538F" w:rsidRPr="00FE35D2" w:rsidRDefault="0073538F" w:rsidP="0073538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28F35A" w14:textId="7F7B3D0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$204,099.0</w:t>
            </w:r>
          </w:p>
        </w:tc>
      </w:tr>
      <w:tr w:rsidR="0073538F" w:rsidRPr="00FE35D2" w14:paraId="01F41A6D" w14:textId="77777777" w:rsidTr="0073538F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BB552F" w14:textId="7F55A5DA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="00ED45F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FE35D2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BF9CED" w14:textId="42AE92DF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93,780</w:t>
            </w:r>
          </w:p>
        </w:tc>
      </w:tr>
      <w:tr w:rsidR="0073538F" w:rsidRPr="00FE35D2" w14:paraId="3C605AC8" w14:textId="77777777" w:rsidTr="0073538F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CA6717C" w14:textId="77777777" w:rsidR="0073538F" w:rsidRPr="00FE35D2" w:rsidRDefault="0073538F" w:rsidP="0073538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5C6A21" w14:textId="02AA017C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$1,202,158.4</w:t>
            </w:r>
          </w:p>
        </w:tc>
      </w:tr>
      <w:tr w:rsidR="00D57B0B" w:rsidRPr="00FE35D2" w14:paraId="03DEDA3A" w14:textId="77777777" w:rsidTr="003D0BB7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877D4D" w14:textId="77777777" w:rsidR="00D57B0B" w:rsidRPr="003D0BB7" w:rsidRDefault="00D57B0B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73538F" w:rsidRPr="00FE35D2" w14:paraId="5755CFF5" w14:textId="77777777" w:rsidTr="00B52A38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66A216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15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64F69D" w14:textId="59D5D9B8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 w:cs="Arial"/>
                <w:sz w:val="16"/>
                <w:szCs w:val="16"/>
              </w:rPr>
              <w:t>93,780</w:t>
            </w:r>
          </w:p>
        </w:tc>
      </w:tr>
      <w:tr w:rsidR="0073538F" w:rsidRPr="00FE35D2" w14:paraId="4A906435" w14:textId="77777777" w:rsidTr="00B52A38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17CB90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159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E919D2" w14:textId="4A3FA524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 w:cs="Arial"/>
                <w:sz w:val="16"/>
                <w:szCs w:val="16"/>
              </w:rPr>
              <w:t>92,956</w:t>
            </w:r>
          </w:p>
        </w:tc>
      </w:tr>
      <w:tr w:rsidR="0073538F" w:rsidRPr="00FE35D2" w14:paraId="2723CF57" w14:textId="77777777" w:rsidTr="00B52A38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113B5" w14:textId="77777777" w:rsidR="0073538F" w:rsidRPr="00FE35D2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159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DC10C" w14:textId="0C2F80A1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 w:cs="Arial"/>
                <w:sz w:val="16"/>
                <w:szCs w:val="16"/>
              </w:rPr>
              <w:t>824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405"/>
        <w:gridCol w:w="1334"/>
        <w:gridCol w:w="1411"/>
        <w:gridCol w:w="1447"/>
        <w:gridCol w:w="1425"/>
      </w:tblGrid>
      <w:tr w:rsidR="00F85DF6" w:rsidRPr="00FE35D2" w14:paraId="6E0BFF52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0D6DD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F85DF6" w:rsidRPr="00FE35D2" w14:paraId="34C781F9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D4ED829" w14:textId="7E9AB76A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FC52A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diciembre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2019 - 2023</w:t>
            </w:r>
          </w:p>
        </w:tc>
      </w:tr>
      <w:tr w:rsidR="00F85DF6" w:rsidRPr="00FE35D2" w14:paraId="689F9E15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D2089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F85DF6" w:rsidRPr="00FE35D2" w14:paraId="67E0C949" w14:textId="77777777" w:rsidTr="009719F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E806BB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FB0138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0EA2505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19AF7C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20414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D75B65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</w:tr>
      <w:tr w:rsidR="0073538F" w:rsidRPr="00FE35D2" w14:paraId="09E853D1" w14:textId="77777777" w:rsidTr="0073538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96D4FB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756464" w14:textId="4996055B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$156,023.8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994DE9" w14:textId="2718921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$141,916.1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EA79A" w14:textId="74979A6F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$178,640.6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880B57C" w14:textId="3996863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$186,449.1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BF1729" w14:textId="397594A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$192,258.1</w:t>
            </w:r>
          </w:p>
        </w:tc>
      </w:tr>
      <w:tr w:rsidR="0073538F" w:rsidRPr="00FE35D2" w14:paraId="2DDA30E7" w14:textId="77777777" w:rsidTr="0073538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E43D30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0C201F" w14:textId="46852FE3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$16.2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391C41" w14:textId="30D42BF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$5.0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FDBF08" w14:textId="03F27473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$16.0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967272" w14:textId="0B54B795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$10.2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B13F67" w14:textId="23E241D8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$21.7</w:t>
            </w:r>
          </w:p>
        </w:tc>
      </w:tr>
      <w:tr w:rsidR="0073538F" w:rsidRPr="00FE35D2" w14:paraId="57E2AE75" w14:textId="77777777" w:rsidTr="0073538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92E9A2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19ABEA" w14:textId="63E2E71D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6,366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CE51577" w14:textId="4C780F82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4,925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75279C" w14:textId="1F4D56A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7,503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87D5A0B" w14:textId="7893B192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7,926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BF4580D" w14:textId="66526EB8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8,325</w:t>
            </w:r>
          </w:p>
        </w:tc>
      </w:tr>
      <w:tr w:rsidR="0073538F" w:rsidRPr="00FE35D2" w14:paraId="6322790D" w14:textId="77777777" w:rsidTr="0073538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E4BA023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4B2C31" w14:textId="416A1018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$115,831.9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B2699" w14:textId="7A2FA45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$97,419.8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4348A68" w14:textId="59253FB6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$160,959.1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EAE94EA" w14:textId="6FA9B9EF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$177,965.1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A93CCBF" w14:textId="3C846242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$183,433.9</w:t>
            </w:r>
          </w:p>
        </w:tc>
      </w:tr>
      <w:tr w:rsidR="0073538F" w:rsidRPr="00FE35D2" w14:paraId="4FD315D1" w14:textId="77777777" w:rsidTr="0073538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C8AD45F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5020286" w14:textId="2F26F15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865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927A97F" w14:textId="6E75CD47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866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19E264E" w14:textId="1A7ED836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2,082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306EE0" w14:textId="257EC27C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2,162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C1A80FB" w14:textId="5FBD2B87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2,188</w:t>
            </w:r>
          </w:p>
        </w:tc>
      </w:tr>
      <w:tr w:rsidR="0073538F" w:rsidRPr="00FE35D2" w14:paraId="7F0F1956" w14:textId="77777777" w:rsidTr="0073538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F8DDD9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963AF64" w14:textId="4C6D28DD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$29,387.5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04C55FC" w14:textId="3CFC66D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$34,271.0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8B8966" w14:textId="26728D39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$70,776.9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22FAA0" w14:textId="107BBB8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$73,997.4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FF5AD88" w14:textId="542593B8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$75,418.9</w:t>
            </w:r>
          </w:p>
        </w:tc>
      </w:tr>
      <w:tr w:rsidR="0073538F" w:rsidRPr="00FE35D2" w14:paraId="1D7EAB2F" w14:textId="77777777" w:rsidTr="0073538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4BFDC5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53160D" w14:textId="787D88DC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4,290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81E65D" w14:textId="0B5356FB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2,543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F4379" w14:textId="0BC094F7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3,798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67C2997" w14:textId="31D615B5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4,109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5434E9" w14:textId="3D6AF69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2,954</w:t>
            </w:r>
          </w:p>
        </w:tc>
      </w:tr>
      <w:tr w:rsidR="0073538F" w:rsidRPr="00FE35D2" w14:paraId="06F8B119" w14:textId="77777777" w:rsidTr="0073538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F79EA11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315464D" w14:textId="08B41C0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$72,140.1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236AD53" w14:textId="3AED5D59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$45,091.3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6A40938" w14:textId="39E67F55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$69,683.4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E02686F" w14:textId="1EFC617B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$80,408.3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6D58E9" w14:textId="1C3ECD8B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$60,833.4</w:t>
            </w:r>
          </w:p>
        </w:tc>
      </w:tr>
      <w:tr w:rsidR="0073538F" w:rsidRPr="00FE35D2" w14:paraId="38EB077B" w14:textId="77777777" w:rsidTr="0073538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DAEC661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4FD36DB" w14:textId="6E0F4241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640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2E2B35" w14:textId="3EBE7843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1,220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33C33D8" w14:textId="40CB749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1,231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79DCA07" w14:textId="048D6BEA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1,235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5C2458" w14:textId="6029D9C8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2,698</w:t>
            </w:r>
          </w:p>
        </w:tc>
      </w:tr>
      <w:tr w:rsidR="0073538F" w:rsidRPr="00FE35D2" w14:paraId="41AD354D" w14:textId="77777777" w:rsidTr="0073538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B8AC669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5EA83FD" w14:textId="23A25106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$6,703.2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0D62C39" w14:textId="3638A81B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$14,216.9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36B39BD" w14:textId="2E6C4644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$14,808.8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92AF86" w14:textId="78B0750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$16,413.3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64736E" w14:textId="0139BA6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$38,721.9</w:t>
            </w:r>
          </w:p>
        </w:tc>
      </w:tr>
      <w:tr w:rsidR="0073538F" w:rsidRPr="00FE35D2" w14:paraId="3BB62F89" w14:textId="77777777" w:rsidTr="0073538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2AC02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EED84D3" w14:textId="23A75F4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571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90D39B1" w14:textId="369FA291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296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B0721" w14:textId="35FFDF76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392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3FD4FEE" w14:textId="2971AD87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420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7F06096" w14:textId="644DE083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485</w:t>
            </w:r>
          </w:p>
        </w:tc>
      </w:tr>
      <w:tr w:rsidR="0073538F" w:rsidRPr="00FE35D2" w14:paraId="7D9D784C" w14:textId="77777777" w:rsidTr="0073538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74A7AD4" w14:textId="77777777" w:rsidR="0073538F" w:rsidRPr="00053C36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F56EB9C" w14:textId="295769A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$7,601.0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4999C49" w14:textId="3F6D828E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$3,840.5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0D637A" w14:textId="2C2A4D17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$5,690.1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0AE19B0" w14:textId="32AB6B20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$7,146.1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21C2AAA" w14:textId="3B481325" w:rsidR="0073538F" w:rsidRPr="0073538F" w:rsidRDefault="0073538F" w:rsidP="0073538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3538F">
              <w:rPr>
                <w:rFonts w:ascii="Museo Sans 100" w:hAnsi="Museo Sans 100"/>
                <w:sz w:val="16"/>
                <w:szCs w:val="16"/>
              </w:rPr>
              <w:t>$8,459.8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  <w:gridCol w:w="2155"/>
      </w:tblGrid>
      <w:tr w:rsidR="00856880" w:rsidRPr="00FE35D2" w14:paraId="77F886CF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A062BB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856880" w:rsidRPr="00FE35D2" w14:paraId="26695050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4589C1A" w14:textId="689017CF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FC52A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diciembre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2023</w:t>
            </w:r>
          </w:p>
        </w:tc>
      </w:tr>
      <w:tr w:rsidR="00856880" w:rsidRPr="00FE35D2" w14:paraId="3840C58D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3ACFC0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856880" w:rsidRPr="00FE35D2" w14:paraId="7A006774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E7930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546602" w:rsidRPr="00FE35D2" w14:paraId="502C14E4" w14:textId="77777777" w:rsidTr="00546602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8DCD44" w14:textId="77777777" w:rsidR="00546602" w:rsidRPr="007061BA" w:rsidRDefault="00546602" w:rsidP="005466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089AEB" w14:textId="61AAE030" w:rsidR="00546602" w:rsidRPr="00546602" w:rsidRDefault="00546602" w:rsidP="005466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46602">
              <w:rPr>
                <w:rFonts w:ascii="Museo Sans 100" w:hAnsi="Museo Sans 100"/>
                <w:sz w:val="16"/>
                <w:szCs w:val="16"/>
              </w:rPr>
              <w:t>$1,058,695.6</w:t>
            </w:r>
          </w:p>
        </w:tc>
      </w:tr>
      <w:tr w:rsidR="00546602" w:rsidRPr="00FE35D2" w14:paraId="01676B83" w14:textId="77777777" w:rsidTr="00546602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62A61C5" w14:textId="77777777" w:rsidR="00546602" w:rsidRPr="007061BA" w:rsidRDefault="00546602" w:rsidP="005466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58E78" w14:textId="63AA9C05" w:rsidR="00546602" w:rsidRPr="00546602" w:rsidRDefault="00546602" w:rsidP="005466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46602">
              <w:rPr>
                <w:rFonts w:ascii="Museo Sans 100" w:hAnsi="Museo Sans 100"/>
                <w:sz w:val="16"/>
                <w:szCs w:val="16"/>
              </w:rPr>
              <w:t>$410,139.7</w:t>
            </w:r>
          </w:p>
        </w:tc>
      </w:tr>
      <w:tr w:rsidR="00546602" w:rsidRPr="00FE35D2" w14:paraId="6CEA6882" w14:textId="77777777" w:rsidTr="00546602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9432DD" w14:textId="77777777" w:rsidR="00546602" w:rsidRPr="007061BA" w:rsidRDefault="00546602" w:rsidP="005466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7043EC" w14:textId="11E0E22F" w:rsidR="00546602" w:rsidRPr="00546602" w:rsidRDefault="00546602" w:rsidP="005466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46602">
              <w:rPr>
                <w:rFonts w:ascii="Museo Sans 100" w:hAnsi="Museo Sans 100"/>
                <w:sz w:val="16"/>
                <w:szCs w:val="16"/>
              </w:rPr>
              <w:t>$648,555.8</w:t>
            </w:r>
          </w:p>
        </w:tc>
      </w:tr>
      <w:tr w:rsidR="00856880" w:rsidRPr="00FE35D2" w14:paraId="7033E4FB" w14:textId="77777777" w:rsidTr="007061BA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B830C5" w14:textId="77777777" w:rsidR="00856880" w:rsidRPr="007061BA" w:rsidRDefault="00856880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546602" w:rsidRPr="00FE35D2" w14:paraId="78150CC9" w14:textId="77777777" w:rsidTr="00546602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E47549" w14:textId="77777777" w:rsidR="00546602" w:rsidRPr="007061BA" w:rsidRDefault="00546602" w:rsidP="005466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742DFE" w14:textId="5A03A07B" w:rsidR="00546602" w:rsidRPr="00546602" w:rsidRDefault="00546602" w:rsidP="005466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46602">
              <w:rPr>
                <w:rFonts w:ascii="Museo Sans 100" w:hAnsi="Museo Sans 100"/>
                <w:sz w:val="16"/>
                <w:szCs w:val="16"/>
              </w:rPr>
              <w:t>$138,795.0</w:t>
            </w:r>
          </w:p>
        </w:tc>
      </w:tr>
      <w:tr w:rsidR="00546602" w:rsidRPr="00FE35D2" w14:paraId="20D0F009" w14:textId="77777777" w:rsidTr="00546602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87EF8" w14:textId="77777777" w:rsidR="00546602" w:rsidRPr="007061BA" w:rsidRDefault="00546602" w:rsidP="005466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4BC4FD" w14:textId="57FAE240" w:rsidR="00546602" w:rsidRPr="00546602" w:rsidRDefault="00546602" w:rsidP="005466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46602">
              <w:rPr>
                <w:rFonts w:ascii="Museo Sans 100" w:hAnsi="Museo Sans 100"/>
                <w:sz w:val="16"/>
                <w:szCs w:val="16"/>
              </w:rPr>
              <w:t>$85,688.4</w:t>
            </w:r>
          </w:p>
        </w:tc>
      </w:tr>
      <w:tr w:rsidR="00546602" w:rsidRPr="00FE35D2" w14:paraId="1B5BCD78" w14:textId="77777777" w:rsidTr="00546602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953FBF" w14:textId="77777777" w:rsidR="00546602" w:rsidRPr="007061BA" w:rsidRDefault="00546602" w:rsidP="0054660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BB37E3" w14:textId="33E0CB5D" w:rsidR="00546602" w:rsidRPr="00546602" w:rsidRDefault="00546602" w:rsidP="0054660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46602">
              <w:rPr>
                <w:rFonts w:ascii="Museo Sans 100" w:hAnsi="Museo Sans 100"/>
                <w:sz w:val="16"/>
                <w:szCs w:val="16"/>
              </w:rPr>
              <w:t>$53,106.6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24E134A" w:rsidR="002B575F" w:rsidRPr="00E0208B" w:rsidRDefault="00546602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1846E403" wp14:editId="5F134533">
            <wp:extent cx="4200525" cy="2544445"/>
            <wp:effectExtent l="0" t="0" r="0" b="0"/>
            <wp:docPr id="18221425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E774C5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5C53C76C" w14:textId="46C5E457" w:rsidR="00EF315A" w:rsidRPr="00FB1D2A" w:rsidRDefault="0054660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30D5BC64" wp14:editId="60B2C6CC">
            <wp:extent cx="4215741" cy="2394611"/>
            <wp:effectExtent l="0" t="0" r="0" b="0"/>
            <wp:docPr id="13477825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D7B18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DIC%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DIC%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DICIEMBRE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DICIEMBRE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88-4019-A103-963F5A53EE2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488-4019-A103-963F5A53EE2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488-4019-A103-963F5A53EE2D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488-4019-A103-963F5A53EE2D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88-4019-A103-963F5A53EE2D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88-4019-A103-963F5A53EE2D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88-4019-A103-963F5A53EE2D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88-4019-A103-963F5A53EE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2188</c:v>
                </c:pt>
                <c:pt idx="1">
                  <c:v>2954</c:v>
                </c:pt>
                <c:pt idx="2">
                  <c:v>2698</c:v>
                </c:pt>
                <c:pt idx="3">
                  <c:v>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88-4019-A103-963F5A53E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DICIEMBRE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DICIEMBRE 2023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78-4AA5-A52A-045205EFAC9B}"/>
              </c:ext>
            </c:extLst>
          </c:dPt>
          <c:dPt>
            <c:idx val="1"/>
            <c:bubble3D val="0"/>
            <c:spPr>
              <a:solidFill>
                <a:srgbClr val="1B587C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78-4AA5-A52A-045205EFAC9B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78-4AA5-A52A-045205EFAC9B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78-4AA5-A52A-045205EFA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4526</c:v>
                </c:pt>
                <c:pt idx="1">
                  <c:v>3799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78-4AA5-A52A-045205EFAC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3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8,325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1171</Words>
  <Characters>6442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Diana Eunice Castro de Abrego</cp:lastModifiedBy>
  <cp:revision>2</cp:revision>
  <cp:lastPrinted>2020-10-28T16:23:00Z</cp:lastPrinted>
  <dcterms:created xsi:type="dcterms:W3CDTF">2024-01-30T17:09:00Z</dcterms:created>
  <dcterms:modified xsi:type="dcterms:W3CDTF">2024-01-30T17:09:00Z</dcterms:modified>
</cp:coreProperties>
</file>