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48545A8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CA4D8A">
        <w:rPr>
          <w:rFonts w:ascii="Museo Sans 100" w:eastAsia="Times New Roman" w:hAnsi="Museo Sans 100" w:cs="Calibri Light"/>
          <w:bCs/>
          <w:sz w:val="20"/>
        </w:rPr>
        <w:t>febrero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C56027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D7A3B62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44F560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Créditos escriturados 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1861508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5FE18D60" w14:textId="0285069A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Créditos escriturados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br/>
              <w:t>Vivienda nueva</w:t>
            </w:r>
            <w:r w:rsidR="00491C5A"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AF981ED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0FA4A14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377BF7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472711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569A0A4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0447986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4DF6E5D7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3DC52FB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66833E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C56027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7CA5D3D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9679505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CCD2E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DC4E6E0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5DA073A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8540C9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B74ED5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FC27B5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303D803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5829F2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851A5" w:rsidRPr="00716E92" w14:paraId="340321FE" w14:textId="77777777" w:rsidTr="00A851A5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A851A5" w:rsidRPr="00716E92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7657EE1F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1,175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76DC74F1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$24,169.9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6313A896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4,935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5C6D9F93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225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4A53F9E1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$7,592.0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65EC4091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92,230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4DD0764F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$1,120,803.7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28ECBFD2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7.03%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78AA16C3" w:rsidR="00A851A5" w:rsidRPr="00470278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4.30%</w:t>
            </w:r>
          </w:p>
        </w:tc>
        <w:tc>
          <w:tcPr>
            <w:tcW w:w="76" w:type="pct"/>
            <w:vAlign w:val="center"/>
          </w:tcPr>
          <w:p w14:paraId="29D6E45A" w14:textId="77777777" w:rsidR="00A851A5" w:rsidRPr="00716E92" w:rsidRDefault="00A851A5" w:rsidP="00A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851A5" w:rsidRPr="00716E92" w14:paraId="7D4185EF" w14:textId="77777777" w:rsidTr="00A851A5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A851A5" w:rsidRPr="00716E92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059F35B8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330,278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7176EF83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$3,141,968.3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00EC0216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1,580,260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45F4723B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147,402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D28202C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851A5">
              <w:rPr>
                <w:rFonts w:ascii="Museo Sans 100" w:eastAsia="Times New Roman" w:hAnsi="Museo Sans 100" w:cs="Arial"/>
                <w:sz w:val="15"/>
                <w:szCs w:val="15"/>
              </w:rPr>
              <w:t>$1,581,901.1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A851A5" w:rsidRPr="001F21DE" w:rsidRDefault="00A851A5" w:rsidP="00A851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A851A5" w:rsidRPr="00716E92" w:rsidRDefault="00A851A5" w:rsidP="00A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377677A2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0C088B">
        <w:rPr>
          <w:rFonts w:ascii="Museo Sans 100" w:eastAsia="Times New Roman" w:hAnsi="Museo Sans 100" w:cs="Calibri Light"/>
          <w:bCs/>
          <w:sz w:val="20"/>
        </w:rPr>
        <w:t>febrero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41"/>
        <w:gridCol w:w="992"/>
        <w:gridCol w:w="994"/>
        <w:gridCol w:w="994"/>
        <w:gridCol w:w="894"/>
        <w:gridCol w:w="894"/>
        <w:gridCol w:w="927"/>
        <w:gridCol w:w="705"/>
        <w:gridCol w:w="1007"/>
        <w:gridCol w:w="993"/>
      </w:tblGrid>
      <w:tr w:rsidR="007C0317" w:rsidRPr="0074074E" w14:paraId="760B4C17" w14:textId="77777777" w:rsidTr="00C56027">
        <w:trPr>
          <w:trHeight w:val="4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DF9AA6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E0A0A1A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balance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7232707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41284F1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582CC12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Devolución cotizaciones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25DBA30F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C56027">
        <w:trPr>
          <w:trHeight w:val="471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A72FFCC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8CC0F4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Activo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771D16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47C583C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Patrimonio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1519F2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Ingresos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353A59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Gasto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B034B9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877FA19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DC2542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324489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B82E56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B82E56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FA75DE" w:rsidRPr="0074074E" w14:paraId="5F2FC7FD" w14:textId="77777777" w:rsidTr="00FA75DE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FA75DE" w:rsidRPr="0074074E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5CC7A26D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$1,018,050.3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660F2808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$409,163.4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348D7A9B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$608,886.9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0B10B6BA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$23,116.6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4EADAFF2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$11,293.5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58482921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$11,823.0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436A7E69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42FC5CB8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4,480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038A1349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$2,288.4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5B3155E0" w:rsidR="00FA75DE" w:rsidRPr="000600D7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$165,445.3</w:t>
            </w:r>
          </w:p>
        </w:tc>
      </w:tr>
      <w:tr w:rsidR="00FA75DE" w:rsidRPr="0074074E" w14:paraId="4574881E" w14:textId="77777777" w:rsidTr="00FA75DE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FA75DE" w:rsidRPr="0074074E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7E8DFC84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08073626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339,866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13FE6D58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A75DE">
              <w:rPr>
                <w:rFonts w:ascii="Museo Sans 100" w:eastAsia="Times New Roman" w:hAnsi="Museo Sans 100" w:cs="Arial"/>
                <w:sz w:val="15"/>
                <w:szCs w:val="15"/>
              </w:rPr>
              <w:t>$194,896.5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FA75DE" w:rsidRPr="007718B8" w:rsidRDefault="00FA75DE" w:rsidP="00FA75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DB51F72" w14:textId="7777777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48841BB3" w14:textId="445C7152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Acumulado 1973 – </w:t>
            </w:r>
            <w:r w:rsidR="000C088B">
              <w:rPr>
                <w:rFonts w:ascii="Museo Sans 100" w:eastAsia="Times New Roman" w:hAnsi="Museo Sans 100" w:cs="Arial"/>
                <w:sz w:val="16"/>
                <w:szCs w:val="16"/>
              </w:rPr>
              <w:t>febrero</w:t>
            </w:r>
            <w:r w:rsidR="00843C08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A04764" w:rsidRPr="00AA23E8" w14:paraId="442CEC17" w14:textId="77777777" w:rsidTr="00A04764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5938D8AD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330,278</w:t>
            </w:r>
          </w:p>
        </w:tc>
      </w:tr>
      <w:tr w:rsidR="00A04764" w:rsidRPr="00AA23E8" w14:paraId="21BAAE51" w14:textId="77777777" w:rsidTr="00A04764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6B3B63BF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$3,141,968.3</w:t>
            </w:r>
          </w:p>
        </w:tc>
      </w:tr>
      <w:tr w:rsidR="00A04764" w:rsidRPr="00AA23E8" w14:paraId="48679524" w14:textId="77777777" w:rsidTr="00A04764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0D15764C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330,278</w:t>
            </w:r>
          </w:p>
        </w:tc>
      </w:tr>
      <w:tr w:rsidR="00A04764" w:rsidRPr="00AA23E8" w14:paraId="435141CB" w14:textId="77777777" w:rsidTr="00A04764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2D99C585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1,580,260</w:t>
            </w:r>
          </w:p>
        </w:tc>
      </w:tr>
      <w:tr w:rsidR="00A04764" w:rsidRPr="00AA23E8" w14:paraId="2D92959F" w14:textId="77777777" w:rsidTr="00A04764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21039A49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147,402</w:t>
            </w:r>
          </w:p>
        </w:tc>
      </w:tr>
      <w:tr w:rsidR="00A04764" w:rsidRPr="00AA23E8" w14:paraId="185D9FD1" w14:textId="77777777" w:rsidTr="00A04764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72610833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$1,581,901.1</w:t>
            </w:r>
          </w:p>
        </w:tc>
      </w:tr>
      <w:tr w:rsidR="00A04764" w:rsidRPr="00AA23E8" w14:paraId="58D194BD" w14:textId="77777777" w:rsidTr="00A04764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68269590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339,866</w:t>
            </w:r>
          </w:p>
        </w:tc>
      </w:tr>
      <w:tr w:rsidR="00A04764" w:rsidRPr="00AA23E8" w14:paraId="2DA6686A" w14:textId="77777777" w:rsidTr="00A04764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02036806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$194,896.5</w:t>
            </w:r>
          </w:p>
        </w:tc>
      </w:tr>
      <w:tr w:rsidR="00A04764" w:rsidRPr="00AA23E8" w14:paraId="21F0EAA0" w14:textId="77777777" w:rsidTr="00A04764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227DF003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92,230</w:t>
            </w:r>
          </w:p>
        </w:tc>
      </w:tr>
      <w:tr w:rsidR="00A04764" w:rsidRPr="00AA23E8" w14:paraId="6BEB8845" w14:textId="77777777" w:rsidTr="00A04764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0439AC59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$1,120,803.7</w:t>
            </w:r>
          </w:p>
        </w:tc>
      </w:tr>
      <w:tr w:rsidR="007C0317" w:rsidRPr="00AA23E8" w14:paraId="7E40B966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0E0489" w:rsidRDefault="007C0317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A04764" w:rsidRPr="00AA23E8" w14:paraId="50EE7585" w14:textId="77777777" w:rsidTr="00A04764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1964E824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92,230</w:t>
            </w:r>
          </w:p>
        </w:tc>
      </w:tr>
      <w:tr w:rsidR="00A04764" w:rsidRPr="00AA23E8" w14:paraId="514A705E" w14:textId="77777777" w:rsidTr="00A04764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27317FFC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91,699</w:t>
            </w:r>
          </w:p>
        </w:tc>
      </w:tr>
      <w:tr w:rsidR="00A04764" w:rsidRPr="00AA23E8" w14:paraId="291BFDF3" w14:textId="77777777" w:rsidTr="00A04764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0EF9C3D5" w:rsidR="00A04764" w:rsidRPr="009E2BDF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531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0C21A0" w14:paraId="522304BA" w14:textId="77777777" w:rsidTr="006B28CE">
        <w:trPr>
          <w:trHeight w:val="45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51F21977" w14:textId="77777777" w:rsidR="004A7997" w:rsidRPr="0054339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4FC7B89B" w14:textId="67133DD5" w:rsidR="004A7997" w:rsidRPr="0054339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Período </w:t>
            </w:r>
            <w:r w:rsidR="000C088B">
              <w:rPr>
                <w:rFonts w:ascii="Museo Sans 100" w:eastAsia="Times New Roman" w:hAnsi="Museo Sans 100" w:cs="Arial"/>
                <w:sz w:val="16"/>
                <w:szCs w:val="16"/>
              </w:rPr>
              <w:t>febrero</w:t>
            </w:r>
            <w:r w:rsidR="00D07F41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D07F41" w:rsidRPr="00543391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– 202</w:t>
            </w:r>
            <w:r w:rsidR="00D07F41" w:rsidRPr="00543391">
              <w:rPr>
                <w:rFonts w:ascii="Museo Sans 100" w:eastAsia="Times New Roman" w:hAnsi="Museo Sans 100" w:cs="Arial"/>
                <w:sz w:val="16"/>
                <w:szCs w:val="16"/>
              </w:rPr>
              <w:t>3</w:t>
            </w:r>
          </w:p>
          <w:p w14:paraId="3A89C3A3" w14:textId="3C01EC00" w:rsidR="004A7997" w:rsidRPr="0054339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9E2BDF" w:rsidRPr="00374340" w14:paraId="237B887F" w14:textId="77777777" w:rsidTr="006B28CE">
        <w:trPr>
          <w:trHeight w:val="454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670B9AB" w14:textId="77777777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D8F8346" w14:textId="2BC19F5F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5AC1071" w14:textId="65CF5830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4FF63D7" w14:textId="186659B7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4A61010" w14:textId="0ECE3164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1C3114D" w14:textId="7B20072A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2023</w:t>
            </w:r>
          </w:p>
        </w:tc>
      </w:tr>
      <w:tr w:rsidR="00A04764" w:rsidRPr="00374340" w14:paraId="10FA23E1" w14:textId="77777777" w:rsidTr="00A04764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205CFFF7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$25,628.3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2F44F88C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$26,633.7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0C22A0F6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$27,157.1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500912B1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$30,136.1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46FB04E8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$31,034.3</w:t>
            </w:r>
          </w:p>
        </w:tc>
      </w:tr>
      <w:tr w:rsidR="00A04764" w:rsidRPr="00374340" w14:paraId="5BA2D63E" w14:textId="77777777" w:rsidTr="00A04764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165A7B3F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$0.4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5BD89720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3FF8FF96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0712F392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6F5DBAB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$5.3</w:t>
            </w:r>
          </w:p>
        </w:tc>
      </w:tr>
      <w:tr w:rsidR="00A04764" w:rsidRPr="00374340" w14:paraId="58A5C565" w14:textId="77777777" w:rsidTr="00A04764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7334889B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932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0967718D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1,187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0CFB7147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1,130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0E5145D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1,417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6F308CD6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1,175</w:t>
            </w:r>
          </w:p>
        </w:tc>
      </w:tr>
      <w:tr w:rsidR="00A04764" w:rsidRPr="00374340" w14:paraId="3B0E9923" w14:textId="77777777" w:rsidTr="00A04764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4006B753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$16,381.3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76994174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$24,088.7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3768A284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$20,769.8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6B8D7959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$34,128.5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0652EA5E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$24,169.9</w:t>
            </w:r>
          </w:p>
        </w:tc>
      </w:tr>
      <w:tr w:rsidR="00A04764" w:rsidRPr="00374340" w14:paraId="4CFA1496" w14:textId="77777777" w:rsidTr="00A04764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3188EB30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360A451E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01030F49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330D8AF7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589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6E774B5D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225</w:t>
            </w:r>
          </w:p>
        </w:tc>
      </w:tr>
      <w:tr w:rsidR="00A04764" w:rsidRPr="00374340" w14:paraId="023228F2" w14:textId="77777777" w:rsidTr="00A04764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330359C0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$3,789.2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1129F973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$8,028.3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242E63CE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$4,951.8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882B80E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$18,880.6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15C475A2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$7,592.0</w:t>
            </w:r>
          </w:p>
        </w:tc>
      </w:tr>
      <w:tr w:rsidR="00A04764" w:rsidRPr="00374340" w14:paraId="47A9848B" w14:textId="77777777" w:rsidTr="00A04764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623F2BEF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645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141985E2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725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42858EA1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687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3DD1FB9B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28BFEA0E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494</w:t>
            </w:r>
          </w:p>
        </w:tc>
      </w:tr>
      <w:tr w:rsidR="00A04764" w:rsidRPr="00374340" w14:paraId="6B9AA9A9" w14:textId="77777777" w:rsidTr="00A04764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68380517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$10,657.5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4B8F384D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$12,769.5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6BBB32C1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$12,020.6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49401EC2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$12,727.3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6D57E4E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$9,962.6</w:t>
            </w:r>
          </w:p>
        </w:tc>
      </w:tr>
      <w:tr w:rsidR="00A04764" w:rsidRPr="00374340" w14:paraId="4E91A0DB" w14:textId="77777777" w:rsidTr="00A04764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7661860E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186E635B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693BDB4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241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3A86DB92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127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08212118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398</w:t>
            </w:r>
          </w:p>
        </w:tc>
      </w:tr>
      <w:tr w:rsidR="00A04764" w:rsidRPr="00374340" w14:paraId="6B03733B" w14:textId="77777777" w:rsidTr="00A04764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5137B9E1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$909.8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54F1618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$2,041.2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36278F25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$2,837.1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177A876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$1,659.7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54744879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$5,680.5</w:t>
            </w:r>
          </w:p>
        </w:tc>
      </w:tr>
      <w:tr w:rsidR="00A04764" w:rsidRPr="00374340" w14:paraId="178799FD" w14:textId="77777777" w:rsidTr="00A04764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6E1AA6AD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381D7C01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35FE475D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040EC396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44A81393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58</w:t>
            </w:r>
          </w:p>
        </w:tc>
      </w:tr>
      <w:tr w:rsidR="00A04764" w:rsidRPr="00374340" w14:paraId="23DDDA21" w14:textId="77777777" w:rsidTr="00A04764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A04764" w:rsidRPr="00374340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4CAD60A6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$1,024.8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633B67F1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$1,249.6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61C4FF64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$960.4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0C5EA73A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$860.9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4E418C34" w:rsidR="00A04764" w:rsidRPr="00A04764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$934.9</w:t>
            </w:r>
          </w:p>
        </w:tc>
      </w:tr>
    </w:tbl>
    <w:p w14:paraId="14667FB6" w14:textId="423FDB61" w:rsidR="004D64D2" w:rsidRPr="00374340" w:rsidRDefault="00B1628D" w:rsidP="00374340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16"/>
        </w:rPr>
      </w:pPr>
      <w:r w:rsidRPr="00374340">
        <w:rPr>
          <w:rFonts w:ascii="Museo Sans 100" w:eastAsia="Times New Roman" w:hAnsi="Museo Sans 100" w:cs="Calibri Light"/>
          <w:sz w:val="16"/>
          <w:szCs w:val="16"/>
        </w:rPr>
        <w:t>Fuente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:</w:t>
      </w:r>
      <w:r w:rsidR="00884F6F" w:rsidRPr="00374340">
        <w:rPr>
          <w:rFonts w:ascii="Museo Sans 100" w:eastAsia="Times New Roman" w:hAnsi="Museo Sans 100" w:cs="Calibri Light"/>
          <w:sz w:val="16"/>
          <w:szCs w:val="16"/>
        </w:rPr>
        <w:t xml:space="preserve"> 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55B16C7" w14:textId="77777777" w:rsidR="004A7997" w:rsidRPr="00F321FC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F321FC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02859AC7" w14:textId="4A57EB5A" w:rsidR="004A7997" w:rsidRPr="00F321FC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321F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Al mes de </w:t>
            </w:r>
            <w:r w:rsidR="000C088B">
              <w:rPr>
                <w:rFonts w:ascii="Museo Sans 100" w:eastAsia="Times New Roman" w:hAnsi="Museo Sans 100" w:cs="Arial"/>
                <w:sz w:val="16"/>
                <w:szCs w:val="16"/>
              </w:rPr>
              <w:t>febrero</w:t>
            </w:r>
            <w:r w:rsidR="00843C08" w:rsidRPr="00F321F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F321FC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A04764" w:rsidRPr="00AA23E8" w14:paraId="47216A99" w14:textId="77777777" w:rsidTr="00A04764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15AF7E0F" w:rsidR="00A04764" w:rsidRPr="00D97633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$1,018,050.3</w:t>
            </w:r>
          </w:p>
        </w:tc>
      </w:tr>
      <w:tr w:rsidR="00A04764" w:rsidRPr="00AA23E8" w14:paraId="3F593B74" w14:textId="77777777" w:rsidTr="00A04764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449E7CA0" w:rsidR="00A04764" w:rsidRPr="00D97633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$409,163.4</w:t>
            </w:r>
          </w:p>
        </w:tc>
      </w:tr>
      <w:tr w:rsidR="00A04764" w:rsidRPr="00AA23E8" w14:paraId="10177DD1" w14:textId="77777777" w:rsidTr="00A04764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55D70D47" w:rsidR="00A04764" w:rsidRPr="00D97633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$608,886.9</w:t>
            </w:r>
          </w:p>
        </w:tc>
      </w:tr>
      <w:tr w:rsidR="002C33A8" w:rsidRPr="00AA23E8" w14:paraId="41E81C31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5141ED" w:rsidRDefault="002C33A8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A04764" w:rsidRPr="00AA23E8" w14:paraId="6897B252" w14:textId="77777777" w:rsidTr="00A04764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5C141D14" w:rsidR="00A04764" w:rsidRPr="00D97633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$23,116.6</w:t>
            </w:r>
          </w:p>
        </w:tc>
      </w:tr>
      <w:tr w:rsidR="00A04764" w:rsidRPr="00AA23E8" w14:paraId="142027BB" w14:textId="77777777" w:rsidTr="00A04764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12E8EFB9" w:rsidR="00A04764" w:rsidRPr="00D97633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$11,293.5</w:t>
            </w:r>
          </w:p>
        </w:tc>
      </w:tr>
      <w:tr w:rsidR="00A04764" w:rsidRPr="00AA23E8" w14:paraId="0532F775" w14:textId="77777777" w:rsidTr="00A04764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A04764" w:rsidRPr="00AA23E8" w:rsidRDefault="00A04764" w:rsidP="00A0476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1E540A4C" w:rsidR="00A04764" w:rsidRPr="00D97633" w:rsidRDefault="00A04764" w:rsidP="00A0476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04764">
              <w:rPr>
                <w:rFonts w:ascii="Museo Sans 100" w:hAnsi="Museo Sans 100"/>
                <w:sz w:val="16"/>
                <w:szCs w:val="16"/>
              </w:rPr>
              <w:t>$11,823.0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4F588D5" w:rsidR="002B575F" w:rsidRPr="00E0208B" w:rsidRDefault="00426486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0A8F38D6" wp14:editId="7B045933">
            <wp:extent cx="4076700" cy="239077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04E9F197" w:rsidR="00EF315A" w:rsidRPr="00FB1D2A" w:rsidRDefault="00426486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DE5E17C" wp14:editId="326C9C27">
            <wp:extent cx="3848100" cy="22098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CC15BF" w14:textId="66517184" w:rsidR="00EF315A" w:rsidRPr="00FB1D2A" w:rsidRDefault="00EF315A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88D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FB%20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FB%20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 sz="800"/>
              <a:t>CRÉDITOS OTORGADOS POR LÍNEA FINANCIERA </a:t>
            </a:r>
          </a:p>
          <a:p>
            <a:pPr>
              <a:defRPr sz="800"/>
            </a:pPr>
            <a:r>
              <a:rPr lang="en-US" sz="800"/>
              <a:t>AL MES DE FEBRERO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6111928765913609"/>
          <c:y val="0.37990275119992473"/>
          <c:w val="0.32205558417347369"/>
          <c:h val="0.54916251006472805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FEBRERO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6D-4561-ACF6-D72369C3C24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6D-4561-ACF6-D72369C3C242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06D-4561-ACF6-D72369C3C242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06D-4561-ACF6-D72369C3C242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6D-4561-ACF6-D72369C3C242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6D-4561-ACF6-D72369C3C242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6D-4561-ACF6-D72369C3C242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6D-4561-ACF6-D72369C3C2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225</c:v>
                </c:pt>
                <c:pt idx="1">
                  <c:v>494</c:v>
                </c:pt>
                <c:pt idx="2">
                  <c:v>398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6D-4561-ACF6-D72369C3C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n-US" sz="800"/>
              <a:t>CRÉDITOS OTORGADOS POR GÉNERO </a:t>
            </a:r>
          </a:p>
          <a:p>
            <a:pPr>
              <a:defRPr sz="800"/>
            </a:pPr>
            <a:r>
              <a:rPr lang="en-US" sz="800"/>
              <a:t>AL MES DE FEBRERO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FEBRERO 2023</c:v>
                </c:pt>
              </c:strCache>
            </c:strRef>
          </c:tx>
          <c:dPt>
            <c:idx val="0"/>
            <c:bubble3D val="0"/>
            <c:spPr>
              <a:solidFill>
                <a:srgbClr val="9F2936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D7-4993-9AEF-E37E1473D7C8}"/>
              </c:ext>
            </c:extLst>
          </c:dPt>
          <c:dPt>
            <c:idx val="1"/>
            <c:bubble3D val="0"/>
            <c:spPr>
              <a:solidFill>
                <a:srgbClr val="1B587C">
                  <a:lumMod val="75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D7-4993-9AEF-E37E1473D7C8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D7-4993-9AEF-E37E1473D7C8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D7-4993-9AEF-E37E1473D7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662</c:v>
                </c:pt>
                <c:pt idx="1">
                  <c:v>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D7-4993-9AEF-E37E1473D7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0.42744</cdr:x>
      <cdr:y>0.52773</cdr:y>
    </cdr:from>
    <cdr:to>
      <cdr:x>0.60331</cdr:x>
      <cdr:y>0.76222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742539" y="1261689"/>
          <a:ext cx="716970" cy="5606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1,175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6369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2023-03-29T17:00:00Z</dcterms:created>
  <dcterms:modified xsi:type="dcterms:W3CDTF">2023-03-29T17:00:00Z</dcterms:modified>
</cp:coreProperties>
</file>