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5B6279C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1764E">
        <w:rPr>
          <w:rFonts w:ascii="Museo Sans 100" w:eastAsia="Times New Roman" w:hAnsi="Museo Sans 100" w:cs="Calibri Light"/>
          <w:bCs/>
          <w:sz w:val="20"/>
        </w:rPr>
        <w:t>diciembre</w:t>
      </w:r>
      <w:r w:rsidR="0015444E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071728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Créditos escriturados 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0285069A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Créditos escriturados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br/>
              <w:t>Vivienda nueva</w:t>
            </w:r>
            <w:r w:rsidR="00491C5A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7123E8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071728">
        <w:trPr>
          <w:trHeight w:val="459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47027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7777777" w:rsidR="00470278" w:rsidRPr="00716E92" w:rsidRDefault="00470278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7D4185EF" w14:textId="77777777" w:rsidTr="0047027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08BC576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329,103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084EB15D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$3,117,798.5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14EAB1D6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1,575,325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5E832BC8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147,177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79F9D43D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$1,574,309.2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470278" w:rsidRPr="00716E92" w:rsidRDefault="00470278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EC48B33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1764E">
        <w:rPr>
          <w:rFonts w:ascii="Museo Sans 100" w:eastAsia="Times New Roman" w:hAnsi="Museo Sans 100" w:cs="Calibri Light"/>
          <w:bCs/>
          <w:sz w:val="20"/>
        </w:rPr>
        <w:t>diciembre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41"/>
        <w:gridCol w:w="992"/>
        <w:gridCol w:w="994"/>
        <w:gridCol w:w="994"/>
        <w:gridCol w:w="894"/>
        <w:gridCol w:w="894"/>
        <w:gridCol w:w="927"/>
        <w:gridCol w:w="705"/>
        <w:gridCol w:w="1007"/>
        <w:gridCol w:w="993"/>
      </w:tblGrid>
      <w:tr w:rsidR="007C0317" w:rsidRPr="0074074E" w14:paraId="760B4C17" w14:textId="77777777" w:rsidTr="00BC72B0">
        <w:trPr>
          <w:trHeight w:val="5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BC72B0">
        <w:trPr>
          <w:trHeight w:val="695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BC72B0">
        <w:trPr>
          <w:trHeight w:val="482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0600D7">
        <w:trPr>
          <w:trHeight w:val="482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0600D7" w:rsidRPr="0074074E" w14:paraId="4574881E" w14:textId="77777777" w:rsidTr="000600D7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2CC62AB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53354BEE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335,386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53BA994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$192,608.1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9E34C4">
        <w:trPr>
          <w:trHeight w:val="988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DB51F72" w14:textId="77777777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  <w:p w14:paraId="48841BB3" w14:textId="71930EF3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– </w:t>
            </w:r>
            <w:r w:rsidR="0011764E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diciembre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22585981" w14:textId="0F278037" w:rsidR="004A7997" w:rsidRPr="006B3C4D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B3C4D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D97633" w:rsidRPr="00AA23E8" w14:paraId="442CEC17" w14:textId="77777777" w:rsidTr="00D97633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31C26D15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329,103</w:t>
            </w:r>
          </w:p>
        </w:tc>
      </w:tr>
      <w:tr w:rsidR="00D97633" w:rsidRPr="00AA23E8" w14:paraId="21BAAE51" w14:textId="77777777" w:rsidTr="00D97633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3F0E639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$3,117,798.5</w:t>
            </w:r>
          </w:p>
        </w:tc>
      </w:tr>
      <w:tr w:rsidR="00D97633" w:rsidRPr="00AA23E8" w14:paraId="48679524" w14:textId="77777777" w:rsidTr="00D97633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31710895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329,103</w:t>
            </w:r>
          </w:p>
        </w:tc>
      </w:tr>
      <w:tr w:rsidR="00D97633" w:rsidRPr="00AA23E8" w14:paraId="435141CB" w14:textId="77777777" w:rsidTr="00D97633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6915A1E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1,575,325</w:t>
            </w:r>
          </w:p>
        </w:tc>
      </w:tr>
      <w:tr w:rsidR="00D97633" w:rsidRPr="00AA23E8" w14:paraId="2D92959F" w14:textId="77777777" w:rsidTr="00D97633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02207F4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147,177</w:t>
            </w:r>
          </w:p>
        </w:tc>
      </w:tr>
      <w:tr w:rsidR="00D97633" w:rsidRPr="00AA23E8" w14:paraId="185D9FD1" w14:textId="77777777" w:rsidTr="00D97633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3127495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$1,574,309.2</w:t>
            </w:r>
          </w:p>
        </w:tc>
      </w:tr>
      <w:tr w:rsidR="00D97633" w:rsidRPr="00AA23E8" w14:paraId="58D194BD" w14:textId="77777777" w:rsidTr="00D97633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42046E5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335,386</w:t>
            </w:r>
          </w:p>
        </w:tc>
      </w:tr>
      <w:tr w:rsidR="00D97633" w:rsidRPr="00AA23E8" w14:paraId="2DA6686A" w14:textId="77777777" w:rsidTr="00D97633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58B3837B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$192,608.1</w:t>
            </w:r>
          </w:p>
        </w:tc>
      </w:tr>
      <w:tr w:rsidR="00D97633" w:rsidRPr="00AA23E8" w14:paraId="21F0EAA0" w14:textId="77777777" w:rsidTr="00D97633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06CAE758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92,087</w:t>
            </w:r>
          </w:p>
        </w:tc>
      </w:tr>
      <w:tr w:rsidR="00D97633" w:rsidRPr="00AA23E8" w14:paraId="6BEB8845" w14:textId="77777777" w:rsidTr="00D97633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44908E6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$1,109,377.5</w:t>
            </w:r>
          </w:p>
        </w:tc>
      </w:tr>
      <w:tr w:rsidR="007C0317" w:rsidRPr="00AA23E8" w14:paraId="7E40B966" w14:textId="77777777" w:rsidTr="009E34C4">
        <w:trPr>
          <w:trHeight w:val="465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0E0489" w:rsidRDefault="007C0317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D97633" w:rsidRPr="00AA23E8" w14:paraId="50EE7585" w14:textId="77777777" w:rsidTr="00D97633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4B32143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92,087</w:t>
            </w:r>
          </w:p>
        </w:tc>
      </w:tr>
      <w:tr w:rsidR="00D97633" w:rsidRPr="00AA23E8" w14:paraId="514A705E" w14:textId="77777777" w:rsidTr="00D97633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6A36EEC0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91,520</w:t>
            </w:r>
          </w:p>
        </w:tc>
      </w:tr>
      <w:tr w:rsidR="00D97633" w:rsidRPr="00AA23E8" w14:paraId="291BFDF3" w14:textId="77777777" w:rsidTr="00D97633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2FE62329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567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0C21A0" w14:paraId="522304BA" w14:textId="77777777" w:rsidTr="009E34C4">
        <w:trPr>
          <w:trHeight w:val="89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1F21977" w14:textId="77777777" w:rsidR="004A7997" w:rsidRPr="000C21A0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  <w:p w14:paraId="4FC7B89B" w14:textId="01B77F24" w:rsidR="004A7997" w:rsidRPr="000C21A0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11764E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diciembre</w:t>
            </w: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2018 – 2022</w:t>
            </w:r>
          </w:p>
          <w:p w14:paraId="3A89C3A3" w14:textId="3C01EC00" w:rsidR="004A7997" w:rsidRPr="000C21A0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7C0317" w:rsidRPr="000C21A0" w14:paraId="237B887F" w14:textId="77777777" w:rsidTr="00D97633">
        <w:trPr>
          <w:trHeight w:val="447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</w:tr>
      <w:tr w:rsidR="00D97633" w:rsidRPr="000C21A0" w14:paraId="10FA23E1" w14:textId="77777777" w:rsidTr="00D97633">
        <w:trPr>
          <w:trHeight w:val="44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12289955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$151,512.9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1E70C757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$156,023.8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6C360E0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$141,916.1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506C296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$178,640.6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4EC62374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$186,449.1</w:t>
            </w:r>
          </w:p>
        </w:tc>
      </w:tr>
      <w:tr w:rsidR="00D97633" w:rsidRPr="000C21A0" w14:paraId="5BA2D63E" w14:textId="77777777" w:rsidTr="00D97633">
        <w:trPr>
          <w:trHeight w:val="44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2E9DACC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$14.8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1C70D347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$16.2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B4ABB8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$5.0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5ABC2B5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$16.0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69E1CF98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$10.2</w:t>
            </w:r>
          </w:p>
        </w:tc>
      </w:tr>
      <w:tr w:rsidR="00D97633" w:rsidRPr="000C21A0" w14:paraId="58A5C565" w14:textId="77777777" w:rsidTr="00D97633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D97633" w:rsidRPr="000C21A0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0C71F93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5,189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1B16C3B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6,366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5F56BEA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4,925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6AF51B0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7,503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12994EC4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7,926</w:t>
            </w:r>
          </w:p>
        </w:tc>
      </w:tr>
      <w:tr w:rsidR="00D97633" w:rsidRPr="000C21A0" w14:paraId="3B0E9923" w14:textId="77777777" w:rsidTr="00D97633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35D5ACF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$87,843.2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162D991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$115,831.9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0A4E33FC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$97,419.8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5B842D8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$160,959.1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0D045B45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$177,965.1</w:t>
            </w:r>
          </w:p>
        </w:tc>
      </w:tr>
      <w:tr w:rsidR="00D97633" w:rsidRPr="000C21A0" w14:paraId="4CFA1496" w14:textId="77777777" w:rsidTr="00D97633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32FE368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649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4A5A5A5B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865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1E3FB7B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866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561B01D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2,082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080C708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2,162</w:t>
            </w:r>
          </w:p>
        </w:tc>
      </w:tr>
      <w:tr w:rsidR="00D97633" w:rsidRPr="000C21A0" w14:paraId="023228F2" w14:textId="77777777" w:rsidTr="00D97633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52F72DD0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$20,604.5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36E11E8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$29,387.5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32BA38FF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$34,271.0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262CFDE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$70,776.9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1DC5EA30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$73,997.4</w:t>
            </w:r>
          </w:p>
        </w:tc>
      </w:tr>
      <w:tr w:rsidR="00D97633" w:rsidRPr="000C21A0" w14:paraId="47A9848B" w14:textId="77777777" w:rsidTr="00D97633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7C0ED228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3,299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47597E19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4,290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00EEAB74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2,543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6F3295D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3,798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6506119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4,109</w:t>
            </w:r>
          </w:p>
        </w:tc>
      </w:tr>
      <w:tr w:rsidR="00D97633" w:rsidRPr="000C21A0" w14:paraId="6B9AA9A9" w14:textId="77777777" w:rsidTr="00D97633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1DAF3DC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$52,880.7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68C41F0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$72,140.1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0BFA6490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$45,091.3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6F9D832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$69,683.4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4990AD5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$80,408.3</w:t>
            </w:r>
          </w:p>
        </w:tc>
      </w:tr>
      <w:tr w:rsidR="00D97633" w:rsidRPr="000C21A0" w14:paraId="4E91A0DB" w14:textId="77777777" w:rsidTr="00D97633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18F181A5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798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28E98396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640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732EBED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1,220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4794DF0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1,231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5DD1AB57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1,235</w:t>
            </w:r>
          </w:p>
        </w:tc>
      </w:tr>
      <w:tr w:rsidR="00D97633" w:rsidRPr="000C21A0" w14:paraId="6B03733B" w14:textId="77777777" w:rsidTr="00D97633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586B5AAD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$8,646.3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0DD8640D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$6,703.2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5AE48FC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$14,216.9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7C942CE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$14,808.8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28846F8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$16,413.3</w:t>
            </w:r>
          </w:p>
        </w:tc>
      </w:tr>
      <w:tr w:rsidR="00D97633" w:rsidRPr="000C21A0" w14:paraId="178799FD" w14:textId="77777777" w:rsidTr="00D97633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53F71B0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443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2A5A9D4E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571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5CAE2EE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296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2115ABA1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392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7D93FA7C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420</w:t>
            </w:r>
          </w:p>
        </w:tc>
      </w:tr>
      <w:tr w:rsidR="00D97633" w:rsidRPr="000C21A0" w14:paraId="23DDDA21" w14:textId="77777777" w:rsidTr="00D97633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D97633" w:rsidRPr="000C21A0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03E4DA35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$5,711.7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2D81A002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$7,601.0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30BEB6FD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$3,840.5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5D0709B4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$5,690.1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567490CF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$7,146.1</w:t>
            </w:r>
          </w:p>
        </w:tc>
      </w:tr>
    </w:tbl>
    <w:p w14:paraId="14667FB6" w14:textId="423FDB61" w:rsidR="004D64D2" w:rsidRPr="00FB1D2A" w:rsidRDefault="00B1628D" w:rsidP="00EB7BB1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4A7997">
        <w:trPr>
          <w:trHeight w:val="849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55B16C7" w14:textId="77777777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</w:p>
          <w:bookmarkEnd w:id="0"/>
          <w:p w14:paraId="02859AC7" w14:textId="33A761ED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11764E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diciembre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CE5C83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D97633" w:rsidRPr="00AA23E8" w14:paraId="47216A99" w14:textId="77777777" w:rsidTr="00D97633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155134D4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$1,014,224.5</w:t>
            </w:r>
          </w:p>
        </w:tc>
      </w:tr>
      <w:tr w:rsidR="00D97633" w:rsidRPr="00AA23E8" w14:paraId="3F593B74" w14:textId="77777777" w:rsidTr="00D97633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140E737A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$417,159.5</w:t>
            </w:r>
          </w:p>
        </w:tc>
      </w:tr>
      <w:tr w:rsidR="00D97633" w:rsidRPr="00AA23E8" w14:paraId="10177DD1" w14:textId="77777777" w:rsidTr="00D97633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899FF00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$597,065.0</w:t>
            </w:r>
          </w:p>
        </w:tc>
      </w:tr>
      <w:tr w:rsidR="002C33A8" w:rsidRPr="00AA23E8" w14:paraId="41E81C31" w14:textId="77777777" w:rsidTr="005141ED">
        <w:trPr>
          <w:trHeight w:val="397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5141ED" w:rsidRDefault="002C33A8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D97633" w:rsidRPr="00AA23E8" w14:paraId="6897B252" w14:textId="77777777" w:rsidTr="00D97633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2D84692C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$130,742.9</w:t>
            </w:r>
          </w:p>
        </w:tc>
      </w:tr>
      <w:tr w:rsidR="00D97633" w:rsidRPr="00AA23E8" w14:paraId="142027BB" w14:textId="77777777" w:rsidTr="00D97633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29920D6C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$90,665.9</w:t>
            </w:r>
          </w:p>
        </w:tc>
      </w:tr>
      <w:tr w:rsidR="00D97633" w:rsidRPr="00AA23E8" w14:paraId="0532F775" w14:textId="77777777" w:rsidTr="00D97633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D97633" w:rsidRPr="00AA23E8" w:rsidRDefault="00D97633" w:rsidP="00D9763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69D33723" w:rsidR="00D97633" w:rsidRPr="00D97633" w:rsidRDefault="00D97633" w:rsidP="00D9763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97633">
              <w:rPr>
                <w:rFonts w:ascii="Museo Sans 100" w:hAnsi="Museo Sans 100"/>
                <w:sz w:val="16"/>
                <w:szCs w:val="16"/>
              </w:rPr>
              <w:t>$40,077.0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386716A5" w:rsidR="002B575F" w:rsidRPr="00E0208B" w:rsidRDefault="00D97633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65DC8830" wp14:editId="5FFFC67A">
            <wp:extent cx="4053385" cy="2634017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39149A08" w:rsidR="00EF315A" w:rsidRPr="00FB1D2A" w:rsidRDefault="00D97633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6665F993" wp14:editId="77253633">
            <wp:extent cx="3957851" cy="2129051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2\Sitio%20Web%20dic%202022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2\Sitio%20Web%20dic%20202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900"/>
            </a:pPr>
            <a:r>
              <a:rPr lang="es-SV"/>
              <a:t>AL MES DE 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DICIEMBRE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BA-4BB6-8A45-5C763ADE0096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BA-4BB6-8A45-5C763ADE0096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BA-4BB6-8A45-5C763ADE0096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BA-4BB6-8A45-5C763ADE0096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BA-4BB6-8A45-5C763ADE0096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BA-4BB6-8A45-5C763ADE0096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BA-4BB6-8A45-5C763ADE0096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BA-4BB6-8A45-5C763ADE00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2162</c:v>
                </c:pt>
                <c:pt idx="1">
                  <c:v>4109</c:v>
                </c:pt>
                <c:pt idx="2">
                  <c:v>1235</c:v>
                </c:pt>
                <c:pt idx="3">
                  <c:v>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BA-4BB6-8A45-5C763ADE0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GÉNERO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AL MES DE DICIEMBRE 2022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DICIEMBRE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30-41C2-9A02-2294B25517A2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30-41C2-9A02-2294B25517A2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0-41C2-9A02-2294B25517A2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30-41C2-9A02-2294B25517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none" lIns="0" tIns="0" rIns="0" bIns="0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4257</c:v>
                </c:pt>
                <c:pt idx="1">
                  <c:v>3669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30-41C2-9A02-2294B25517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100" b="0" i="0" u="none" strike="noStrike">
              <a:solidFill>
                <a:srgbClr val="000000"/>
              </a:solidFill>
              <a:latin typeface="Museo Sans 100"/>
            </a:rPr>
            <a:pPr algn="ctr"/>
            <a:t>Total 7,926 créditos</a:t>
          </a:fld>
          <a:endParaRPr lang="es-SV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280</cp:revision>
  <cp:lastPrinted>2020-10-28T16:23:00Z</cp:lastPrinted>
  <dcterms:created xsi:type="dcterms:W3CDTF">2020-06-09T06:03:00Z</dcterms:created>
  <dcterms:modified xsi:type="dcterms:W3CDTF">2023-01-26T20:25:00Z</dcterms:modified>
</cp:coreProperties>
</file>