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AFB9" w14:textId="77777777" w:rsidR="00694AC2" w:rsidRDefault="00694AC2" w:rsidP="00694AC2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CV-40/2022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miércoles nueve de noviembre del año 2022.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comprobada la asistencia del Consejo, 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CV-39/2022.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JD-170/2022 del 22 de septiembre del año 2022.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JD-171/2022 del 23 de septiembre del año 2022. </w:t>
      </w:r>
      <w:r>
        <w:rPr>
          <w:b/>
          <w:bCs/>
          <w:lang w:val="es-SV"/>
        </w:rPr>
        <w:t xml:space="preserve">V.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JD-172/2022 del 26 de septiembre del año 2022.  </w:t>
      </w:r>
      <w:r>
        <w:rPr>
          <w:b/>
          <w:lang w:val="es-SV"/>
        </w:rPr>
        <w:t>VI.</w:t>
      </w:r>
      <w:r>
        <w:rPr>
          <w:bCs/>
          <w:lang w:val="es-SV"/>
        </w:rPr>
        <w:t xml:space="preserve"> 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JD-173/2022 del 27 de septiembre del año 2022. </w:t>
      </w:r>
      <w:r>
        <w:rPr>
          <w:b/>
          <w:lang w:val="es-SV"/>
        </w:rPr>
        <w:t xml:space="preserve">VII.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JD-174/2022 del 28 de septiembre del año 2022.  </w:t>
      </w:r>
      <w:r>
        <w:rPr>
          <w:b/>
          <w:bCs/>
          <w:lang w:val="es-SV"/>
        </w:rPr>
        <w:t xml:space="preserve"> VIII. </w:t>
      </w:r>
      <w:r>
        <w:rPr>
          <w:bCs/>
          <w:lang w:val="es-SV"/>
        </w:rPr>
        <w:t xml:space="preserve">Gestión y Respuesta sobre Solicitudes Enviadas a la Administración.  </w:t>
      </w:r>
      <w:r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 xml:space="preserve">. </w:t>
      </w:r>
      <w:r>
        <w:rPr>
          <w:b/>
          <w:bCs/>
          <w:lang w:val="es-SV"/>
        </w:rPr>
        <w:t>X.</w:t>
      </w:r>
      <w:r>
        <w:rPr>
          <w:lang w:val="es-SV"/>
        </w:rPr>
        <w:t xml:space="preserve"> Correspondencia Recibida. </w:t>
      </w:r>
      <w:r>
        <w:rPr>
          <w:b/>
          <w:bCs/>
          <w:lang w:val="es-SV"/>
        </w:rPr>
        <w:t>XI.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CV-39/2022, de fecha 3 de noviembre del año 2022,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JD-170/2022 DEL 22 DE SEPTIEMBRE DEL AÑO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Aprobación de Préstamos Personales;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Solicitud de SITRAFOSVI;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Ajuste de Saldos Prescritos de la Cuenta Contable Garantía por Posibles Desperfectos de Construcción; </w:t>
      </w:r>
      <w:r>
        <w:rPr>
          <w:b/>
          <w:color w:val="000000"/>
          <w:lang w:val="es-SV"/>
        </w:rPr>
        <w:t>VII.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Solicitud del Señor Juan José Liévano Brizuela de Modificación Factibilidad del Proyecto Lotificación Las Dunas; </w:t>
      </w:r>
      <w:r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Autorización de Precios de Venta de Activos Extraordinarios; </w:t>
      </w:r>
      <w:r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Acuerdo de </w:t>
      </w:r>
      <w:r>
        <w:rPr>
          <w:bCs/>
          <w:color w:val="000000"/>
          <w:lang w:val="es-SV"/>
        </w:rPr>
        <w:lastRenderedPageBreak/>
        <w:t>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22 </w:t>
      </w:r>
      <w:r>
        <w:rPr>
          <w:rFonts w:eastAsia="Arial"/>
          <w:b/>
        </w:rPr>
        <w:t>solicitudes de crédito por un monto de $516,019.33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color w:val="000000"/>
          <w:lang w:val="es-SV"/>
        </w:rPr>
        <w:t>Aprobación de Préstamos Personales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 xml:space="preserve">Punto </w:t>
      </w:r>
      <w:r>
        <w:rPr>
          <w:b/>
          <w:color w:val="000000"/>
          <w:lang w:val="es-SV"/>
        </w:rPr>
        <w:t>V.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SITRAFOSVI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EL CONSEJO SE DA POR ENTERADO.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>Ajuste de Saldos Prescritos de la Cuenta Contable Garantía por Posibles Desperfectos de Construcción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Solicitud del Señor Juan José Liévano Brizuela de Modificación Factibilidad del Proyecto Lotificación Las Dunas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VIII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Autorización de Precios de Venta de Activos Extraordinarios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IX.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JD-171/2022 DEL 23 DE SEPTIEMBRE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37 </w:t>
      </w:r>
      <w:r>
        <w:rPr>
          <w:rFonts w:eastAsia="Arial"/>
          <w:b/>
        </w:rPr>
        <w:t xml:space="preserve">solicitudes de crédito por un monto de $633,943.01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JD-172/2022 DEL 26 DE SEPTIEMBRE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33 </w:t>
      </w:r>
      <w:r>
        <w:rPr>
          <w:rFonts w:eastAsia="Arial"/>
          <w:b/>
        </w:rPr>
        <w:t xml:space="preserve">solicitudes de crédito por un monto de $767,716.93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 xml:space="preserve">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JD-173/2022 DEL 27 DE SEPTIEMBRE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</w:t>
      </w:r>
      <w:r>
        <w:rPr>
          <w:color w:val="000000"/>
          <w:lang w:val="es-SV"/>
        </w:rPr>
        <w:lastRenderedPageBreak/>
        <w:t xml:space="preserve">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37 </w:t>
      </w:r>
      <w:r>
        <w:rPr>
          <w:rFonts w:eastAsia="Arial"/>
          <w:b/>
        </w:rPr>
        <w:t xml:space="preserve">solicitudes de crédito por un monto de $842,783.66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JD-174/2022 DEL 28 DE SEPTIEMBRE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35 </w:t>
      </w:r>
      <w:r>
        <w:rPr>
          <w:rFonts w:eastAsia="Arial"/>
          <w:b/>
        </w:rPr>
        <w:t xml:space="preserve">solicitudes de crédito por un monto de $693,899.08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VIII. </w:t>
      </w:r>
      <w:r>
        <w:rPr>
          <w:b/>
          <w:color w:val="000000"/>
          <w:lang w:val="es-SV"/>
        </w:rPr>
        <w:t xml:space="preserve">GESTIÓN Y RESPUESTA SOBRE SOLICITUDES ENVIADAS A LA ADMINISTRACIÓN. En el presente punto se conoció sobre las solicitudes realizadas y el seguimiento de </w:t>
      </w:r>
      <w:proofErr w:type="gramStart"/>
      <w:r>
        <w:rPr>
          <w:b/>
          <w:color w:val="000000"/>
          <w:lang w:val="es-SV"/>
        </w:rPr>
        <w:t>las mismas</w:t>
      </w:r>
      <w:proofErr w:type="gramEnd"/>
      <w:r>
        <w:rPr>
          <w:b/>
          <w:color w:val="000000"/>
          <w:lang w:val="es-SV"/>
        </w:rPr>
        <w:t xml:space="preserve">. IX. 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 xml:space="preserve">.  </w:t>
      </w:r>
      <w:r>
        <w:rPr>
          <w:b/>
          <w:bCs/>
          <w:lang w:val="es-SV"/>
        </w:rPr>
        <w:t>X. CORRESPONDENCIA RECIBIDA. 1) Se recibe memorándum de fecha 1 de noviembre de 2022, suscrito por el Licenciado Luis Josué Ventura Hernández, Gerente General, Referencia: G.G.020/22, Asunto Respuesta de Memorando C.V. 13/22, relacionado a Sentencia Sala de lo Contencioso Administrativo,  2) Se recibe memorándum de fecha 31 de octubre de 2022, suscrito por el Licenciado Luis Josué Ventura Hernández Gerente General, Referencia: G.G.019/22, Asunto Respuesta a Memorando C.V. 14/22, relacionado al acuerdo a), punto IV), Sesión JD-156/2022. EL CONSEJO AGRADECE LA COMUNICACIÓN REALIZADA. XI. VARIOS. No hubo puntos que tratar en el presente punto.</w:t>
      </w:r>
      <w:r>
        <w:rPr>
          <w:lang w:val="es-SV"/>
        </w:rPr>
        <w:t xml:space="preserve">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17 de noviembre del año 2022,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once horas con cuarenta y uno minutos, ratificamos su contenido y firmamos.</w:t>
      </w:r>
    </w:p>
    <w:p w14:paraId="007C2274" w14:textId="77777777" w:rsidR="00694AC2" w:rsidRDefault="00694AC2" w:rsidP="00694AC2">
      <w:pPr>
        <w:spacing w:line="360" w:lineRule="auto"/>
        <w:jc w:val="both"/>
        <w:rPr>
          <w:sz w:val="22"/>
          <w:lang w:val="es-SV"/>
        </w:rPr>
      </w:pPr>
    </w:p>
    <w:p w14:paraId="0285C3AB" w14:textId="790069B7" w:rsidR="00D72C80" w:rsidRPr="005574F9" w:rsidRDefault="005574F9" w:rsidP="005574F9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Yasmine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Jesús Amado Campos Sánchez.</w:t>
      </w:r>
    </w:p>
    <w:sectPr w:rsidR="00D72C80" w:rsidRPr="005574F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F26A" w14:textId="77777777" w:rsidR="005574F9" w:rsidRDefault="005574F9" w:rsidP="005574F9">
      <w:r>
        <w:separator/>
      </w:r>
    </w:p>
  </w:endnote>
  <w:endnote w:type="continuationSeparator" w:id="0">
    <w:p w14:paraId="1DC14B65" w14:textId="77777777" w:rsidR="005574F9" w:rsidRDefault="005574F9" w:rsidP="0055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DED4" w14:textId="77777777" w:rsidR="005574F9" w:rsidRDefault="005574F9" w:rsidP="005574F9">
      <w:r>
        <w:separator/>
      </w:r>
    </w:p>
  </w:footnote>
  <w:footnote w:type="continuationSeparator" w:id="0">
    <w:p w14:paraId="6FCAF66B" w14:textId="77777777" w:rsidR="005574F9" w:rsidRDefault="005574F9" w:rsidP="0055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BD3D" w14:textId="7CAAF82C" w:rsidR="005574F9" w:rsidRPr="000843BF" w:rsidRDefault="005574F9" w:rsidP="005574F9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9EAAD38" w14:textId="77777777" w:rsidR="005574F9" w:rsidRPr="000843BF" w:rsidRDefault="005574F9" w:rsidP="005574F9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1F62BE82" w14:textId="65D6CE08" w:rsidR="005574F9" w:rsidRDefault="005574F9">
    <w:pPr>
      <w:pStyle w:val="Encabezado"/>
    </w:pPr>
  </w:p>
  <w:p w14:paraId="50DD37DB" w14:textId="77777777" w:rsidR="005574F9" w:rsidRDefault="005574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75"/>
    <w:rsid w:val="00500975"/>
    <w:rsid w:val="005574F9"/>
    <w:rsid w:val="00694AC2"/>
    <w:rsid w:val="00D7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113E1"/>
  <w15:chartTrackingRefBased/>
  <w15:docId w15:val="{A8FAE3FD-A237-4393-B582-DED25DCF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4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74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4F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1167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2022-12-08T17:36:00Z</dcterms:created>
  <dcterms:modified xsi:type="dcterms:W3CDTF">2022-12-08T18:05:00Z</dcterms:modified>
</cp:coreProperties>
</file>