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5F5F" w14:textId="77777777" w:rsidR="002459CC" w:rsidRDefault="002459CC" w:rsidP="002459CC">
      <w:pPr>
        <w:spacing w:line="360" w:lineRule="auto"/>
        <w:jc w:val="both"/>
        <w:rPr>
          <w:lang w:val="es-SV"/>
        </w:rPr>
      </w:pPr>
      <w:r>
        <w:rPr>
          <w:b/>
          <w:bCs/>
          <w:lang w:val="es-SV"/>
        </w:rPr>
        <w:t>ACTA No. CV-21/2022</w:t>
      </w:r>
      <w:r>
        <w:rPr>
          <w:lang w:val="es-SV"/>
        </w:rPr>
        <w:t xml:space="preserve">.  </w:t>
      </w:r>
      <w:r>
        <w:rPr>
          <w:sz w:val="22"/>
          <w:lang w:val="es-SV"/>
        </w:rPr>
        <w:t>E</w:t>
      </w:r>
      <w:r>
        <w:rPr>
          <w:lang w:val="es-SV"/>
        </w:rPr>
        <w:t>n la ciudad de San Salvador, a las once horas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 xml:space="preserve">del miércoles 22 de junio del año 2022. Se realizó la reunión de los señores Miembros del Consejo de Vigilancia a la cual asistieron de manera presencial: la </w:t>
      </w:r>
      <w:r>
        <w:rPr>
          <w:color w:val="000000" w:themeColor="text1"/>
          <w:lang w:val="es-SV"/>
        </w:rPr>
        <w:t>Licenciada</w:t>
      </w:r>
      <w:r>
        <w:rPr>
          <w:b/>
          <w:bCs/>
          <w:color w:val="000000" w:themeColor="text1"/>
          <w:lang w:val="es-SV"/>
        </w:rPr>
        <w:t xml:space="preserve"> BERTHA ALICIA SANTACRUZ DE ESCOBAR</w:t>
      </w:r>
      <w:r>
        <w:rPr>
          <w:color w:val="000000" w:themeColor="text1"/>
          <w:lang w:val="es-SV"/>
        </w:rPr>
        <w:t>,</w:t>
      </w:r>
      <w:r>
        <w:t xml:space="preserve"> nombrada por el Ministerio de Vivienda, quien ejerce el cargo de Presidenta</w:t>
      </w:r>
      <w:r>
        <w:rPr>
          <w:color w:val="000000" w:themeColor="text1"/>
        </w:rPr>
        <w:t xml:space="preserve">, </w:t>
      </w:r>
      <w:r>
        <w:rPr>
          <w:lang w:val="es-SV"/>
        </w:rPr>
        <w:t xml:space="preserve">según el artículo treinta  y nueve de la Ley y Reglamento Básico del FSV y Licenciada </w:t>
      </w:r>
      <w:r>
        <w:rPr>
          <w:b/>
          <w:bCs/>
          <w:lang w:val="es-SV"/>
        </w:rPr>
        <w:t>YASMINE ROXVENI CALDERÓN GONZÁLEZ</w:t>
      </w:r>
      <w:r>
        <w:rPr>
          <w:bCs/>
          <w:lang w:val="es-SV"/>
        </w:rPr>
        <w:t>,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Secretaria, nombrada por el Ministerio de Trabajo y Previsión Social, (en forma virtual), ambas en representación del </w:t>
      </w:r>
      <w:r>
        <w:rPr>
          <w:b/>
          <w:lang w:val="es-SV"/>
        </w:rPr>
        <w:t>SECTOR PÚBLICO</w:t>
      </w:r>
      <w:r>
        <w:rPr>
          <w:lang w:val="es-SV"/>
        </w:rPr>
        <w:t>;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el Licenciado </w:t>
      </w:r>
      <w:r>
        <w:rPr>
          <w:b/>
          <w:bCs/>
          <w:lang w:val="es-SV"/>
        </w:rPr>
        <w:t>JESÚS AMADO CAMPOS SÁNCHEZ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PATRONAL</w:t>
      </w:r>
      <w:r>
        <w:rPr>
          <w:bCs/>
          <w:lang w:val="es-SV"/>
        </w:rPr>
        <w:t>;</w:t>
      </w:r>
      <w:r>
        <w:rPr>
          <w:lang w:val="es-SV"/>
        </w:rPr>
        <w:t xml:space="preserve"> el señor </w:t>
      </w:r>
      <w:r>
        <w:rPr>
          <w:b/>
          <w:lang w:val="es-SV"/>
        </w:rPr>
        <w:t xml:space="preserve">RAÚL ALFONSO ROGEL PEÑA,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LABORAL</w:t>
      </w:r>
      <w:r>
        <w:rPr>
          <w:lang w:val="es-SV"/>
        </w:rPr>
        <w:t xml:space="preserve">; comprobada la asistencia del Consejo,  la </w:t>
      </w:r>
      <w:r>
        <w:rPr>
          <w:color w:val="000000" w:themeColor="text1"/>
          <w:lang w:val="es-SV"/>
        </w:rPr>
        <w:t>Licenciada Bertha Alicia Santacruz de Escobar</w:t>
      </w:r>
      <w:r>
        <w:rPr>
          <w:lang w:val="es-SV"/>
        </w:rPr>
        <w:t>, Presidenta; declara  abierta  la sesión y somete a consideración de los demás Miembros la agenda siguiente:</w:t>
      </w:r>
      <w:r>
        <w:t xml:space="preserve">  </w:t>
      </w:r>
      <w:r>
        <w:rPr>
          <w:b/>
          <w:lang w:val="es-SV"/>
        </w:rPr>
        <w:t>I.</w:t>
      </w:r>
      <w:r>
        <w:rPr>
          <w:lang w:val="es-SV"/>
        </w:rPr>
        <w:t xml:space="preserve">  Aprobación de Agenda.  </w:t>
      </w:r>
      <w:r>
        <w:rPr>
          <w:b/>
          <w:lang w:val="es-SV"/>
        </w:rPr>
        <w:t>II.</w:t>
      </w:r>
      <w:r>
        <w:rPr>
          <w:lang w:val="es-SV"/>
        </w:rPr>
        <w:t xml:space="preserve"> Lectura y Aprobación del Acta Anterior No. CV-20/2022. </w:t>
      </w:r>
      <w:r>
        <w:rPr>
          <w:b/>
          <w:lang w:val="es-SV"/>
        </w:rPr>
        <w:t xml:space="preserve">III.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Ordinaria de Asamblea de Gobernadores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AG-178/2022 del 29 de marzo del año 2022.  </w:t>
      </w:r>
      <w:r>
        <w:rPr>
          <w:b/>
          <w:bCs/>
          <w:lang w:val="es-SV"/>
        </w:rPr>
        <w:t xml:space="preserve">IV.  </w:t>
      </w:r>
      <w:r>
        <w:rPr>
          <w:lang w:val="es-SV"/>
        </w:rPr>
        <w:t xml:space="preserve">Gestión y Repuesta sobre Solicitudes Enviadas a la Administración. </w:t>
      </w:r>
      <w:r>
        <w:rPr>
          <w:b/>
          <w:bCs/>
          <w:lang w:val="es-SV"/>
        </w:rPr>
        <w:t xml:space="preserve">V. </w:t>
      </w:r>
      <w:r>
        <w:rPr>
          <w:lang w:val="es-SV"/>
        </w:rPr>
        <w:t>Acuerdos de Resolución sobre Información Reservada de esta Sesión</w:t>
      </w:r>
      <w:r>
        <w:rPr>
          <w:b/>
          <w:lang w:val="es-SV"/>
        </w:rPr>
        <w:t>.</w:t>
      </w:r>
      <w:r>
        <w:rPr>
          <w:lang w:val="es-SV"/>
        </w:rPr>
        <w:t xml:space="preserve">  </w:t>
      </w:r>
      <w:r>
        <w:rPr>
          <w:b/>
          <w:bCs/>
          <w:lang w:val="es-SV"/>
        </w:rPr>
        <w:t xml:space="preserve">VI. </w:t>
      </w:r>
      <w:r>
        <w:rPr>
          <w:lang w:val="es-SV"/>
        </w:rPr>
        <w:t xml:space="preserve">Varios. </w:t>
      </w:r>
      <w:r>
        <w:rPr>
          <w:b/>
          <w:lang w:val="es-SV"/>
        </w:rPr>
        <w:t>DESARROLLO</w:t>
      </w:r>
      <w:r>
        <w:rPr>
          <w:lang w:val="es-SV"/>
        </w:rPr>
        <w:t xml:space="preserve">: </w:t>
      </w:r>
      <w:r>
        <w:rPr>
          <w:b/>
          <w:lang w:val="es-SV"/>
        </w:rPr>
        <w:t xml:space="preserve">I. APROBACIÓN DE AGENDA. </w:t>
      </w:r>
      <w:r>
        <w:rPr>
          <w:lang w:val="es-SV"/>
        </w:rPr>
        <w:t xml:space="preserve"> La agenda fue aprobada tal como aparece redactada.  </w:t>
      </w:r>
      <w:r>
        <w:rPr>
          <w:b/>
          <w:lang w:val="es-SV"/>
        </w:rPr>
        <w:t>II. LECTURA Y APROBACIÓN DEL ACTA ANTERIOR.</w:t>
      </w:r>
      <w:r>
        <w:rPr>
          <w:lang w:val="es-SV"/>
        </w:rPr>
        <w:t xml:space="preserve">  Se dio lectura al Acta CV-20/2022, de fecha 15 de junio del año 2022, la cual fue aprobada.  </w:t>
      </w:r>
      <w:r>
        <w:rPr>
          <w:b/>
          <w:lang w:val="es-SV"/>
        </w:rPr>
        <w:t xml:space="preserve">III. ANÁLISIS </w:t>
      </w:r>
      <w:r>
        <w:rPr>
          <w:b/>
          <w:bCs/>
          <w:lang w:val="es-SV"/>
        </w:rPr>
        <w:t xml:space="preserve">ACTA DE SESIÓN ORDINARIA DE ASAMBLEA DE GOBERNADORES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AG-178/2022 DEL 29 DE MARZO DEL AÑO 2022.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bCs/>
          <w:color w:val="000000"/>
          <w:lang w:val="es-SV"/>
        </w:rPr>
        <w:t>1.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Comprobación de Quorum</w:t>
      </w:r>
      <w:r>
        <w:rPr>
          <w:color w:val="000000"/>
          <w:lang w:val="es-SV"/>
        </w:rPr>
        <w:t xml:space="preserve">; </w:t>
      </w:r>
      <w:r>
        <w:rPr>
          <w:b/>
          <w:bCs/>
          <w:color w:val="000000"/>
          <w:lang w:val="es-SV"/>
        </w:rPr>
        <w:t>2.</w:t>
      </w:r>
      <w:r>
        <w:rPr>
          <w:b/>
          <w:color w:val="000000"/>
          <w:lang w:val="es-SV"/>
        </w:rPr>
        <w:t xml:space="preserve">  </w:t>
      </w:r>
      <w:r>
        <w:rPr>
          <w:bCs/>
          <w:color w:val="000000"/>
          <w:lang w:val="es-SV"/>
        </w:rPr>
        <w:t>Apro</w:t>
      </w:r>
      <w:r>
        <w:rPr>
          <w:color w:val="000000"/>
          <w:lang w:val="es-SV"/>
        </w:rPr>
        <w:t xml:space="preserve">bación de Agenda; </w:t>
      </w:r>
      <w:r>
        <w:rPr>
          <w:b/>
          <w:bCs/>
          <w:color w:val="000000"/>
          <w:lang w:val="es-SV"/>
        </w:rPr>
        <w:t>3.</w:t>
      </w:r>
      <w:r>
        <w:rPr>
          <w:color w:val="000000"/>
          <w:lang w:val="es-SV"/>
        </w:rPr>
        <w:t xml:space="preserve">  Aprobación de Acta Anterior; </w:t>
      </w:r>
      <w:r>
        <w:rPr>
          <w:b/>
          <w:bCs/>
          <w:color w:val="000000"/>
          <w:lang w:val="es-SV"/>
        </w:rPr>
        <w:t>4.</w:t>
      </w:r>
      <w:r>
        <w:rPr>
          <w:color w:val="000000"/>
          <w:lang w:val="es-SV"/>
        </w:rPr>
        <w:t xml:space="preserve"> Presentación de Estados Financieros 2021; </w:t>
      </w:r>
      <w:r>
        <w:rPr>
          <w:b/>
          <w:bCs/>
          <w:color w:val="000000"/>
          <w:lang w:val="es-SV"/>
        </w:rPr>
        <w:t>5.</w:t>
      </w:r>
      <w:r>
        <w:rPr>
          <w:bCs/>
          <w:color w:val="000000"/>
          <w:lang w:val="es-SV"/>
        </w:rPr>
        <w:t xml:space="preserve"> Decisión sobre Resultados Ejercicio 2021; </w:t>
      </w:r>
      <w:r>
        <w:rPr>
          <w:b/>
          <w:color w:val="000000"/>
          <w:lang w:val="es-SV"/>
        </w:rPr>
        <w:t xml:space="preserve">6.  </w:t>
      </w:r>
      <w:r>
        <w:rPr>
          <w:bCs/>
          <w:color w:val="000000"/>
          <w:lang w:val="es-SV"/>
        </w:rPr>
        <w:t>Liquidación de Presupuesto de Ingresos y Egresos 2021;</w:t>
      </w:r>
      <w:r>
        <w:rPr>
          <w:b/>
          <w:color w:val="000000"/>
          <w:lang w:val="es-SV"/>
        </w:rPr>
        <w:t xml:space="preserve"> 7. </w:t>
      </w:r>
      <w:r>
        <w:rPr>
          <w:bCs/>
          <w:color w:val="000000"/>
          <w:lang w:val="es-SV"/>
        </w:rPr>
        <w:t xml:space="preserve">Informe del Auditor Externo 2021; </w:t>
      </w:r>
      <w:r>
        <w:rPr>
          <w:b/>
          <w:color w:val="000000"/>
          <w:lang w:val="es-SV"/>
        </w:rPr>
        <w:t xml:space="preserve">8.  </w:t>
      </w:r>
      <w:r>
        <w:rPr>
          <w:bCs/>
          <w:color w:val="000000"/>
          <w:lang w:val="es-SV"/>
        </w:rPr>
        <w:t>Modificación a Política de Reserva para Cartera Vencida y Cartera Refinanciada;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9.</w:t>
      </w:r>
      <w:r>
        <w:rPr>
          <w:color w:val="000000"/>
          <w:lang w:val="es-SV"/>
        </w:rPr>
        <w:t xml:space="preserve"> Informe de Residencial Santa Lucía; </w:t>
      </w:r>
      <w:r>
        <w:rPr>
          <w:b/>
          <w:bCs/>
          <w:color w:val="000000"/>
          <w:lang w:val="es-SV"/>
        </w:rPr>
        <w:t>10.</w:t>
      </w:r>
      <w:r>
        <w:rPr>
          <w:color w:val="000000"/>
          <w:lang w:val="es-SV"/>
        </w:rPr>
        <w:t xml:space="preserve">  Informe sobre Programa de Vivienda Nueva en Condiciones Especiales; </w:t>
      </w:r>
      <w:r>
        <w:rPr>
          <w:b/>
          <w:bCs/>
          <w:color w:val="000000"/>
          <w:lang w:val="es-SV"/>
        </w:rPr>
        <w:t xml:space="preserve">11. </w:t>
      </w:r>
      <w:r>
        <w:rPr>
          <w:color w:val="000000"/>
          <w:lang w:val="es-SV"/>
        </w:rPr>
        <w:t xml:space="preserve">Pronunciamiento sobre Suficiencia de Reservas de Saneamiento de Cartera Hipotecaria al 31 de diciembre de 2021; </w:t>
      </w:r>
      <w:r>
        <w:rPr>
          <w:b/>
          <w:bCs/>
          <w:color w:val="000000"/>
          <w:lang w:val="es-SV"/>
        </w:rPr>
        <w:t>12.</w:t>
      </w:r>
      <w:r>
        <w:rPr>
          <w:color w:val="000000"/>
          <w:lang w:val="es-SV"/>
        </w:rPr>
        <w:t xml:space="preserve"> Memoria de Labores 2021; </w:t>
      </w:r>
      <w:r>
        <w:rPr>
          <w:b/>
          <w:bCs/>
          <w:color w:val="000000"/>
          <w:lang w:val="es-SV"/>
        </w:rPr>
        <w:t>13.</w:t>
      </w:r>
      <w:r>
        <w:rPr>
          <w:color w:val="000000"/>
          <w:lang w:val="es-SV"/>
        </w:rPr>
        <w:t xml:space="preserve"> Nombramiento de Directores del Sector Patronal; </w:t>
      </w:r>
      <w:r>
        <w:rPr>
          <w:b/>
          <w:bCs/>
          <w:color w:val="000000"/>
          <w:lang w:val="es-SV"/>
        </w:rPr>
        <w:t xml:space="preserve">14. </w:t>
      </w:r>
      <w:r>
        <w:rPr>
          <w:color w:val="000000"/>
          <w:lang w:val="es-SV"/>
        </w:rPr>
        <w:t>Carta del Sector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Laboral sobre Nombramiento de Directores;</w:t>
      </w:r>
      <w:r>
        <w:rPr>
          <w:b/>
          <w:bCs/>
          <w:color w:val="000000"/>
          <w:lang w:val="es-SV"/>
        </w:rPr>
        <w:t xml:space="preserve"> 15. </w:t>
      </w:r>
      <w:r>
        <w:rPr>
          <w:color w:val="000000"/>
          <w:lang w:val="es-SV"/>
        </w:rPr>
        <w:t xml:space="preserve">Seguimiento de Acuerdos; </w:t>
      </w:r>
      <w:r>
        <w:rPr>
          <w:b/>
          <w:bCs/>
          <w:color w:val="000000"/>
          <w:lang w:val="es-SV"/>
        </w:rPr>
        <w:t>16.</w:t>
      </w:r>
      <w:r>
        <w:rPr>
          <w:color w:val="000000"/>
          <w:lang w:val="es-SV"/>
        </w:rPr>
        <w:t xml:space="preserve"> Acuerdo de Resolución sobre Información Reservada de esta </w:t>
      </w:r>
      <w:r>
        <w:rPr>
          <w:color w:val="000000"/>
          <w:lang w:val="es-SV"/>
        </w:rPr>
        <w:lastRenderedPageBreak/>
        <w:t>Sesión.  Después de haber leído y analizado el contenido del acta este Consejo se da por recibido e informado</w:t>
      </w:r>
      <w:r>
        <w:rPr>
          <w:bCs/>
          <w:lang w:val="es-SV"/>
        </w:rPr>
        <w:t xml:space="preserve"> y con relación a los puntos siguientes: </w:t>
      </w:r>
      <w:r>
        <w:rPr>
          <w:b/>
          <w:bCs/>
          <w:lang w:val="es-SV"/>
        </w:rPr>
        <w:t>Punto 4</w:t>
      </w:r>
      <w:r>
        <w:rPr>
          <w:b/>
          <w:color w:val="000000"/>
          <w:lang w:val="es-SV"/>
        </w:rPr>
        <w:t xml:space="preserve">. </w:t>
      </w:r>
      <w:r>
        <w:rPr>
          <w:bCs/>
          <w:color w:val="000000"/>
          <w:lang w:val="es-SV"/>
        </w:rPr>
        <w:t>Presentación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de Estados Financieros 2021, </w:t>
      </w:r>
      <w:r>
        <w:rPr>
          <w:b/>
          <w:color w:val="000000"/>
          <w:lang w:val="es-SV"/>
        </w:rPr>
        <w:t xml:space="preserve">el Consejo se da por enterado. 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 </w:t>
      </w:r>
      <w:r>
        <w:rPr>
          <w:b/>
          <w:bCs/>
          <w:lang w:val="es-SV"/>
        </w:rPr>
        <w:t>Punto 5</w:t>
      </w:r>
      <w:r>
        <w:rPr>
          <w:b/>
          <w:color w:val="000000"/>
          <w:lang w:val="es-SV"/>
        </w:rPr>
        <w:t xml:space="preserve">. </w:t>
      </w:r>
      <w:r>
        <w:rPr>
          <w:bCs/>
          <w:color w:val="000000"/>
          <w:lang w:val="es-SV"/>
        </w:rPr>
        <w:t>Decisión sobre Resultados Ejercicio 2021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da por enterado. </w:t>
      </w:r>
      <w:r>
        <w:rPr>
          <w:color w:val="000000"/>
          <w:lang w:val="es-SV"/>
        </w:rPr>
        <w:t xml:space="preserve"> </w:t>
      </w:r>
      <w:r>
        <w:rPr>
          <w:b/>
          <w:bCs/>
          <w:lang w:val="es-SV"/>
        </w:rPr>
        <w:t>Punto</w:t>
      </w:r>
      <w:r>
        <w:rPr>
          <w:b/>
          <w:color w:val="000000"/>
          <w:lang w:val="es-SV"/>
        </w:rPr>
        <w:t xml:space="preserve"> 6.</w:t>
      </w:r>
      <w:r>
        <w:rPr>
          <w:color w:val="000000"/>
          <w:lang w:val="es-SV"/>
        </w:rPr>
        <w:t xml:space="preserve"> Liquidación de Presupuesto de Ingresos y Egresos 2021, </w:t>
      </w:r>
      <w:r>
        <w:rPr>
          <w:b/>
          <w:color w:val="000000"/>
          <w:lang w:val="es-SV"/>
        </w:rPr>
        <w:t xml:space="preserve">el Consejo se da por enterado. </w:t>
      </w:r>
      <w:r>
        <w:rPr>
          <w:color w:val="000000"/>
          <w:lang w:val="es-SV"/>
        </w:rPr>
        <w:t xml:space="preserve"> </w:t>
      </w:r>
      <w:r>
        <w:rPr>
          <w:b/>
          <w:bCs/>
          <w:lang w:val="es-SV"/>
        </w:rPr>
        <w:t>Punto</w:t>
      </w:r>
      <w:r>
        <w:rPr>
          <w:b/>
          <w:color w:val="000000"/>
          <w:lang w:val="es-SV"/>
        </w:rPr>
        <w:t xml:space="preserve"> 7. </w:t>
      </w:r>
      <w:r>
        <w:rPr>
          <w:bCs/>
          <w:color w:val="000000"/>
          <w:lang w:val="es-SV"/>
        </w:rPr>
        <w:t xml:space="preserve">Informe del Auditor Externo 2021, </w:t>
      </w:r>
      <w:r>
        <w:rPr>
          <w:b/>
          <w:color w:val="000000"/>
          <w:lang w:val="es-SV"/>
        </w:rPr>
        <w:t xml:space="preserve">el Consejo se da por enterado.  </w:t>
      </w:r>
      <w:r>
        <w:rPr>
          <w:b/>
          <w:bCs/>
          <w:lang w:val="es-SV"/>
        </w:rPr>
        <w:t>Punto</w:t>
      </w:r>
      <w:r>
        <w:rPr>
          <w:b/>
          <w:color w:val="000000"/>
          <w:lang w:val="es-SV"/>
        </w:rPr>
        <w:t xml:space="preserve"> 8. </w:t>
      </w:r>
      <w:r>
        <w:rPr>
          <w:bCs/>
          <w:color w:val="000000"/>
          <w:lang w:val="es-SV"/>
        </w:rPr>
        <w:t xml:space="preserve">Modificación a Política de Reserva para Cartera Vencida y Cartera Refinanciada, </w:t>
      </w:r>
      <w:r>
        <w:rPr>
          <w:b/>
          <w:color w:val="000000"/>
          <w:lang w:val="es-SV"/>
        </w:rPr>
        <w:t>el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Consejo se da por enterado.  Punto 9. </w:t>
      </w:r>
      <w:r>
        <w:rPr>
          <w:bCs/>
          <w:color w:val="000000"/>
          <w:lang w:val="es-SV"/>
        </w:rPr>
        <w:t xml:space="preserve">Informe de Residencial Santa Lucía, </w:t>
      </w:r>
      <w:r>
        <w:rPr>
          <w:b/>
          <w:color w:val="000000"/>
          <w:lang w:val="es-SV"/>
        </w:rPr>
        <w:t>el Consejo se da por enterado.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>
        <w:rPr>
          <w:b/>
          <w:bCs/>
          <w:lang w:val="es-SV"/>
        </w:rPr>
        <w:t>Punto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10. </w:t>
      </w:r>
      <w:r>
        <w:rPr>
          <w:bCs/>
          <w:color w:val="000000"/>
          <w:lang w:val="es-SV"/>
        </w:rPr>
        <w:t xml:space="preserve">Informe sobre Programa de Vivienda Nueva en Condiciones Especiales, </w:t>
      </w:r>
      <w:r>
        <w:rPr>
          <w:b/>
          <w:color w:val="000000"/>
          <w:lang w:val="es-SV"/>
        </w:rPr>
        <w:t xml:space="preserve">el Consejo se da por enterado. </w:t>
      </w:r>
      <w:r>
        <w:rPr>
          <w:b/>
          <w:bCs/>
          <w:lang w:val="es-SV"/>
        </w:rPr>
        <w:t xml:space="preserve"> Punto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11.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Pronunciamiento sobre Suficiencia de Reservas de Saneamiento de Cartera Hipotecaria al 31 de diciembre de 2021, </w:t>
      </w:r>
      <w:r>
        <w:rPr>
          <w:b/>
          <w:color w:val="000000"/>
          <w:lang w:val="es-SV"/>
        </w:rPr>
        <w:t xml:space="preserve">el Consejo se da por enterado. </w:t>
      </w:r>
      <w:r>
        <w:rPr>
          <w:b/>
          <w:bCs/>
          <w:lang w:val="es-SV"/>
        </w:rPr>
        <w:t>Punto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12.  </w:t>
      </w:r>
      <w:r>
        <w:rPr>
          <w:bCs/>
          <w:color w:val="000000"/>
          <w:lang w:val="es-SV"/>
        </w:rPr>
        <w:t>Memoria de Labores 2021,</w:t>
      </w:r>
      <w:r>
        <w:rPr>
          <w:b/>
          <w:color w:val="000000"/>
          <w:lang w:val="es-SV"/>
        </w:rPr>
        <w:t xml:space="preserve"> el Consejo se da por enterado.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Punto 13. </w:t>
      </w:r>
      <w:r>
        <w:rPr>
          <w:bCs/>
          <w:color w:val="000000"/>
          <w:lang w:val="es-SV"/>
        </w:rPr>
        <w:t xml:space="preserve">Nombramiento de </w:t>
      </w:r>
      <w:proofErr w:type="gramStart"/>
      <w:r>
        <w:rPr>
          <w:bCs/>
          <w:color w:val="000000"/>
          <w:lang w:val="es-SV"/>
        </w:rPr>
        <w:t>Directores</w:t>
      </w:r>
      <w:proofErr w:type="gramEnd"/>
      <w:r>
        <w:rPr>
          <w:bCs/>
          <w:color w:val="000000"/>
          <w:lang w:val="es-SV"/>
        </w:rPr>
        <w:t xml:space="preserve"> del Sector Patronal,</w:t>
      </w:r>
      <w:r>
        <w:rPr>
          <w:b/>
          <w:color w:val="000000"/>
          <w:lang w:val="es-SV"/>
        </w:rPr>
        <w:t xml:space="preserve"> el Consejo se da por enterado.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Punto 14. </w:t>
      </w:r>
      <w:r>
        <w:rPr>
          <w:bCs/>
          <w:color w:val="000000"/>
          <w:lang w:val="es-SV"/>
        </w:rPr>
        <w:t xml:space="preserve">Carta del Sector Laboral sobre Nombramiento de </w:t>
      </w:r>
      <w:proofErr w:type="gramStart"/>
      <w:r>
        <w:rPr>
          <w:bCs/>
          <w:color w:val="000000"/>
          <w:lang w:val="es-SV"/>
        </w:rPr>
        <w:t>Directores</w:t>
      </w:r>
      <w:proofErr w:type="gramEnd"/>
      <w:r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el Consejo se da por enterado.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Punto 15. </w:t>
      </w:r>
      <w:r>
        <w:rPr>
          <w:bCs/>
          <w:color w:val="000000"/>
          <w:lang w:val="es-SV"/>
        </w:rPr>
        <w:t>Seguimiento de Acuerdos,</w:t>
      </w:r>
      <w:r>
        <w:rPr>
          <w:b/>
          <w:color w:val="000000"/>
          <w:lang w:val="es-SV"/>
        </w:rPr>
        <w:t xml:space="preserve"> el Consejo se da por enterado.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Punto 16. </w:t>
      </w:r>
      <w:r>
        <w:rPr>
          <w:bCs/>
          <w:color w:val="000000"/>
          <w:lang w:val="es-SV"/>
        </w:rPr>
        <w:t>Acuerdo de Resolución sobre Información Reservada de esta Sesión</w:t>
      </w:r>
      <w:r>
        <w:rPr>
          <w:b/>
          <w:color w:val="000000"/>
          <w:lang w:val="es-SV"/>
        </w:rPr>
        <w:t>,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el Consejo se da por enterado. </w:t>
      </w:r>
      <w:r>
        <w:rPr>
          <w:b/>
          <w:bCs/>
          <w:lang w:val="es-SV"/>
        </w:rPr>
        <w:t>IV. GESTIÓN Y RESPUESTA SOBRE SOLICITUDES ENVIADAS A LA ADMINISTRACIÓN. La Gestión y Respuesta a Solitudes Enviadas a la administración, se encuentran en proceso, el Consejo acordó retomar este punto en la próxima sesión.</w:t>
      </w:r>
      <w:r>
        <w:rPr>
          <w:b/>
          <w:bCs/>
          <w:color w:val="FF0000"/>
          <w:lang w:val="es-SV"/>
        </w:rPr>
        <w:t xml:space="preserve"> </w:t>
      </w:r>
      <w:r>
        <w:rPr>
          <w:b/>
          <w:bCs/>
          <w:lang w:val="es-SV"/>
        </w:rPr>
        <w:t xml:space="preserve">V. </w:t>
      </w:r>
      <w:r>
        <w:rPr>
          <w:b/>
          <w:color w:val="000000"/>
          <w:lang w:val="es-SV"/>
        </w:rPr>
        <w:t>ACUERDOS DE RESOLUCIÓN SOBRE INFORMACIÓN RESERVADA DE ESTA SESIÓN,</w:t>
      </w:r>
      <w:r>
        <w:rPr>
          <w:b/>
          <w:color w:val="000000"/>
        </w:rPr>
        <w:t xml:space="preserve"> </w:t>
      </w:r>
      <w:r>
        <w:rPr>
          <w:b/>
          <w:color w:val="000000"/>
          <w:lang w:val="es-SV"/>
        </w:rPr>
        <w:t xml:space="preserve">el </w:t>
      </w:r>
      <w:r>
        <w:rPr>
          <w:b/>
          <w:bCs/>
          <w:iCs/>
          <w:lang w:val="es-SV"/>
        </w:rPr>
        <w:t>C</w:t>
      </w:r>
      <w:r>
        <w:rPr>
          <w:b/>
          <w:lang w:val="es-SV"/>
        </w:rPr>
        <w:t>onsejo de Vigilancia,</w:t>
      </w:r>
      <w:r>
        <w:rPr>
          <w:b/>
          <w:bCs/>
          <w:lang w:val="es-SV"/>
        </w:rPr>
        <w:t xml:space="preserve"> resuelve que en la presente Acta no hay puntos con declaratoria de reserva</w:t>
      </w:r>
      <w:r>
        <w:rPr>
          <w:b/>
          <w:color w:val="000000"/>
          <w:lang w:val="es-SV"/>
        </w:rPr>
        <w:t xml:space="preserve">. </w:t>
      </w:r>
      <w:r>
        <w:rPr>
          <w:b/>
          <w:color w:val="000000"/>
        </w:rPr>
        <w:t>VI</w:t>
      </w:r>
      <w:r>
        <w:rPr>
          <w:b/>
          <w:bCs/>
          <w:lang w:val="es-SV"/>
        </w:rPr>
        <w:t>.</w:t>
      </w:r>
      <w:r>
        <w:rPr>
          <w:lang w:val="es-SV"/>
        </w:rPr>
        <w:t xml:space="preserve"> </w:t>
      </w:r>
      <w:r>
        <w:rPr>
          <w:b/>
          <w:bCs/>
          <w:lang w:val="es-SV"/>
        </w:rPr>
        <w:t>VARIOS, no hubo puntos con declaratoria de reserva</w:t>
      </w:r>
      <w:r>
        <w:rPr>
          <w:lang w:val="es-SV"/>
        </w:rPr>
        <w:t xml:space="preserve">. La </w:t>
      </w:r>
      <w:proofErr w:type="gramStart"/>
      <w:r>
        <w:rPr>
          <w:lang w:val="es-SV"/>
        </w:rPr>
        <w:t>Presidenta</w:t>
      </w:r>
      <w:proofErr w:type="gramEnd"/>
      <w:r>
        <w:rPr>
          <w:lang w:val="es-SV"/>
        </w:rPr>
        <w:t xml:space="preserve"> del Consejo convoca para la próxima reunión el día 29 de junio del año 2022, a las once horas a realizarse en forma presencial.</w:t>
      </w:r>
      <w:r>
        <w:rPr>
          <w:b/>
          <w:bCs/>
          <w:lang w:val="es-SV"/>
        </w:rPr>
        <w:t xml:space="preserve">  </w:t>
      </w:r>
      <w:r>
        <w:rPr>
          <w:lang w:val="es-SV"/>
        </w:rPr>
        <w:t>Y no habiendo más que hacer constar, se da por finalizada la presente reunión a las trece horas, ratificamos su contenido y firmamos.</w:t>
      </w:r>
    </w:p>
    <w:p w14:paraId="1F5FBA52" w14:textId="77777777" w:rsidR="002459CC" w:rsidRDefault="002459CC" w:rsidP="002459CC">
      <w:pPr>
        <w:spacing w:line="360" w:lineRule="auto"/>
        <w:jc w:val="both"/>
        <w:rPr>
          <w:sz w:val="22"/>
          <w:lang w:val="es-SV"/>
        </w:rPr>
      </w:pPr>
    </w:p>
    <w:p w14:paraId="367BAA77" w14:textId="77777777" w:rsidR="002459CC" w:rsidRDefault="002459CC" w:rsidP="002459CC">
      <w:pPr>
        <w:spacing w:line="360" w:lineRule="auto"/>
        <w:jc w:val="both"/>
        <w:rPr>
          <w:sz w:val="22"/>
          <w:lang w:val="es-SV"/>
        </w:rPr>
      </w:pPr>
    </w:p>
    <w:p w14:paraId="0665E2CA" w14:textId="77777777" w:rsidR="00516802" w:rsidRPr="00F762AB" w:rsidRDefault="00516802" w:rsidP="00516802">
      <w:pPr>
        <w:jc w:val="center"/>
        <w:rPr>
          <w:b/>
        </w:rPr>
      </w:pPr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Raúl Alfonso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Peña</w:t>
      </w:r>
    </w:p>
    <w:p w14:paraId="2A9D9FA8" w14:textId="3E84C427" w:rsidR="005B439F" w:rsidRDefault="005B439F" w:rsidP="00516802">
      <w:pPr>
        <w:spacing w:line="360" w:lineRule="auto"/>
        <w:jc w:val="both"/>
      </w:pPr>
    </w:p>
    <w:sectPr w:rsidR="005B439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2BD4F" w14:textId="77777777" w:rsidR="00CD65D2" w:rsidRDefault="00CD65D2" w:rsidP="00CD65D2">
      <w:r>
        <w:separator/>
      </w:r>
    </w:p>
  </w:endnote>
  <w:endnote w:type="continuationSeparator" w:id="0">
    <w:p w14:paraId="5A3B4003" w14:textId="77777777" w:rsidR="00CD65D2" w:rsidRDefault="00CD65D2" w:rsidP="00CD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958CB" w14:textId="77777777" w:rsidR="00CD65D2" w:rsidRDefault="00CD65D2" w:rsidP="00CD65D2">
      <w:r>
        <w:separator/>
      </w:r>
    </w:p>
  </w:footnote>
  <w:footnote w:type="continuationSeparator" w:id="0">
    <w:p w14:paraId="33B7E9ED" w14:textId="77777777" w:rsidR="00CD65D2" w:rsidRDefault="00CD65D2" w:rsidP="00CD6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2703" w14:textId="77777777" w:rsidR="00CD65D2" w:rsidRPr="000843BF" w:rsidRDefault="00CD65D2" w:rsidP="00CD65D2">
    <w:pPr>
      <w:rPr>
        <w:rFonts w:ascii="Arial" w:hAnsi="Arial" w:cs="Arial"/>
        <w:b/>
        <w:color w:val="FF0000"/>
        <w:sz w:val="20"/>
        <w:szCs w:val="20"/>
      </w:rPr>
    </w:pPr>
    <w:bookmarkStart w:id="0" w:name="_Hlk56697089"/>
    <w:bookmarkStart w:id="1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6C696319" w14:textId="77777777" w:rsidR="00CD65D2" w:rsidRPr="000843BF" w:rsidRDefault="00CD65D2" w:rsidP="00CD65D2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0"/>
  </w:p>
  <w:bookmarkEnd w:id="1"/>
  <w:p w14:paraId="5FADBBBB" w14:textId="77777777" w:rsidR="00CD65D2" w:rsidRDefault="00CD65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CC"/>
    <w:rsid w:val="002459CC"/>
    <w:rsid w:val="00516802"/>
    <w:rsid w:val="005B439F"/>
    <w:rsid w:val="00CD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AB4A4"/>
  <w15:chartTrackingRefBased/>
  <w15:docId w15:val="{D714854C-68BC-40F9-8C0A-707E71DD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5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65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D65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5D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756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2022-07-15T21:37:00Z</dcterms:created>
  <dcterms:modified xsi:type="dcterms:W3CDTF">2022-07-18T20:31:00Z</dcterms:modified>
</cp:coreProperties>
</file>