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2C6B" w14:textId="77777777" w:rsidR="0003093B" w:rsidRDefault="0003093B" w:rsidP="0003093B">
      <w:pPr>
        <w:jc w:val="center"/>
        <w:rPr>
          <w:b/>
        </w:rPr>
      </w:pPr>
      <w:bookmarkStart w:id="0" w:name="_Hlk94516021"/>
      <w:r>
        <w:rPr>
          <w:noProof/>
          <w:lang w:val="es-SV" w:eastAsia="es-SV"/>
        </w:rPr>
        <w:drawing>
          <wp:inline distT="0" distB="0" distL="0" distR="0" wp14:anchorId="6BF6F767" wp14:editId="7C7E19C2">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0CAF24AF" wp14:editId="361F152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51D4CDC7" w14:textId="77777777" w:rsidR="0003093B" w:rsidRDefault="0003093B" w:rsidP="0003093B">
      <w:pPr>
        <w:jc w:val="center"/>
        <w:rPr>
          <w:b/>
        </w:rPr>
      </w:pPr>
    </w:p>
    <w:p w14:paraId="6BE71B04" w14:textId="77777777" w:rsidR="0003093B" w:rsidRDefault="0003093B" w:rsidP="0003093B">
      <w:pPr>
        <w:jc w:val="center"/>
        <w:rPr>
          <w:b/>
        </w:rPr>
      </w:pPr>
      <w:r>
        <w:rPr>
          <w:b/>
        </w:rPr>
        <w:t>ACTAS CONSEJO DE VIGILANCIA</w:t>
      </w:r>
    </w:p>
    <w:p w14:paraId="1C044C7C" w14:textId="49ACBAF3" w:rsidR="0003093B" w:rsidRDefault="0003093B" w:rsidP="0003093B">
      <w:pPr>
        <w:jc w:val="center"/>
        <w:rPr>
          <w:b/>
        </w:rPr>
      </w:pPr>
      <w:r>
        <w:rPr>
          <w:b/>
        </w:rPr>
        <w:t xml:space="preserve">MES DE </w:t>
      </w:r>
      <w:r>
        <w:rPr>
          <w:b/>
        </w:rPr>
        <w:t>FEBRERO</w:t>
      </w:r>
      <w:r>
        <w:rPr>
          <w:b/>
        </w:rPr>
        <w:t xml:space="preserve"> 202</w:t>
      </w:r>
      <w:r>
        <w:rPr>
          <w:b/>
        </w:rPr>
        <w:t>2</w:t>
      </w:r>
    </w:p>
    <w:p w14:paraId="335CD3C8" w14:textId="0B355F33" w:rsidR="0003093B" w:rsidRDefault="0003093B" w:rsidP="0003093B">
      <w:pPr>
        <w:jc w:val="center"/>
        <w:rPr>
          <w:b/>
        </w:rPr>
      </w:pPr>
    </w:p>
    <w:p w14:paraId="1991DC34" w14:textId="77777777" w:rsidR="0003093B" w:rsidRDefault="0003093B" w:rsidP="0003093B">
      <w:pPr>
        <w:jc w:val="center"/>
        <w:rPr>
          <w:b/>
        </w:rPr>
      </w:pPr>
    </w:p>
    <w:p w14:paraId="0BC55A3D" w14:textId="5C8A69ED" w:rsidR="006D2477" w:rsidRPr="00A60C0F" w:rsidRDefault="006D2477" w:rsidP="0003093B">
      <w:pPr>
        <w:jc w:val="both"/>
        <w:rPr>
          <w:b/>
          <w:color w:val="000000"/>
          <w:lang w:val="es-SV"/>
        </w:rPr>
      </w:pPr>
      <w:r w:rsidRPr="003B4093">
        <w:rPr>
          <w:b/>
          <w:bCs/>
          <w:lang w:val="es-SV"/>
        </w:rPr>
        <w:t>ACTA No. CV-</w:t>
      </w:r>
      <w:r>
        <w:rPr>
          <w:b/>
          <w:bCs/>
          <w:lang w:val="es-SV"/>
        </w:rPr>
        <w:t>05</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lunes 14 </w:t>
      </w:r>
      <w:r w:rsidRPr="00E23669">
        <w:rPr>
          <w:lang w:val="es-SV"/>
        </w:rPr>
        <w:t>de</w:t>
      </w:r>
      <w:r>
        <w:rPr>
          <w:lang w:val="es-SV"/>
        </w:rPr>
        <w:t xml:space="preserve"> febrero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w:t>
      </w:r>
      <w:r>
        <w:rPr>
          <w:b/>
          <w:lang w:val="es-SV"/>
        </w:rPr>
        <w:t>ÚB</w:t>
      </w:r>
      <w:r w:rsidRPr="00E23669">
        <w:rPr>
          <w:b/>
          <w:lang w:val="es-SV"/>
        </w:rPr>
        <w:t>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04</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     </w:t>
      </w:r>
      <w:r>
        <w:rPr>
          <w:bCs/>
          <w:lang w:val="es-SV"/>
        </w:rPr>
        <w:t>013</w:t>
      </w:r>
      <w:r w:rsidRPr="00E23669">
        <w:rPr>
          <w:bCs/>
          <w:lang w:val="es-SV"/>
        </w:rPr>
        <w:t>/202</w:t>
      </w:r>
      <w:r>
        <w:rPr>
          <w:bCs/>
          <w:lang w:val="es-SV"/>
        </w:rPr>
        <w:t>2</w:t>
      </w:r>
      <w:r w:rsidRPr="00E23669">
        <w:rPr>
          <w:bCs/>
          <w:lang w:val="es-SV"/>
        </w:rPr>
        <w:t xml:space="preserve"> del </w:t>
      </w:r>
      <w:r>
        <w:rPr>
          <w:bCs/>
          <w:lang w:val="es-SV"/>
        </w:rPr>
        <w:t>20</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014</w:t>
      </w:r>
      <w:r w:rsidRPr="00E23669">
        <w:rPr>
          <w:bCs/>
          <w:lang w:val="es-SV"/>
        </w:rPr>
        <w:t>/202</w:t>
      </w:r>
      <w:r>
        <w:rPr>
          <w:bCs/>
          <w:lang w:val="es-SV"/>
        </w:rPr>
        <w:t>2</w:t>
      </w:r>
      <w:r w:rsidRPr="00E23669">
        <w:rPr>
          <w:bCs/>
          <w:lang w:val="es-SV"/>
        </w:rPr>
        <w:t xml:space="preserve"> del </w:t>
      </w:r>
      <w:r>
        <w:rPr>
          <w:bCs/>
          <w:lang w:val="es-SV"/>
        </w:rPr>
        <w:t>21</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015</w:t>
      </w:r>
      <w:r w:rsidRPr="00E23669">
        <w:rPr>
          <w:bCs/>
          <w:lang w:val="es-SV"/>
        </w:rPr>
        <w:t>/202</w:t>
      </w:r>
      <w:r>
        <w:rPr>
          <w:bCs/>
          <w:lang w:val="es-SV"/>
        </w:rPr>
        <w:t>2</w:t>
      </w:r>
      <w:r w:rsidRPr="00E23669">
        <w:rPr>
          <w:bCs/>
          <w:lang w:val="es-SV"/>
        </w:rPr>
        <w:t xml:space="preserve"> del </w:t>
      </w:r>
      <w:r>
        <w:rPr>
          <w:bCs/>
          <w:lang w:val="es-SV"/>
        </w:rPr>
        <w:t>24</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016</w:t>
      </w:r>
      <w:r w:rsidRPr="00E23669">
        <w:rPr>
          <w:bCs/>
          <w:lang w:val="es-SV"/>
        </w:rPr>
        <w:t>/202</w:t>
      </w:r>
      <w:r>
        <w:rPr>
          <w:bCs/>
          <w:lang w:val="es-SV"/>
        </w:rPr>
        <w:t>2</w:t>
      </w:r>
      <w:r w:rsidRPr="00E23669">
        <w:rPr>
          <w:bCs/>
          <w:lang w:val="es-SV"/>
        </w:rPr>
        <w:t xml:space="preserve"> del </w:t>
      </w:r>
      <w:r>
        <w:rPr>
          <w:bCs/>
          <w:lang w:val="es-SV"/>
        </w:rPr>
        <w:t xml:space="preserve">25 </w:t>
      </w:r>
      <w:r w:rsidRPr="00E23669">
        <w:rPr>
          <w:bCs/>
          <w:lang w:val="es-SV"/>
        </w:rPr>
        <w:t>de</w:t>
      </w:r>
      <w:r>
        <w:rPr>
          <w:bCs/>
          <w:lang w:val="es-SV"/>
        </w:rPr>
        <w:t xml:space="preserve"> enero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017</w:t>
      </w:r>
      <w:r w:rsidRPr="00E23669">
        <w:rPr>
          <w:bCs/>
          <w:lang w:val="es-SV"/>
        </w:rPr>
        <w:t>/202</w:t>
      </w:r>
      <w:r>
        <w:rPr>
          <w:bCs/>
          <w:lang w:val="es-SV"/>
        </w:rPr>
        <w:t>2</w:t>
      </w:r>
      <w:r w:rsidRPr="00E23669">
        <w:rPr>
          <w:bCs/>
          <w:lang w:val="es-SV"/>
        </w:rPr>
        <w:t xml:space="preserve"> del </w:t>
      </w:r>
      <w:r>
        <w:rPr>
          <w:bCs/>
          <w:lang w:val="es-SV"/>
        </w:rPr>
        <w:t xml:space="preserve">26 </w:t>
      </w:r>
      <w:r w:rsidRPr="00E23669">
        <w:rPr>
          <w:bCs/>
          <w:lang w:val="es-SV"/>
        </w:rPr>
        <w:t xml:space="preserve">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E23669">
        <w:rPr>
          <w:b/>
          <w:lang w:val="es-SV"/>
        </w:rPr>
        <w:t>IX.</w:t>
      </w:r>
      <w:r w:rsidRPr="00E23669">
        <w:rPr>
          <w:lang w:val="es-SV"/>
        </w:rPr>
        <w:t xml:space="preserve"> </w:t>
      </w:r>
      <w:r w:rsidRPr="00E23669">
        <w:rPr>
          <w:bCs/>
          <w:lang w:val="es-SV"/>
        </w:rPr>
        <w:t>Correspondencia Recibida.</w:t>
      </w:r>
      <w:r w:rsidRPr="00E23669">
        <w:rPr>
          <w:lang w:val="es-SV"/>
        </w:rPr>
        <w:t xml:space="preserve"> </w:t>
      </w:r>
      <w:r w:rsidRPr="00E23669">
        <w:rPr>
          <w:b/>
          <w:bCs/>
          <w:lang w:val="es-SV"/>
        </w:rPr>
        <w:t>X.</w:t>
      </w:r>
      <w:r w:rsidRPr="00E23669">
        <w:rPr>
          <w:lang w:val="es-SV"/>
        </w:rPr>
        <w:t xml:space="preserve"> 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04</w:t>
      </w:r>
      <w:r w:rsidRPr="00E23669">
        <w:rPr>
          <w:lang w:val="es-SV"/>
        </w:rPr>
        <w:t>/202</w:t>
      </w:r>
      <w:r>
        <w:rPr>
          <w:lang w:val="es-SV"/>
        </w:rPr>
        <w:t>2</w:t>
      </w:r>
      <w:r w:rsidRPr="00E23669">
        <w:rPr>
          <w:lang w:val="es-SV"/>
        </w:rPr>
        <w:t xml:space="preserve">, de fecha </w:t>
      </w:r>
      <w:r>
        <w:rPr>
          <w:lang w:val="es-SV"/>
        </w:rPr>
        <w:t>8</w:t>
      </w:r>
      <w:r w:rsidRPr="00E23669">
        <w:rPr>
          <w:lang w:val="es-SV"/>
        </w:rPr>
        <w:t xml:space="preserve"> de </w:t>
      </w:r>
      <w:r>
        <w:rPr>
          <w:lang w:val="es-SV"/>
        </w:rPr>
        <w:t>febrero</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013</w:t>
      </w:r>
      <w:r w:rsidRPr="00E23669">
        <w:rPr>
          <w:b/>
          <w:bCs/>
          <w:lang w:val="es-SV"/>
        </w:rPr>
        <w:t>/202</w:t>
      </w:r>
      <w:r>
        <w:rPr>
          <w:b/>
          <w:bCs/>
          <w:lang w:val="es-SV"/>
        </w:rPr>
        <w:t>2</w:t>
      </w:r>
      <w:r w:rsidRPr="00E23669">
        <w:rPr>
          <w:b/>
          <w:bCs/>
          <w:lang w:val="es-SV"/>
        </w:rPr>
        <w:t xml:space="preserve"> DEL </w:t>
      </w:r>
      <w:r>
        <w:rPr>
          <w:b/>
          <w:bCs/>
          <w:lang w:val="es-SV"/>
        </w:rPr>
        <w:t>20</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bookmarkStart w:id="1" w:name="_Hlk95311893"/>
      <w:r w:rsidRPr="00E23669">
        <w:rPr>
          <w:b/>
          <w:color w:val="000000"/>
          <w:lang w:val="es-SV"/>
        </w:rPr>
        <w:t>IV</w:t>
      </w:r>
      <w:r w:rsidRPr="00E23669">
        <w:rPr>
          <w:color w:val="000000"/>
          <w:lang w:val="es-SV"/>
        </w:rPr>
        <w:t xml:space="preserve">. </w:t>
      </w:r>
      <w:r>
        <w:rPr>
          <w:color w:val="000000"/>
          <w:lang w:val="es-SV"/>
        </w:rPr>
        <w:t>Informe de Avance en la Ejecución del Plan Integral de Recuperación de Créditos en mora al mes de diciembre de 2021</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Seguimiento a los Planes de Adecuación de las Normas Técnicas para la Gestión de la Seguridad de la Información (NRP-23) y las Normas Técnicas para el Sistema de Gestión de la Continuidad del Negocio (NRP-24), a diciembre 2021</w:t>
      </w:r>
      <w:r w:rsidRPr="00E23669">
        <w:rPr>
          <w:color w:val="000000"/>
          <w:lang w:val="es-SV"/>
        </w:rPr>
        <w:t xml:space="preserve">; </w:t>
      </w:r>
      <w:r w:rsidRPr="00E23669">
        <w:rPr>
          <w:b/>
          <w:color w:val="000000"/>
          <w:lang w:val="es-SV"/>
        </w:rPr>
        <w:t xml:space="preserve">VI. </w:t>
      </w:r>
      <w:r w:rsidRPr="002462AE">
        <w:rPr>
          <w:bCs/>
          <w:color w:val="000000"/>
          <w:lang w:val="es-SV"/>
        </w:rPr>
        <w:t>Resumen de Aspectos relevantes visto por Comité de Riesgos, durante el segundo semestre 2021;</w:t>
      </w:r>
      <w:r w:rsidRPr="002462AE">
        <w:rPr>
          <w:b/>
          <w:color w:val="000000"/>
          <w:lang w:val="es-SV"/>
        </w:rPr>
        <w:t xml:space="preserve"> </w:t>
      </w:r>
      <w:r w:rsidRPr="00E23669">
        <w:rPr>
          <w:b/>
          <w:color w:val="000000"/>
          <w:lang w:val="es-SV"/>
        </w:rPr>
        <w:t xml:space="preserve">VII. </w:t>
      </w:r>
      <w:r>
        <w:rPr>
          <w:b/>
          <w:color w:val="000000"/>
          <w:lang w:val="es-SV"/>
        </w:rPr>
        <w:t xml:space="preserve"> </w:t>
      </w:r>
      <w:r w:rsidRPr="002462AE">
        <w:rPr>
          <w:bCs/>
          <w:color w:val="000000"/>
          <w:lang w:val="es-SV"/>
        </w:rPr>
        <w:t xml:space="preserve">Creación del Instructivo para la Gestión de la Seguridad de la Información (NRP-23); </w:t>
      </w:r>
      <w:r w:rsidRPr="00E23669">
        <w:rPr>
          <w:b/>
          <w:color w:val="000000"/>
          <w:lang w:val="es-SV"/>
        </w:rPr>
        <w:t xml:space="preserve">VIII. </w:t>
      </w:r>
      <w:r w:rsidRPr="002462AE">
        <w:rPr>
          <w:bCs/>
          <w:color w:val="000000"/>
          <w:lang w:val="es-SV"/>
        </w:rPr>
        <w:t xml:space="preserve">Resumen de Transferencias Autorizadas por Presidencia y Dirección Ejecutiva y Gerencia General período octubre-diciembre 2021; </w:t>
      </w:r>
      <w:r w:rsidRPr="00E23669">
        <w:rPr>
          <w:color w:val="000000"/>
          <w:lang w:val="es-SV"/>
        </w:rPr>
        <w:t>IX.</w:t>
      </w:r>
      <w:r w:rsidRPr="00E23669">
        <w:rPr>
          <w:b/>
          <w:color w:val="000000"/>
          <w:lang w:val="es-SV"/>
        </w:rPr>
        <w:t xml:space="preserve">  </w:t>
      </w:r>
      <w:r w:rsidRPr="002462AE">
        <w:rPr>
          <w:bCs/>
          <w:color w:val="000000"/>
          <w:lang w:val="es-SV"/>
        </w:rPr>
        <w:t>Análisis de recomendaciones de Estudio Actuarial 2021 para devolución de depósitos por cotizaciones;</w:t>
      </w:r>
      <w:r w:rsidRPr="00E23669">
        <w:rPr>
          <w:b/>
          <w:color w:val="000000"/>
          <w:lang w:val="es-SV"/>
        </w:rPr>
        <w:t xml:space="preserve"> X.</w:t>
      </w:r>
      <w:r w:rsidRPr="00E23669">
        <w:rPr>
          <w:color w:val="000000"/>
          <w:lang w:val="es-SV"/>
        </w:rPr>
        <w:t xml:space="preserve"> </w:t>
      </w:r>
      <w:r>
        <w:rPr>
          <w:color w:val="000000"/>
          <w:lang w:val="es-SV"/>
        </w:rPr>
        <w:t xml:space="preserve"> Solicitud para Reducir cuentas de Banco en Agencias y disminución el fondo Circulante en Agencia Central</w:t>
      </w:r>
      <w:r w:rsidRPr="00E23669">
        <w:rPr>
          <w:color w:val="000000"/>
          <w:lang w:val="es-SV"/>
        </w:rPr>
        <w:t xml:space="preserve">; </w:t>
      </w:r>
      <w:r w:rsidRPr="00E23669">
        <w:rPr>
          <w:b/>
          <w:color w:val="000000"/>
          <w:lang w:val="es-SV"/>
        </w:rPr>
        <w:t>XI.</w:t>
      </w:r>
      <w:r w:rsidRPr="00E23669">
        <w:rPr>
          <w:color w:val="000000"/>
          <w:lang w:val="es-SV"/>
        </w:rPr>
        <w:t xml:space="preserve">   </w:t>
      </w:r>
      <w:r>
        <w:rPr>
          <w:color w:val="000000"/>
          <w:lang w:val="es-SV"/>
        </w:rPr>
        <w:t>Informe de Libre Gestión No. FSV-429/2021 “Servicio de Mantenimiento Preventivo y Correctivo incluyendo partes para equipos de Misión Crítica”</w:t>
      </w:r>
      <w:r w:rsidRPr="00E23669">
        <w:rPr>
          <w:color w:val="000000"/>
          <w:lang w:val="es-SV"/>
        </w:rPr>
        <w:t xml:space="preserve">; </w:t>
      </w:r>
      <w:r w:rsidRPr="00E23669">
        <w:rPr>
          <w:b/>
          <w:color w:val="000000"/>
          <w:lang w:val="es-SV"/>
        </w:rPr>
        <w:t>XII</w:t>
      </w:r>
      <w:r w:rsidRPr="00E23669">
        <w:rPr>
          <w:color w:val="000000"/>
          <w:lang w:val="es-SV"/>
        </w:rPr>
        <w:t xml:space="preserve">. </w:t>
      </w:r>
      <w:r>
        <w:rPr>
          <w:color w:val="000000"/>
          <w:lang w:val="es-SV"/>
        </w:rPr>
        <w:t>Bases de Licitación Pública No. FSV-01/2022 “Programa de Seguros del FSV”</w:t>
      </w:r>
      <w:r w:rsidRPr="00E23669">
        <w:rPr>
          <w:color w:val="000000"/>
          <w:lang w:val="es-SV"/>
        </w:rPr>
        <w:t xml:space="preserve">; </w:t>
      </w:r>
      <w:r w:rsidRPr="00E23669">
        <w:rPr>
          <w:b/>
          <w:color w:val="000000"/>
          <w:lang w:val="es-SV"/>
        </w:rPr>
        <w:t>XIII.</w:t>
      </w:r>
      <w:r w:rsidRPr="00E23669">
        <w:rPr>
          <w:color w:val="000000"/>
          <w:lang w:val="es-SV"/>
        </w:rPr>
        <w:t xml:space="preserve"> </w:t>
      </w:r>
      <w:r>
        <w:rPr>
          <w:color w:val="000000"/>
          <w:lang w:val="es-SV"/>
        </w:rPr>
        <w:t xml:space="preserve"> Aprobación de Mecanismo de Contratación y Especificaciones Técnicas para el Proceso de </w:t>
      </w:r>
      <w:r>
        <w:rPr>
          <w:color w:val="000000"/>
          <w:lang w:val="es-SV"/>
        </w:rPr>
        <w:lastRenderedPageBreak/>
        <w:t>Mercado Bursátil No. MB-01/2022 “Suministro de Papelería y Artículos de uso y Consumo Diverso para el FSV”</w:t>
      </w:r>
      <w:r w:rsidRPr="00E23669">
        <w:rPr>
          <w:color w:val="000000"/>
          <w:lang w:val="es-SV"/>
        </w:rPr>
        <w:t xml:space="preserve">; </w:t>
      </w:r>
      <w:r w:rsidRPr="00E23669">
        <w:rPr>
          <w:b/>
          <w:color w:val="000000"/>
          <w:lang w:val="es-SV"/>
        </w:rPr>
        <w:t>XIV.</w:t>
      </w:r>
      <w:r w:rsidRPr="00E23669">
        <w:rPr>
          <w:color w:val="000000"/>
          <w:lang w:val="es-SV"/>
        </w:rPr>
        <w:t xml:space="preserve"> </w:t>
      </w:r>
      <w:r>
        <w:rPr>
          <w:color w:val="000000"/>
          <w:lang w:val="es-SV"/>
        </w:rPr>
        <w:t xml:space="preserve">Informe sobre utilización de la Cuenta de Reserva para Cubrir deducibles y otros quebrantos, período julio a diciembre 2021; </w:t>
      </w:r>
      <w:r w:rsidRPr="00095A53">
        <w:rPr>
          <w:b/>
          <w:bCs/>
          <w:color w:val="000000"/>
          <w:lang w:val="es-SV"/>
        </w:rPr>
        <w:t>XV.</w:t>
      </w:r>
      <w:r>
        <w:rPr>
          <w:color w:val="000000"/>
          <w:lang w:val="es-SV"/>
        </w:rPr>
        <w:t xml:space="preserve">  Resolución procedimiento administrativo sancionatorio derivado de la Licitación Pública No. FSV-01/2021 “Centro de Gestión de Avalúos”, promovido contra el Contratista Técnico en Ingeniería Civil Moisés Asdrúbal Alvarenga López; </w:t>
      </w:r>
      <w:r w:rsidRPr="00095A53">
        <w:rPr>
          <w:b/>
          <w:bCs/>
          <w:color w:val="000000"/>
          <w:lang w:val="es-SV"/>
        </w:rPr>
        <w:t>XVI.</w:t>
      </w:r>
      <w:r>
        <w:rPr>
          <w:color w:val="000000"/>
          <w:lang w:val="es-SV"/>
        </w:rPr>
        <w:t xml:space="preserve">  Solicitud de </w:t>
      </w:r>
      <w:proofErr w:type="spellStart"/>
      <w:r>
        <w:rPr>
          <w:color w:val="000000"/>
          <w:lang w:val="es-SV"/>
        </w:rPr>
        <w:t>Pre-factibilidad</w:t>
      </w:r>
      <w:proofErr w:type="spellEnd"/>
      <w:r>
        <w:rPr>
          <w:color w:val="000000"/>
          <w:lang w:val="es-SV"/>
        </w:rPr>
        <w:t xml:space="preserve"> del Arq.  Mauricio Rafael Iraheta Martínez para Proyecto Vistas de Montebello; </w:t>
      </w:r>
      <w:r w:rsidRPr="00095A53">
        <w:rPr>
          <w:b/>
          <w:bCs/>
          <w:color w:val="000000"/>
          <w:lang w:val="es-SV"/>
        </w:rPr>
        <w:t>XVII.</w:t>
      </w:r>
      <w:r>
        <w:rPr>
          <w:color w:val="000000"/>
          <w:lang w:val="es-SV"/>
        </w:rPr>
        <w:t xml:space="preserve">  Solicitud de Factibilidad de la Empresa Inversiones e Inmobiliaria </w:t>
      </w:r>
      <w:proofErr w:type="spellStart"/>
      <w:r>
        <w:rPr>
          <w:color w:val="000000"/>
          <w:lang w:val="es-SV"/>
        </w:rPr>
        <w:t>Fenix</w:t>
      </w:r>
      <w:proofErr w:type="spellEnd"/>
      <w:r>
        <w:rPr>
          <w:color w:val="000000"/>
          <w:lang w:val="es-SV"/>
        </w:rPr>
        <w:t xml:space="preserve">, S.A. de C.V. para Proyecto Las Victorias Sur; </w:t>
      </w:r>
      <w:r w:rsidRPr="00095A53">
        <w:rPr>
          <w:b/>
          <w:bCs/>
          <w:color w:val="000000"/>
          <w:lang w:val="es-SV"/>
        </w:rPr>
        <w:t>XVIII.</w:t>
      </w:r>
      <w:r>
        <w:rPr>
          <w:color w:val="000000"/>
          <w:lang w:val="es-SV"/>
        </w:rPr>
        <w:t xml:space="preserve">  Solicitud de Factibilidad de la Empresa Desarrolladora Fisher </w:t>
      </w:r>
      <w:proofErr w:type="spellStart"/>
      <w:r>
        <w:rPr>
          <w:color w:val="000000"/>
          <w:lang w:val="es-SV"/>
        </w:rPr>
        <w:t>Hills</w:t>
      </w:r>
      <w:proofErr w:type="spellEnd"/>
      <w:r>
        <w:rPr>
          <w:color w:val="000000"/>
          <w:lang w:val="es-SV"/>
        </w:rPr>
        <w:t>, S.A. de C.V. para Proyecto Villas Bernal;</w:t>
      </w:r>
      <w:bookmarkEnd w:id="1"/>
      <w:r>
        <w:rPr>
          <w:color w:val="000000"/>
          <w:lang w:val="es-SV"/>
        </w:rPr>
        <w:t xml:space="preserve"> </w:t>
      </w:r>
      <w:r w:rsidRPr="00095A53">
        <w:rPr>
          <w:b/>
          <w:bCs/>
          <w:color w:val="000000"/>
          <w:lang w:val="es-SV"/>
        </w:rPr>
        <w:t>XIX.</w:t>
      </w:r>
      <w:r>
        <w:rPr>
          <w:color w:val="000000"/>
          <w:lang w:val="es-SV"/>
        </w:rPr>
        <w:t xml:space="preserve">  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22 </w:t>
      </w:r>
      <w:r w:rsidRPr="004238A4">
        <w:rPr>
          <w:rFonts w:eastAsia="Arial"/>
          <w:b/>
        </w:rPr>
        <w:t>solicitudes de crédito por un monto de $</w:t>
      </w:r>
      <w:r>
        <w:rPr>
          <w:rFonts w:eastAsia="Arial"/>
          <w:b/>
        </w:rPr>
        <w:t>355,887.91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sidRPr="00E23669">
        <w:rPr>
          <w:color w:val="000000"/>
          <w:lang w:val="es-SV"/>
        </w:rPr>
        <w:t xml:space="preserve">. </w:t>
      </w:r>
      <w:r>
        <w:rPr>
          <w:color w:val="000000"/>
          <w:lang w:val="es-SV"/>
        </w:rPr>
        <w:t xml:space="preserve">Informe de Avance en la Ejecución del Plan Integral de Recuperación de Créditos en mora al mes de diciembre de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bookmarkStart w:id="2" w:name="_Hlk95978071"/>
      <w:r w:rsidRPr="00E23669">
        <w:rPr>
          <w:b/>
          <w:color w:val="000000"/>
          <w:lang w:val="es-SV"/>
        </w:rPr>
        <w:t>.</w:t>
      </w:r>
      <w:r w:rsidRPr="00E23669">
        <w:rPr>
          <w:color w:val="000000"/>
          <w:lang w:val="es-SV"/>
        </w:rPr>
        <w:t xml:space="preserve"> </w:t>
      </w:r>
      <w:r>
        <w:rPr>
          <w:color w:val="000000"/>
          <w:lang w:val="es-SV"/>
        </w:rPr>
        <w:t>Seguimiento a los Planes de Adecuación de las Normas Técnicas para la Gestión de la Seguridad de la Información (NRP-23) y las Normas Técnicas para el Sistema de Gestión de la Continuidad del Negocio (NRP-24), a diciembre 2021</w:t>
      </w:r>
      <w:bookmarkEnd w:id="2"/>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bookmarkStart w:id="3" w:name="_Hlk95978148"/>
      <w:r w:rsidRPr="002462AE">
        <w:rPr>
          <w:bCs/>
          <w:color w:val="000000"/>
          <w:lang w:val="es-SV"/>
        </w:rPr>
        <w:t>Resumen de Aspectos relevantes visto por Comité de Riesgos, durante el segundo semestre 2021</w:t>
      </w:r>
      <w:bookmarkEnd w:id="3"/>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2462AE">
        <w:rPr>
          <w:b/>
          <w:color w:val="000000"/>
          <w:lang w:val="es-SV"/>
        </w:rPr>
        <w:t xml:space="preserve"> </w:t>
      </w:r>
      <w:r w:rsidRPr="00E23669">
        <w:rPr>
          <w:b/>
          <w:bCs/>
          <w:lang w:val="es-SV"/>
        </w:rPr>
        <w:t>Punto</w:t>
      </w:r>
      <w:r w:rsidRPr="00E23669">
        <w:rPr>
          <w:b/>
          <w:color w:val="000000"/>
          <w:lang w:val="es-SV"/>
        </w:rPr>
        <w:t xml:space="preserve"> VII. </w:t>
      </w:r>
      <w:r>
        <w:rPr>
          <w:b/>
          <w:color w:val="000000"/>
          <w:lang w:val="es-SV"/>
        </w:rPr>
        <w:t xml:space="preserve"> </w:t>
      </w:r>
      <w:bookmarkStart w:id="4" w:name="_Hlk95978207"/>
      <w:r w:rsidRPr="002462AE">
        <w:rPr>
          <w:bCs/>
          <w:color w:val="000000"/>
          <w:lang w:val="es-SV"/>
        </w:rPr>
        <w:t>Creación del Instructivo para la Gestión de la Seguridad de la Información (NRP-23)</w:t>
      </w:r>
      <w:bookmarkEnd w:id="4"/>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sidRPr="002462AE">
        <w:rPr>
          <w:bCs/>
          <w:color w:val="000000"/>
          <w:lang w:val="es-SV"/>
        </w:rPr>
        <w:t xml:space="preserve"> </w:t>
      </w:r>
      <w:r w:rsidRPr="00E23669">
        <w:rPr>
          <w:b/>
          <w:bCs/>
          <w:lang w:val="es-SV"/>
        </w:rPr>
        <w:t>Punto</w:t>
      </w:r>
      <w:r w:rsidRPr="00E23669">
        <w:rPr>
          <w:b/>
          <w:color w:val="000000"/>
          <w:lang w:val="es-SV"/>
        </w:rPr>
        <w:t xml:space="preserve"> VIII. </w:t>
      </w:r>
      <w:bookmarkStart w:id="5" w:name="_Hlk95978254"/>
      <w:r w:rsidRPr="002462AE">
        <w:rPr>
          <w:bCs/>
          <w:color w:val="000000"/>
          <w:lang w:val="es-SV"/>
        </w:rPr>
        <w:t>Resumen de Transferencias Autorizadas por Presidencia y Dirección Ejecutiva y Gerencia General período octubre-diciembre 2021</w:t>
      </w:r>
      <w:bookmarkEnd w:id="5"/>
      <w:r>
        <w:rPr>
          <w:bCs/>
          <w:color w:val="000000"/>
          <w:lang w:val="es-SV"/>
        </w:rPr>
        <w:t xml:space="preserve">, </w:t>
      </w:r>
      <w:r>
        <w:rPr>
          <w:b/>
          <w:color w:val="000000"/>
          <w:lang w:val="es-SV"/>
        </w:rPr>
        <w:t xml:space="preserve">en el desarrollo del presente, el </w:t>
      </w:r>
      <w:proofErr w:type="spellStart"/>
      <w:r>
        <w:rPr>
          <w:b/>
          <w:color w:val="000000"/>
          <w:lang w:val="es-SV"/>
        </w:rPr>
        <w:t>consejal</w:t>
      </w:r>
      <w:proofErr w:type="spellEnd"/>
      <w:r>
        <w:rPr>
          <w:b/>
          <w:color w:val="000000"/>
          <w:lang w:val="es-SV"/>
        </w:rPr>
        <w:t xml:space="preserve"> señor Raúl Alfonso </w:t>
      </w:r>
      <w:proofErr w:type="spellStart"/>
      <w:r>
        <w:rPr>
          <w:b/>
          <w:color w:val="000000"/>
          <w:lang w:val="es-SV"/>
        </w:rPr>
        <w:t>Rogel</w:t>
      </w:r>
      <w:proofErr w:type="spellEnd"/>
      <w:r>
        <w:rPr>
          <w:b/>
          <w:color w:val="000000"/>
          <w:lang w:val="es-SV"/>
        </w:rPr>
        <w:t xml:space="preserve"> Peña, manifestó la interrogante sobre los motivos por los cuales se realizaban dichas transferencias, aunado a ello, la licenciada </w:t>
      </w:r>
      <w:r>
        <w:rPr>
          <w:b/>
          <w:bCs/>
          <w:color w:val="000000" w:themeColor="text1"/>
          <w:lang w:val="es-SV"/>
        </w:rPr>
        <w:t xml:space="preserve">Bertha Alicia Santacruz de Escobar, manifestó la interrogante sobre los motivos por el cual, dicho acuerdo era dividido entre autorizaciones por parte de la Presidencia y Dirección Ejecutiva y otra por la Gerencia General, el señor </w:t>
      </w:r>
      <w:proofErr w:type="spellStart"/>
      <w:r>
        <w:rPr>
          <w:b/>
          <w:bCs/>
          <w:color w:val="000000" w:themeColor="text1"/>
          <w:lang w:val="es-SV"/>
        </w:rPr>
        <w:t>Rogel</w:t>
      </w:r>
      <w:proofErr w:type="spellEnd"/>
      <w:r>
        <w:rPr>
          <w:b/>
          <w:bCs/>
          <w:color w:val="000000" w:themeColor="text1"/>
          <w:lang w:val="es-SV"/>
        </w:rPr>
        <w:t xml:space="preserve"> manifestó que dicha división se debía en razón a la escala que tiene el FSV para las trasferencias y deben ser autorizadas ya sea por la Gerencia General, Presidencia o Junta Directiva respectivamente, por su parte la Licenciada </w:t>
      </w:r>
      <w:proofErr w:type="spellStart"/>
      <w:r>
        <w:rPr>
          <w:b/>
          <w:bCs/>
          <w:color w:val="000000" w:themeColor="text1"/>
          <w:lang w:val="es-SV"/>
        </w:rPr>
        <w:t>Roxveni</w:t>
      </w:r>
      <w:proofErr w:type="spellEnd"/>
      <w:r>
        <w:rPr>
          <w:b/>
          <w:bCs/>
          <w:color w:val="000000" w:themeColor="text1"/>
          <w:lang w:val="es-SV"/>
        </w:rPr>
        <w:t xml:space="preserve"> </w:t>
      </w:r>
      <w:proofErr w:type="spellStart"/>
      <w:r>
        <w:rPr>
          <w:b/>
          <w:bCs/>
          <w:color w:val="000000" w:themeColor="text1"/>
          <w:lang w:val="es-SV"/>
        </w:rPr>
        <w:t>Yasmine</w:t>
      </w:r>
      <w:proofErr w:type="spellEnd"/>
      <w:r>
        <w:rPr>
          <w:b/>
          <w:bCs/>
          <w:color w:val="000000" w:themeColor="text1"/>
          <w:lang w:val="es-SV"/>
        </w:rPr>
        <w:t xml:space="preserve"> Calderón manifestó que, todas las administraciones en el desarrollo del año fiscal siempre se ven obligadas a realizar transferencias presupuestarias entre los diversos específicos presupuestarios, siempre y cuando la ley lo permitiera, por último y en vista que se subsanaron las interrogantes realizadas en el presente </w:t>
      </w:r>
      <w:r>
        <w:rPr>
          <w:b/>
          <w:color w:val="000000"/>
          <w:lang w:val="es-SV"/>
        </w:rPr>
        <w:t xml:space="preserve">punto,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IX. </w:t>
      </w:r>
      <w:bookmarkStart w:id="6" w:name="_Hlk95987508"/>
      <w:r w:rsidRPr="002462AE">
        <w:rPr>
          <w:bCs/>
          <w:color w:val="000000"/>
          <w:lang w:val="es-SV"/>
        </w:rPr>
        <w:t>Análisis de recomendaciones de Estudio Actuarial 2021 para devolución de depósitos por cotizaciones</w:t>
      </w:r>
      <w:bookmarkEnd w:id="6"/>
      <w:r>
        <w:rPr>
          <w:bCs/>
          <w:color w:val="000000"/>
          <w:lang w:val="es-SV"/>
        </w:rPr>
        <w:t xml:space="preserve">, </w:t>
      </w:r>
      <w:r w:rsidRPr="00E23669">
        <w:rPr>
          <w:b/>
          <w:color w:val="000000"/>
          <w:lang w:val="es-SV"/>
        </w:rPr>
        <w:t>el Consej</w:t>
      </w:r>
      <w:r>
        <w:rPr>
          <w:b/>
          <w:color w:val="000000"/>
          <w:lang w:val="es-SV"/>
        </w:rPr>
        <w:t>o se da por enterado</w:t>
      </w:r>
      <w:r w:rsidRPr="00E23669">
        <w:rPr>
          <w:b/>
          <w:color w:val="000000"/>
          <w:lang w:val="es-SV"/>
        </w:rPr>
        <w:t>.</w:t>
      </w:r>
      <w:r>
        <w:rPr>
          <w:b/>
          <w:color w:val="000000"/>
          <w:lang w:val="es-SV"/>
        </w:rPr>
        <w:t xml:space="preserve"> </w:t>
      </w:r>
      <w:r w:rsidRPr="00E23669">
        <w:rPr>
          <w:b/>
          <w:color w:val="000000"/>
          <w:lang w:val="es-SV"/>
        </w:rPr>
        <w:t xml:space="preserve"> </w:t>
      </w:r>
      <w:r w:rsidRPr="00E23669">
        <w:rPr>
          <w:b/>
          <w:bCs/>
          <w:lang w:val="es-SV"/>
        </w:rPr>
        <w:t>Punto</w:t>
      </w:r>
      <w:r w:rsidRPr="00E23669">
        <w:rPr>
          <w:b/>
          <w:color w:val="000000"/>
          <w:lang w:val="es-SV"/>
        </w:rPr>
        <w:t xml:space="preserve"> X.</w:t>
      </w:r>
      <w:r w:rsidRPr="00E23669">
        <w:rPr>
          <w:color w:val="000000"/>
          <w:lang w:val="es-SV"/>
        </w:rPr>
        <w:t xml:space="preserve"> </w:t>
      </w:r>
      <w:r>
        <w:rPr>
          <w:color w:val="000000"/>
          <w:lang w:val="es-SV"/>
        </w:rPr>
        <w:t xml:space="preserve"> </w:t>
      </w:r>
      <w:bookmarkStart w:id="7" w:name="_Hlk95987713"/>
      <w:r>
        <w:rPr>
          <w:color w:val="000000"/>
          <w:lang w:val="es-SV"/>
        </w:rPr>
        <w:t>Solicitud para Reducir cuentas de Banco en Agencias y disminución el fondo Circulante en Agencia Central</w:t>
      </w:r>
      <w:bookmarkEnd w:id="7"/>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C11131">
        <w:rPr>
          <w:b/>
          <w:bCs/>
          <w:lang w:val="es-SV"/>
        </w:rPr>
        <w:t xml:space="preserve"> </w:t>
      </w:r>
      <w:r w:rsidRPr="00E23669">
        <w:rPr>
          <w:b/>
          <w:bCs/>
          <w:lang w:val="es-SV"/>
        </w:rPr>
        <w:t>Punto</w:t>
      </w:r>
      <w:r w:rsidRPr="00E23669">
        <w:rPr>
          <w:color w:val="000000"/>
          <w:lang w:val="es-SV"/>
        </w:rPr>
        <w:t xml:space="preserve"> </w:t>
      </w:r>
      <w:r w:rsidRPr="00E23669">
        <w:rPr>
          <w:b/>
          <w:color w:val="000000"/>
          <w:lang w:val="es-SV"/>
        </w:rPr>
        <w:t>XI.</w:t>
      </w:r>
      <w:r w:rsidRPr="00E23669">
        <w:rPr>
          <w:color w:val="000000"/>
          <w:lang w:val="es-SV"/>
        </w:rPr>
        <w:t xml:space="preserve">   </w:t>
      </w:r>
      <w:bookmarkStart w:id="8" w:name="_Hlk95987840"/>
      <w:r>
        <w:rPr>
          <w:color w:val="000000"/>
          <w:lang w:val="es-SV"/>
        </w:rPr>
        <w:t>Informe de Libre Gestión No. FSV-429/2021 “Servicio de Mantenimiento Preventivo y Correctivo incluyendo partes para equipos de Misión Crítica”</w:t>
      </w:r>
      <w:bookmarkEnd w:id="8"/>
      <w:r>
        <w:rPr>
          <w:color w:val="000000"/>
          <w:lang w:val="es-SV"/>
        </w:rPr>
        <w:t xml:space="preserve">, </w:t>
      </w:r>
      <w:r w:rsidRPr="00E23669">
        <w:rPr>
          <w:b/>
          <w:color w:val="000000"/>
          <w:lang w:val="es-SV"/>
        </w:rPr>
        <w:t>el Consejo</w:t>
      </w:r>
      <w:r>
        <w:rPr>
          <w:b/>
          <w:color w:val="000000"/>
          <w:lang w:val="es-SV"/>
        </w:rPr>
        <w:t xml:space="preserv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color w:val="000000"/>
          <w:lang w:val="es-SV"/>
        </w:rPr>
        <w:t>XII</w:t>
      </w:r>
      <w:r w:rsidRPr="00E23669">
        <w:rPr>
          <w:color w:val="000000"/>
          <w:lang w:val="es-SV"/>
        </w:rPr>
        <w:t xml:space="preserve">. </w:t>
      </w:r>
      <w:bookmarkStart w:id="9" w:name="_Hlk95987903"/>
      <w:r>
        <w:rPr>
          <w:color w:val="000000"/>
          <w:lang w:val="es-SV"/>
        </w:rPr>
        <w:t>Bases de Licitación Pública No. FSV-01/2022 “Programa de Seguros del FSV”</w:t>
      </w:r>
      <w:bookmarkEnd w:id="9"/>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XIII.</w:t>
      </w:r>
      <w:r w:rsidRPr="00E23669">
        <w:rPr>
          <w:color w:val="000000"/>
          <w:lang w:val="es-SV"/>
        </w:rPr>
        <w:t xml:space="preserve"> </w:t>
      </w:r>
      <w:r>
        <w:rPr>
          <w:color w:val="000000"/>
          <w:lang w:val="es-SV"/>
        </w:rPr>
        <w:t xml:space="preserve"> </w:t>
      </w:r>
      <w:bookmarkStart w:id="10" w:name="_Hlk95987998"/>
      <w:r>
        <w:rPr>
          <w:color w:val="000000"/>
          <w:lang w:val="es-SV"/>
        </w:rPr>
        <w:t>Aprobación de Mecanismo de Contratación y Especificaciones Técnicas para el Proceso de Mercado Bursátil No. MB-01/2022 “Suministro de Papelería y Artículos de uso y Consumo Diverso para el FSV”</w:t>
      </w:r>
      <w:bookmarkEnd w:id="10"/>
      <w:r w:rsidRPr="00E23669">
        <w:rPr>
          <w:color w:val="000000"/>
          <w:lang w:val="es-SV"/>
        </w:rPr>
        <w:t>;</w:t>
      </w:r>
      <w:r>
        <w:rPr>
          <w:color w:val="000000"/>
          <w:lang w:val="es-SV"/>
        </w:rPr>
        <w:t xml:space="preserve"> </w:t>
      </w:r>
      <w:r w:rsidRPr="00E23669">
        <w:rPr>
          <w:b/>
          <w:color w:val="000000"/>
          <w:lang w:val="es-SV"/>
        </w:rPr>
        <w:t>el Consejo</w:t>
      </w:r>
      <w:r>
        <w:rPr>
          <w:b/>
          <w:color w:val="000000"/>
          <w:lang w:val="es-SV"/>
        </w:rPr>
        <w:t xml:space="preserve"> da por enterado</w:t>
      </w:r>
      <w:r w:rsidRPr="00E23669">
        <w:rPr>
          <w:b/>
          <w:color w:val="000000"/>
          <w:lang w:val="es-SV"/>
        </w:rPr>
        <w:t>.</w:t>
      </w:r>
      <w:r>
        <w:rPr>
          <w:b/>
          <w:color w:val="000000"/>
          <w:lang w:val="es-SV"/>
        </w:rPr>
        <w:t xml:space="preserve"> </w:t>
      </w:r>
      <w:r w:rsidRPr="00E23669">
        <w:rPr>
          <w:b/>
          <w:bCs/>
          <w:lang w:val="es-SV"/>
        </w:rPr>
        <w:t>Punto</w:t>
      </w:r>
      <w:r w:rsidRPr="00E23669">
        <w:rPr>
          <w:b/>
          <w:color w:val="000000"/>
          <w:lang w:val="es-SV"/>
        </w:rPr>
        <w:t xml:space="preserve"> XIV.</w:t>
      </w:r>
      <w:r w:rsidRPr="00E23669">
        <w:rPr>
          <w:color w:val="000000"/>
          <w:lang w:val="es-SV"/>
        </w:rPr>
        <w:t xml:space="preserve"> </w:t>
      </w:r>
      <w:bookmarkStart w:id="11" w:name="_Hlk95988117"/>
      <w:r>
        <w:rPr>
          <w:color w:val="000000"/>
          <w:lang w:val="es-SV"/>
        </w:rPr>
        <w:t xml:space="preserve">Informe </w:t>
      </w:r>
      <w:r>
        <w:rPr>
          <w:color w:val="000000"/>
          <w:lang w:val="es-SV"/>
        </w:rPr>
        <w:lastRenderedPageBreak/>
        <w:t>sobre utilización de la Cuenta de Reserva para Cubrir deducibles y otros quebrantos, período julio a diciembre 2021</w:t>
      </w:r>
      <w:bookmarkEnd w:id="11"/>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w:t>
      </w:r>
      <w:r>
        <w:rPr>
          <w:color w:val="000000"/>
          <w:lang w:val="es-SV"/>
        </w:rPr>
        <w:t xml:space="preserve">  </w:t>
      </w:r>
      <w:bookmarkStart w:id="12" w:name="_Hlk95988226"/>
      <w:r>
        <w:rPr>
          <w:color w:val="000000"/>
          <w:lang w:val="es-SV"/>
        </w:rPr>
        <w:t>Resolución procedimiento administrativo sancionatorio derivado de la Licitación Pública No. FSV-01/2021 “Centro de Gestión de Avalúos”, promovido contra el Contratista Técnico en Ingeniería Civil Moisés Asdrúbal Alvarenga López,</w:t>
      </w:r>
      <w:bookmarkEnd w:id="12"/>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XVI.</w:t>
      </w:r>
      <w:r>
        <w:rPr>
          <w:color w:val="000000"/>
          <w:lang w:val="es-SV"/>
        </w:rPr>
        <w:t xml:space="preserve">  </w:t>
      </w:r>
      <w:bookmarkStart w:id="13" w:name="_Hlk95993750"/>
      <w:r>
        <w:rPr>
          <w:color w:val="000000"/>
          <w:lang w:val="es-SV"/>
        </w:rPr>
        <w:t xml:space="preserve">Solicitud de </w:t>
      </w:r>
      <w:proofErr w:type="spellStart"/>
      <w:r>
        <w:rPr>
          <w:color w:val="000000"/>
          <w:lang w:val="es-SV"/>
        </w:rPr>
        <w:t>Pre-factibilidad</w:t>
      </w:r>
      <w:proofErr w:type="spellEnd"/>
      <w:r>
        <w:rPr>
          <w:color w:val="000000"/>
          <w:lang w:val="es-SV"/>
        </w:rPr>
        <w:t xml:space="preserve"> del Arq.  Mauricio Rafael Iraheta Martínez para Proyecto Vistas de Montebello</w:t>
      </w:r>
      <w:bookmarkEnd w:id="13"/>
      <w:r>
        <w:rPr>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Pr>
          <w:color w:val="000000"/>
          <w:lang w:val="es-SV"/>
        </w:rPr>
        <w:t xml:space="preserve"> </w:t>
      </w:r>
      <w:r w:rsidRPr="00095A53">
        <w:rPr>
          <w:b/>
          <w:bCs/>
          <w:color w:val="000000"/>
          <w:lang w:val="es-SV"/>
        </w:rPr>
        <w:t>XVII.</w:t>
      </w:r>
      <w:r>
        <w:rPr>
          <w:color w:val="000000"/>
          <w:lang w:val="es-SV"/>
        </w:rPr>
        <w:t xml:space="preserve">  Solicitud de Factibilidad de la Empresa Inversiones e Inmobiliaria </w:t>
      </w:r>
      <w:proofErr w:type="spellStart"/>
      <w:r>
        <w:rPr>
          <w:color w:val="000000"/>
          <w:lang w:val="es-SV"/>
        </w:rPr>
        <w:t>Fenix</w:t>
      </w:r>
      <w:proofErr w:type="spellEnd"/>
      <w:r>
        <w:rPr>
          <w:color w:val="000000"/>
          <w:lang w:val="es-SV"/>
        </w:rPr>
        <w:t xml:space="preserve">, S.A. de C.V. para Proyecto Las Victorias Sur,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Pr>
          <w:color w:val="000000"/>
          <w:lang w:val="es-SV"/>
        </w:rPr>
        <w:t xml:space="preserve">  </w:t>
      </w:r>
      <w:r w:rsidRPr="00E23669">
        <w:rPr>
          <w:b/>
          <w:bCs/>
          <w:lang w:val="es-SV"/>
        </w:rPr>
        <w:t>Punto</w:t>
      </w:r>
      <w:r w:rsidRPr="00095A53">
        <w:rPr>
          <w:b/>
          <w:bCs/>
          <w:color w:val="000000"/>
          <w:lang w:val="es-SV"/>
        </w:rPr>
        <w:t xml:space="preserve"> XVIII.</w:t>
      </w:r>
      <w:r>
        <w:rPr>
          <w:color w:val="000000"/>
          <w:lang w:val="es-SV"/>
        </w:rPr>
        <w:t xml:space="preserve">  </w:t>
      </w:r>
      <w:bookmarkStart w:id="14" w:name="_Hlk95993816"/>
      <w:r>
        <w:rPr>
          <w:color w:val="000000"/>
          <w:lang w:val="es-SV"/>
        </w:rPr>
        <w:t xml:space="preserve">Solicitud de Factibilidad de la Empresa Desarrolladora Fisher </w:t>
      </w:r>
      <w:proofErr w:type="spellStart"/>
      <w:r>
        <w:rPr>
          <w:color w:val="000000"/>
          <w:lang w:val="es-SV"/>
        </w:rPr>
        <w:t>Hills</w:t>
      </w:r>
      <w:proofErr w:type="spellEnd"/>
      <w:r>
        <w:rPr>
          <w:color w:val="000000"/>
          <w:lang w:val="es-SV"/>
        </w:rPr>
        <w:t>, S.A. de C.V. para Proyecto Villas Bernal,</w:t>
      </w:r>
      <w:r w:rsidRPr="00E23669">
        <w:rPr>
          <w:b/>
          <w:bCs/>
          <w:lang w:val="es-SV"/>
        </w:rPr>
        <w:t xml:space="preserve"> </w:t>
      </w:r>
      <w:bookmarkEnd w:id="14"/>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095A53">
        <w:rPr>
          <w:b/>
          <w:bCs/>
          <w:color w:val="000000"/>
          <w:lang w:val="es-SV"/>
        </w:rPr>
        <w:t>XIX.</w:t>
      </w:r>
      <w:r>
        <w:rPr>
          <w:color w:val="000000"/>
          <w:lang w:val="es-SV"/>
        </w:rPr>
        <w:t xml:space="preserve">  Acuerdo de Resolución sobre información reservada de esta sesión, </w:t>
      </w:r>
      <w:proofErr w:type="gramStart"/>
      <w:r w:rsidRPr="00816D89">
        <w:rPr>
          <w:color w:val="000000"/>
          <w:lang w:val="es-SV"/>
        </w:rPr>
        <w:t>Declarar como</w:t>
      </w:r>
      <w:proofErr w:type="gramEnd"/>
      <w:r w:rsidRPr="00816D89">
        <w:rPr>
          <w:color w:val="000000"/>
          <w:lang w:val="es-SV"/>
        </w:rPr>
        <w:t xml:space="preserve"> información reservada el Punto XIX. </w:t>
      </w:r>
      <w:bookmarkStart w:id="15" w:name="_Hlk96068616"/>
      <w:r>
        <w:rPr>
          <w:color w:val="000000"/>
          <w:lang w:val="es-SV"/>
        </w:rPr>
        <w:t xml:space="preserve">Bases de Licitación Pública </w:t>
      </w:r>
      <w:proofErr w:type="spellStart"/>
      <w:r>
        <w:rPr>
          <w:color w:val="000000"/>
          <w:lang w:val="es-SV"/>
        </w:rPr>
        <w:t>N°</w:t>
      </w:r>
      <w:proofErr w:type="spellEnd"/>
      <w:r>
        <w:rPr>
          <w:color w:val="000000"/>
          <w:lang w:val="es-SV"/>
        </w:rPr>
        <w:t xml:space="preserve"> FSV 01/2022 “Programa de Seguros del FSV”</w:t>
      </w:r>
      <w:bookmarkEnd w:id="15"/>
      <w:r>
        <w:rPr>
          <w:b/>
          <w:color w:val="000000"/>
          <w:lang w:val="es-SV"/>
        </w:rPr>
        <w:t xml:space="preserve">, En el presente punto el Consejo de Vigilancia advierte un posible error material, en sentido que, el punto que contiene lo relativo a las Bases de </w:t>
      </w:r>
      <w:r w:rsidR="006C6338">
        <w:rPr>
          <w:b/>
          <w:color w:val="000000"/>
          <w:lang w:val="es-SV"/>
        </w:rPr>
        <w:t>Licitación “</w:t>
      </w:r>
      <w:r>
        <w:rPr>
          <w:b/>
          <w:color w:val="000000"/>
          <w:lang w:val="es-SV"/>
        </w:rPr>
        <w:t xml:space="preserve">Programa de Seguros del FSV”, es el punto XII y no el XIX, por tanto, el Consejo acuerda realizar la comunicación de la observación.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014</w:t>
      </w:r>
      <w:r w:rsidRPr="00E23669">
        <w:rPr>
          <w:b/>
          <w:bCs/>
          <w:lang w:val="es-SV"/>
        </w:rPr>
        <w:t>/202</w:t>
      </w:r>
      <w:r>
        <w:rPr>
          <w:b/>
          <w:bCs/>
          <w:lang w:val="es-SV"/>
        </w:rPr>
        <w:t>2</w:t>
      </w:r>
      <w:r w:rsidRPr="00E23669">
        <w:rPr>
          <w:b/>
          <w:bCs/>
          <w:lang w:val="es-SV"/>
        </w:rPr>
        <w:t xml:space="preserve"> DEL </w:t>
      </w:r>
      <w:r>
        <w:rPr>
          <w:b/>
          <w:bCs/>
          <w:lang w:val="es-SV"/>
        </w:rPr>
        <w:t>21</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solicitudes de crédito por un monto de $</w:t>
      </w:r>
      <w:r>
        <w:rPr>
          <w:rFonts w:eastAsia="Arial"/>
          <w:b/>
        </w:rPr>
        <w:t xml:space="preserve"> 621,064.26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015</w:t>
      </w:r>
      <w:r w:rsidRPr="00E23669">
        <w:rPr>
          <w:b/>
          <w:bCs/>
          <w:lang w:val="es-SV"/>
        </w:rPr>
        <w:t>/202</w:t>
      </w:r>
      <w:r>
        <w:rPr>
          <w:b/>
          <w:bCs/>
          <w:lang w:val="es-SV"/>
        </w:rPr>
        <w:t>2</w:t>
      </w:r>
      <w:r w:rsidRPr="00E23669">
        <w:rPr>
          <w:b/>
          <w:bCs/>
          <w:lang w:val="es-SV"/>
        </w:rPr>
        <w:t xml:space="preserve"> DEL </w:t>
      </w:r>
      <w:r>
        <w:rPr>
          <w:b/>
          <w:bCs/>
          <w:lang w:val="es-SV"/>
        </w:rPr>
        <w:t>24</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46 </w:t>
      </w:r>
      <w:r w:rsidRPr="004238A4">
        <w:rPr>
          <w:rFonts w:eastAsia="Arial"/>
          <w:b/>
        </w:rPr>
        <w:t>solicitudes de crédito por un monto de $</w:t>
      </w:r>
      <w:r>
        <w:rPr>
          <w:rFonts w:eastAsia="Arial"/>
          <w:b/>
        </w:rPr>
        <w:t>897,738.04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 xml:space="preserve">ANALISIS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016</w:t>
      </w:r>
      <w:r w:rsidRPr="00E23669">
        <w:rPr>
          <w:b/>
          <w:bCs/>
          <w:lang w:val="es-SV"/>
        </w:rPr>
        <w:t>/202</w:t>
      </w:r>
      <w:r>
        <w:rPr>
          <w:b/>
          <w:bCs/>
          <w:lang w:val="es-SV"/>
        </w:rPr>
        <w:t>2</w:t>
      </w:r>
      <w:r w:rsidRPr="00E23669">
        <w:rPr>
          <w:b/>
          <w:bCs/>
          <w:lang w:val="es-SV"/>
        </w:rPr>
        <w:t xml:space="preserve"> DEL </w:t>
      </w:r>
      <w:r>
        <w:rPr>
          <w:b/>
          <w:bCs/>
          <w:lang w:val="es-SV"/>
        </w:rPr>
        <w:t>25</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29 </w:t>
      </w:r>
      <w:r w:rsidRPr="004238A4">
        <w:rPr>
          <w:rFonts w:eastAsia="Arial"/>
          <w:b/>
        </w:rPr>
        <w:t>solicitudes de crédito por un monto de $</w:t>
      </w:r>
      <w:r>
        <w:rPr>
          <w:rFonts w:eastAsia="Arial"/>
          <w:b/>
        </w:rPr>
        <w:t xml:space="preserve"> 512,178.03</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017</w:t>
      </w:r>
      <w:r w:rsidRPr="00E23669">
        <w:rPr>
          <w:b/>
          <w:bCs/>
          <w:lang w:val="es-SV"/>
        </w:rPr>
        <w:t>/202</w:t>
      </w:r>
      <w:r>
        <w:rPr>
          <w:b/>
          <w:bCs/>
          <w:lang w:val="es-SV"/>
        </w:rPr>
        <w:t>2</w:t>
      </w:r>
      <w:r w:rsidRPr="00E23669">
        <w:rPr>
          <w:b/>
          <w:bCs/>
          <w:lang w:val="es-SV"/>
        </w:rPr>
        <w:t xml:space="preserve"> DEL </w:t>
      </w:r>
      <w:r>
        <w:rPr>
          <w:b/>
          <w:bCs/>
          <w:lang w:val="es-SV"/>
        </w:rPr>
        <w:t>26</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35 </w:t>
      </w:r>
      <w:r w:rsidRPr="004238A4">
        <w:rPr>
          <w:rFonts w:eastAsia="Arial"/>
          <w:b/>
        </w:rPr>
        <w:t>solicitudes de crédito por un monto de $</w:t>
      </w:r>
      <w:r>
        <w:rPr>
          <w:rFonts w:eastAsia="Arial"/>
          <w:b/>
        </w:rPr>
        <w:t>826,942.71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IX</w:t>
      </w:r>
      <w:r w:rsidRPr="00E23669">
        <w:rPr>
          <w:b/>
          <w:bCs/>
          <w:lang w:val="es-SV"/>
        </w:rPr>
        <w:t xml:space="preserve">. CORRESPONDENCIA RECIBIDA. </w:t>
      </w:r>
      <w:r>
        <w:rPr>
          <w:b/>
          <w:bCs/>
          <w:lang w:val="es-SV"/>
        </w:rPr>
        <w:t>1. Carta</w:t>
      </w:r>
      <w:r w:rsidRPr="007C7BE2">
        <w:rPr>
          <w:b/>
          <w:color w:val="000000"/>
        </w:rPr>
        <w:t xml:space="preserve"> Recibid</w:t>
      </w:r>
      <w:r>
        <w:rPr>
          <w:b/>
          <w:color w:val="000000"/>
        </w:rPr>
        <w:t>a</w:t>
      </w:r>
      <w:r w:rsidRPr="007C7BE2">
        <w:rPr>
          <w:b/>
          <w:color w:val="000000"/>
        </w:rPr>
        <w:t xml:space="preserve"> Respuesta a Memorándum Ref. C.V. </w:t>
      </w:r>
      <w:r>
        <w:rPr>
          <w:b/>
          <w:color w:val="000000"/>
        </w:rPr>
        <w:t>01</w:t>
      </w:r>
      <w:r w:rsidRPr="007C7BE2">
        <w:rPr>
          <w:b/>
          <w:color w:val="000000"/>
        </w:rPr>
        <w:t>/202</w:t>
      </w:r>
      <w:r>
        <w:rPr>
          <w:b/>
          <w:color w:val="000000"/>
        </w:rPr>
        <w:t>2</w:t>
      </w:r>
      <w:r w:rsidRPr="007C7BE2">
        <w:rPr>
          <w:b/>
          <w:color w:val="000000"/>
        </w:rPr>
        <w:t>,</w:t>
      </w:r>
      <w:r w:rsidRPr="007C7BE2">
        <w:rPr>
          <w:color w:val="000000"/>
        </w:rPr>
        <w:t xml:space="preserve"> </w:t>
      </w:r>
      <w:r w:rsidRPr="007C7BE2">
        <w:rPr>
          <w:b/>
          <w:color w:val="000000"/>
        </w:rPr>
        <w:t xml:space="preserve">de fecha </w:t>
      </w:r>
      <w:r>
        <w:rPr>
          <w:b/>
          <w:color w:val="000000"/>
        </w:rPr>
        <w:t>10</w:t>
      </w:r>
      <w:r w:rsidRPr="007C7BE2">
        <w:rPr>
          <w:b/>
          <w:color w:val="000000"/>
        </w:rPr>
        <w:t xml:space="preserve"> de </w:t>
      </w:r>
      <w:r>
        <w:rPr>
          <w:b/>
          <w:color w:val="000000"/>
        </w:rPr>
        <w:t>diciembre</w:t>
      </w:r>
      <w:r w:rsidRPr="007C7BE2">
        <w:rPr>
          <w:b/>
          <w:color w:val="000000"/>
        </w:rPr>
        <w:t xml:space="preserve"> de 202</w:t>
      </w:r>
      <w:r>
        <w:rPr>
          <w:b/>
          <w:color w:val="000000"/>
        </w:rPr>
        <w:t>1</w:t>
      </w:r>
      <w:r w:rsidRPr="007C7BE2">
        <w:rPr>
          <w:b/>
          <w:color w:val="000000"/>
        </w:rPr>
        <w:t>.</w:t>
      </w:r>
      <w:r>
        <w:rPr>
          <w:b/>
          <w:color w:val="000000"/>
        </w:rPr>
        <w:t xml:space="preserve"> </w:t>
      </w:r>
      <w:r w:rsidRPr="007C7BE2">
        <w:rPr>
          <w:color w:val="000000"/>
        </w:rPr>
        <w:t xml:space="preserve">Se </w:t>
      </w:r>
      <w:r w:rsidRPr="007C7BE2">
        <w:rPr>
          <w:color w:val="000000"/>
        </w:rPr>
        <w:lastRenderedPageBreak/>
        <w:t xml:space="preserve">recibió </w:t>
      </w:r>
      <w:r>
        <w:rPr>
          <w:color w:val="000000"/>
        </w:rPr>
        <w:t>carta</w:t>
      </w:r>
      <w:r w:rsidRPr="007C7BE2">
        <w:rPr>
          <w:color w:val="000000"/>
        </w:rPr>
        <w:t xml:space="preserve"> de Licdo.</w:t>
      </w:r>
      <w:r>
        <w:rPr>
          <w:color w:val="000000"/>
        </w:rPr>
        <w:t xml:space="preserve"> Luis Josué Ventura Hernández</w:t>
      </w:r>
      <w:r w:rsidRPr="007C7BE2">
        <w:rPr>
          <w:color w:val="000000"/>
        </w:rPr>
        <w:t xml:space="preserve">, Gerente </w:t>
      </w:r>
      <w:r>
        <w:rPr>
          <w:color w:val="000000"/>
        </w:rPr>
        <w:t>General</w:t>
      </w:r>
      <w:r w:rsidRPr="007C7BE2">
        <w:rPr>
          <w:color w:val="000000"/>
        </w:rPr>
        <w:t>, relacionado con el Acta de Sesión de Junta Directiva No. JD-</w:t>
      </w:r>
      <w:r>
        <w:rPr>
          <w:color w:val="000000"/>
        </w:rPr>
        <w:t>008</w:t>
      </w:r>
      <w:r w:rsidRPr="007C7BE2">
        <w:rPr>
          <w:color w:val="000000"/>
        </w:rPr>
        <w:t>/202</w:t>
      </w:r>
      <w:r>
        <w:rPr>
          <w:color w:val="000000"/>
        </w:rPr>
        <w:t>2</w:t>
      </w:r>
      <w:r w:rsidRPr="007C7BE2">
        <w:rPr>
          <w:color w:val="000000"/>
        </w:rPr>
        <w:t xml:space="preserve"> del </w:t>
      </w:r>
      <w:r>
        <w:rPr>
          <w:color w:val="000000"/>
        </w:rPr>
        <w:t>13</w:t>
      </w:r>
      <w:r w:rsidRPr="007C7BE2">
        <w:rPr>
          <w:color w:val="000000"/>
        </w:rPr>
        <w:t>/</w:t>
      </w:r>
      <w:r>
        <w:rPr>
          <w:color w:val="000000"/>
        </w:rPr>
        <w:t>1</w:t>
      </w:r>
      <w:r w:rsidRPr="007C7BE2">
        <w:rPr>
          <w:color w:val="000000"/>
        </w:rPr>
        <w:t>/202</w:t>
      </w:r>
      <w:r>
        <w:rPr>
          <w:color w:val="000000"/>
        </w:rPr>
        <w:t>2</w:t>
      </w:r>
      <w:r w:rsidRPr="007C7BE2">
        <w:rPr>
          <w:color w:val="000000"/>
        </w:rPr>
        <w:t>, punto</w:t>
      </w:r>
      <w:r>
        <w:rPr>
          <w:color w:val="000000"/>
        </w:rPr>
        <w:t xml:space="preserve"> IX. Solicitud de Prórroga del Contrato Derivado de la Libre Gestión No. FSV-222/2021 “Suministro de Uniformes para Personal del FSV”.  </w:t>
      </w:r>
      <w:r w:rsidRPr="007C7BE2">
        <w:rPr>
          <w:color w:val="000000"/>
        </w:rPr>
        <w:t>Después de haber leído y analizado el contenido de</w:t>
      </w:r>
      <w:r>
        <w:rPr>
          <w:color w:val="000000"/>
        </w:rPr>
        <w:t xml:space="preserve"> </w:t>
      </w:r>
      <w:r w:rsidRPr="007C7BE2">
        <w:rPr>
          <w:color w:val="000000"/>
        </w:rPr>
        <w:t>l</w:t>
      </w:r>
      <w:r>
        <w:rPr>
          <w:color w:val="000000"/>
        </w:rPr>
        <w:t>a</w:t>
      </w:r>
      <w:r w:rsidRPr="007C7BE2">
        <w:rPr>
          <w:color w:val="000000"/>
        </w:rPr>
        <w:t xml:space="preserve"> </w:t>
      </w:r>
      <w:r>
        <w:rPr>
          <w:color w:val="000000"/>
        </w:rPr>
        <w:t>carta</w:t>
      </w:r>
      <w:r w:rsidRPr="007C7BE2">
        <w:rPr>
          <w:color w:val="000000"/>
        </w:rPr>
        <w:t xml:space="preserve">, </w:t>
      </w:r>
      <w:r>
        <w:rPr>
          <w:b/>
          <w:color w:val="000000"/>
        </w:rPr>
        <w:t>el</w:t>
      </w:r>
      <w:r w:rsidRPr="007C7BE2">
        <w:rPr>
          <w:b/>
          <w:color w:val="000000"/>
        </w:rPr>
        <w:t xml:space="preserve"> Consejo </w:t>
      </w:r>
      <w:r>
        <w:rPr>
          <w:b/>
          <w:color w:val="000000"/>
        </w:rPr>
        <w:t xml:space="preserve">agradece la comunicación realizada por el Licenciado Josué Ventura Gerente General, reiterando que como Consejo de Vigilancia se realiza las observaciones con propósito contribuir con la buena administración del FSV, este Consejo se da por enterado.  2. </w:t>
      </w:r>
      <w:bookmarkStart w:id="16" w:name="_Hlk96068495"/>
      <w:r>
        <w:rPr>
          <w:b/>
          <w:color w:val="000000"/>
        </w:rPr>
        <w:t xml:space="preserve">Carta Recibida en razón de nuevo nombramiento de Secretaria del Consejo de Vigilancia, </w:t>
      </w:r>
      <w:r w:rsidRPr="00B74636">
        <w:rPr>
          <w:bCs/>
          <w:color w:val="000000"/>
        </w:rPr>
        <w:t xml:space="preserve">nombrando a la señora Florinda Carolina Munguía de Mejía en sustitución de la Señora Berta Lidia </w:t>
      </w:r>
      <w:proofErr w:type="spellStart"/>
      <w:r w:rsidRPr="00B74636">
        <w:rPr>
          <w:bCs/>
          <w:color w:val="000000"/>
        </w:rPr>
        <w:t>Irigoyén</w:t>
      </w:r>
      <w:proofErr w:type="spellEnd"/>
      <w:r w:rsidRPr="00B74636">
        <w:rPr>
          <w:bCs/>
          <w:color w:val="000000"/>
        </w:rPr>
        <w:t xml:space="preserve"> </w:t>
      </w:r>
      <w:r>
        <w:rPr>
          <w:bCs/>
          <w:color w:val="000000"/>
        </w:rPr>
        <w:t>d</w:t>
      </w:r>
      <w:r w:rsidRPr="00B74636">
        <w:rPr>
          <w:bCs/>
          <w:color w:val="000000"/>
        </w:rPr>
        <w:t>e Díaz</w:t>
      </w:r>
      <w:bookmarkEnd w:id="16"/>
      <w:r>
        <w:rPr>
          <w:b/>
          <w:color w:val="000000"/>
        </w:rPr>
        <w:t xml:space="preserve">, los miembros del Consejo agradecen todo el apoyo que ha realizado la señora Berta Lidia </w:t>
      </w:r>
      <w:proofErr w:type="spellStart"/>
      <w:r>
        <w:rPr>
          <w:b/>
          <w:color w:val="000000"/>
        </w:rPr>
        <w:t>Irigoyén</w:t>
      </w:r>
      <w:proofErr w:type="spellEnd"/>
      <w:r>
        <w:rPr>
          <w:b/>
          <w:color w:val="000000"/>
        </w:rPr>
        <w:t xml:space="preserve"> de Díaz a este Consejo y al FSV, por el número de años de servicio para la Institución, le desean el mayor de los éxitos, por otra parte, cordialmente se realiza la Bienvenida de la Señora </w:t>
      </w:r>
      <w:r w:rsidRPr="00B74636">
        <w:rPr>
          <w:b/>
          <w:color w:val="000000"/>
        </w:rPr>
        <w:t>Florinda Carolina Munguía de Mejía</w:t>
      </w:r>
      <w:r>
        <w:rPr>
          <w:b/>
          <w:color w:val="000000"/>
        </w:rPr>
        <w:t xml:space="preserve"> al Consejo de Vigilancia del FSV, además se expresan los buenos deseos y apoyo en contribuir con la Administración del Honorable FONDO SOCIAL PARA LA VIVIENDA, </w:t>
      </w:r>
      <w:r>
        <w:rPr>
          <w:bCs/>
          <w:color w:val="000000"/>
        </w:rPr>
        <w:t>por su parte la señora Munguía de Mejía expresó que está con toda la buena voluntad de colaborar en todo y con todos los miembros de Consejo de Vigilancia del FSV.</w:t>
      </w:r>
      <w:r w:rsidRPr="00B74636">
        <w:rPr>
          <w:b/>
          <w:bCs/>
          <w:lang w:val="es-SV"/>
        </w:rPr>
        <w:t xml:space="preserve"> </w:t>
      </w:r>
      <w:r w:rsidRPr="00E23669">
        <w:rPr>
          <w:b/>
          <w:bCs/>
          <w:lang w:val="es-SV"/>
        </w:rPr>
        <w:t xml:space="preserve">X. </w:t>
      </w:r>
      <w:r w:rsidRPr="00E23669">
        <w:rPr>
          <w:b/>
          <w:lang w:val="es-SV"/>
        </w:rPr>
        <w:t>VARIOS</w:t>
      </w:r>
      <w:r w:rsidRPr="00E23669">
        <w:rPr>
          <w:lang w:val="es-SV"/>
        </w:rPr>
        <w:t>. En este punto el Consejo no hubo nada que tratar</w:t>
      </w:r>
      <w:r w:rsidRPr="00D421BD">
        <w:rPr>
          <w:lang w:val="es-SV"/>
        </w:rPr>
        <w:t xml:space="preserve">.  La </w:t>
      </w:r>
      <w:proofErr w:type="gramStart"/>
      <w:r w:rsidRPr="00D421BD">
        <w:rPr>
          <w:lang w:val="es-SV"/>
        </w:rPr>
        <w:t>Presidenta</w:t>
      </w:r>
      <w:proofErr w:type="gramEnd"/>
      <w:r w:rsidRPr="00D421BD">
        <w:rPr>
          <w:lang w:val="es-SV"/>
        </w:rPr>
        <w:t xml:space="preserve"> del Consejo convoca para la próxima reunión el día </w:t>
      </w:r>
      <w:r>
        <w:rPr>
          <w:lang w:val="es-SV"/>
        </w:rPr>
        <w:t>21</w:t>
      </w:r>
      <w:r w:rsidRPr="00D421BD">
        <w:rPr>
          <w:lang w:val="es-SV"/>
        </w:rPr>
        <w:t xml:space="preserve"> de febrero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reunión   a las</w:t>
      </w:r>
      <w:r>
        <w:rPr>
          <w:lang w:val="es-SV"/>
        </w:rPr>
        <w:t xml:space="preserve"> once horas con cuarenta y un minutos</w:t>
      </w:r>
      <w:r w:rsidRPr="00E23669">
        <w:rPr>
          <w:lang w:val="es-SV"/>
        </w:rPr>
        <w:t>, ratificamos su contenido y firmamos.</w:t>
      </w:r>
    </w:p>
    <w:p w14:paraId="2D238345" w14:textId="77777777" w:rsidR="006D2477" w:rsidRPr="00E23669" w:rsidRDefault="006D2477" w:rsidP="0003093B">
      <w:pPr>
        <w:jc w:val="both"/>
        <w:rPr>
          <w:sz w:val="22"/>
          <w:lang w:val="es-SV"/>
        </w:rPr>
      </w:pPr>
    </w:p>
    <w:p w14:paraId="466FAEE1" w14:textId="77777777" w:rsidR="006D2477" w:rsidRPr="00E23669" w:rsidRDefault="006D2477" w:rsidP="0003093B">
      <w:pPr>
        <w:jc w:val="both"/>
        <w:rPr>
          <w:sz w:val="22"/>
          <w:lang w:val="es-SV"/>
        </w:rPr>
      </w:pPr>
    </w:p>
    <w:p w14:paraId="58AB03E5" w14:textId="77777777" w:rsidR="006C6338" w:rsidRDefault="006C6338" w:rsidP="006C6338">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622C2E18" w14:textId="77777777" w:rsidR="006D2477" w:rsidRDefault="006D2477" w:rsidP="0003093B">
      <w:pPr>
        <w:jc w:val="both"/>
        <w:rPr>
          <w:b/>
          <w:bCs/>
          <w:lang w:val="es-SV"/>
        </w:rPr>
      </w:pPr>
    </w:p>
    <w:bookmarkEnd w:id="0"/>
    <w:p w14:paraId="2D833820" w14:textId="77777777" w:rsidR="006344D1" w:rsidRDefault="006C6338" w:rsidP="0003093B"/>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C049" w14:textId="77777777" w:rsidR="006C6338" w:rsidRDefault="006C6338" w:rsidP="006C6338">
      <w:r>
        <w:separator/>
      </w:r>
    </w:p>
  </w:endnote>
  <w:endnote w:type="continuationSeparator" w:id="0">
    <w:p w14:paraId="2242BE6C" w14:textId="77777777" w:rsidR="006C6338" w:rsidRDefault="006C6338" w:rsidP="006C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D099" w14:textId="77777777" w:rsidR="006C6338" w:rsidRDefault="006C6338" w:rsidP="006C6338">
      <w:r>
        <w:separator/>
      </w:r>
    </w:p>
  </w:footnote>
  <w:footnote w:type="continuationSeparator" w:id="0">
    <w:p w14:paraId="1807B5F7" w14:textId="77777777" w:rsidR="006C6338" w:rsidRDefault="006C6338" w:rsidP="006C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155C" w14:textId="77777777" w:rsidR="006C6338" w:rsidRPr="000843BF" w:rsidRDefault="006C6338" w:rsidP="006C6338">
    <w:pPr>
      <w:rPr>
        <w:rFonts w:ascii="Arial" w:hAnsi="Arial" w:cs="Arial"/>
        <w:b/>
        <w:color w:val="FF0000"/>
        <w:sz w:val="20"/>
        <w:szCs w:val="20"/>
      </w:rPr>
    </w:pPr>
    <w:bookmarkStart w:id="17" w:name="_Hlk56697089"/>
    <w:bookmarkStart w:id="18" w:name="_Hlk30755353"/>
    <w:r w:rsidRPr="000843BF">
      <w:rPr>
        <w:rFonts w:ascii="Arial" w:hAnsi="Arial" w:cs="Arial"/>
        <w:b/>
        <w:color w:val="FF0000"/>
        <w:sz w:val="20"/>
        <w:szCs w:val="20"/>
      </w:rPr>
      <w:t>DOCUMENTO ELABORADO EN VERSIÓN PÚBLICA ART. 30 LAIP</w:t>
    </w:r>
  </w:p>
  <w:p w14:paraId="4D8059B1" w14:textId="77777777" w:rsidR="006C6338" w:rsidRPr="000843BF" w:rsidRDefault="006C6338" w:rsidP="006C6338">
    <w:pPr>
      <w:rPr>
        <w:rFonts w:ascii="Arial" w:hAnsi="Arial" w:cs="Arial"/>
        <w:b/>
        <w:color w:val="FF0000"/>
        <w:sz w:val="20"/>
        <w:szCs w:val="20"/>
      </w:rPr>
    </w:pPr>
    <w:r w:rsidRPr="000843BF">
      <w:rPr>
        <w:rFonts w:ascii="Arial" w:hAnsi="Arial" w:cs="Arial"/>
        <w:b/>
        <w:color w:val="FF0000"/>
        <w:sz w:val="20"/>
        <w:szCs w:val="20"/>
      </w:rPr>
      <w:t>SUPRESIÓN DE FIRMAS Y SELLOS</w:t>
    </w:r>
    <w:bookmarkEnd w:id="17"/>
  </w:p>
  <w:bookmarkEnd w:id="18"/>
  <w:p w14:paraId="468A240F" w14:textId="77777777" w:rsidR="006C6338" w:rsidRDefault="006C63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77"/>
    <w:rsid w:val="0003093B"/>
    <w:rsid w:val="00313927"/>
    <w:rsid w:val="00382349"/>
    <w:rsid w:val="004D6623"/>
    <w:rsid w:val="005A7A7E"/>
    <w:rsid w:val="006C6338"/>
    <w:rsid w:val="006D2477"/>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54D0"/>
  <w15:chartTrackingRefBased/>
  <w15:docId w15:val="{ECEA2CFC-FC61-42D9-81C3-22E6D51F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6338"/>
    <w:pPr>
      <w:tabs>
        <w:tab w:val="center" w:pos="4419"/>
        <w:tab w:val="right" w:pos="8838"/>
      </w:tabs>
    </w:pPr>
  </w:style>
  <w:style w:type="character" w:customStyle="1" w:styleId="EncabezadoCar">
    <w:name w:val="Encabezado Car"/>
    <w:basedOn w:val="Fuentedeprrafopredeter"/>
    <w:link w:val="Encabezado"/>
    <w:uiPriority w:val="99"/>
    <w:rsid w:val="006C633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C6338"/>
    <w:pPr>
      <w:tabs>
        <w:tab w:val="center" w:pos="4419"/>
        <w:tab w:val="right" w:pos="8838"/>
      </w:tabs>
    </w:pPr>
  </w:style>
  <w:style w:type="character" w:customStyle="1" w:styleId="PiedepginaCar">
    <w:name w:val="Pie de página Car"/>
    <w:basedOn w:val="Fuentedeprrafopredeter"/>
    <w:link w:val="Piedepgina"/>
    <w:uiPriority w:val="99"/>
    <w:rsid w:val="006C633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2063</Words>
  <Characters>11347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2022-03-14T22:10:00Z</dcterms:created>
  <dcterms:modified xsi:type="dcterms:W3CDTF">2022-03-14T22:34:00Z</dcterms:modified>
</cp:coreProperties>
</file>