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6D5363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D03A4BC">
            <wp:extent cx="1358970" cy="427340"/>
            <wp:effectExtent l="0" t="0" r="0" b="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836" cy="44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6D5363">
      <w:pPr>
        <w:jc w:val="center"/>
        <w:rPr>
          <w:b/>
        </w:rPr>
      </w:pPr>
    </w:p>
    <w:p w14:paraId="028733B6" w14:textId="3EFA4523" w:rsidR="003B21DA" w:rsidRDefault="003B21DA" w:rsidP="006D5363">
      <w:pPr>
        <w:jc w:val="both"/>
        <w:rPr>
          <w:b/>
        </w:rPr>
      </w:pPr>
      <w:bookmarkStart w:id="0" w:name="_Hlk62022727"/>
      <w:bookmarkStart w:id="1" w:name="_Hlk60986210"/>
      <w:bookmarkStart w:id="2" w:name="_Hlk29474535"/>
    </w:p>
    <w:p w14:paraId="09BCE88F" w14:textId="77777777" w:rsidR="006D5363" w:rsidRPr="00F020E5" w:rsidRDefault="006D5363" w:rsidP="006D5363">
      <w:pPr>
        <w:jc w:val="both"/>
        <w:rPr>
          <w:b/>
          <w:color w:val="000000"/>
          <w:lang w:val="es-SV"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17</w:t>
      </w:r>
      <w:r w:rsidRPr="00E23669">
        <w:rPr>
          <w:b/>
          <w:lang w:val="es-SV"/>
        </w:rPr>
        <w:t xml:space="preserve">/2021.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a </w:t>
      </w:r>
      <w:r w:rsidRPr="009276F4">
        <w:rPr>
          <w:lang w:val="es-SV"/>
        </w:rPr>
        <w:t>las ocho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18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junio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 xml:space="preserve">Se realizó la reunión de los señores Miembros del Consejo de Vigilancia: 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Doctora </w:t>
      </w:r>
      <w:r w:rsidRPr="00E23669">
        <w:rPr>
          <w:b/>
          <w:lang w:val="es-SV"/>
        </w:rPr>
        <w:t xml:space="preserve">LUZ ESTRELLA RODRIGUEZ LOPEZ,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Ingeniero </w:t>
      </w:r>
      <w:r w:rsidRPr="00E23669">
        <w:rPr>
          <w:b/>
          <w:bCs/>
          <w:lang w:val="es-SV"/>
        </w:rPr>
        <w:t>ENRIQUE OÑATE MUYSHONDT</w:t>
      </w:r>
      <w:r w:rsidRPr="00E23669">
        <w:rPr>
          <w:lang w:val="es-SV"/>
        </w:rPr>
        <w:t xml:space="preserve"> en representación del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PATRONAL</w:t>
      </w:r>
      <w:r w:rsidRPr="00E23669">
        <w:rPr>
          <w:lang w:val="es-SV"/>
        </w:rPr>
        <w:t>;</w:t>
      </w:r>
      <w:r>
        <w:rPr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 xml:space="preserve">, Presidenta; </w:t>
      </w:r>
      <w:proofErr w:type="gramStart"/>
      <w:r w:rsidRPr="00E23669">
        <w:rPr>
          <w:lang w:val="es-SV"/>
        </w:rPr>
        <w:t>declara  abierta</w:t>
      </w:r>
      <w:proofErr w:type="gramEnd"/>
      <w:r w:rsidRPr="00E23669">
        <w:rPr>
          <w:lang w:val="es-SV"/>
        </w:rPr>
        <w:t xml:space="preserve">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16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092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</w:t>
      </w:r>
      <w:r w:rsidRPr="00E23669">
        <w:rPr>
          <w:bCs/>
          <w:lang w:val="es-SV"/>
        </w:rPr>
        <w:t xml:space="preserve"> de</w:t>
      </w:r>
      <w:r>
        <w:rPr>
          <w:bCs/>
          <w:lang w:val="es-SV"/>
        </w:rPr>
        <w:t xml:space="preserve"> 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093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094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095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26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096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27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 xml:space="preserve">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097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28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F90655">
        <w:rPr>
          <w:b/>
          <w:lang w:val="es-SV"/>
        </w:rPr>
        <w:t>IX.</w:t>
      </w:r>
      <w:r w:rsidRPr="00E23669"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098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31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mayo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F90655">
        <w:rPr>
          <w:b/>
          <w:lang w:val="es-SV"/>
        </w:rPr>
        <w:t>X.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E23669">
        <w:rPr>
          <w:b/>
          <w:lang w:val="es-SV"/>
        </w:rPr>
        <w:t>X</w:t>
      </w:r>
      <w:r>
        <w:rPr>
          <w:b/>
          <w:lang w:val="es-SV"/>
        </w:rPr>
        <w:t>I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>: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16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, de fecha </w:t>
      </w:r>
      <w:r>
        <w:rPr>
          <w:lang w:val="es-SV"/>
        </w:rPr>
        <w:t>8</w:t>
      </w:r>
      <w:r w:rsidRPr="00E23669">
        <w:rPr>
          <w:lang w:val="es-SV"/>
        </w:rPr>
        <w:t xml:space="preserve"> de </w:t>
      </w:r>
      <w:r>
        <w:rPr>
          <w:lang w:val="es-SV"/>
        </w:rPr>
        <w:t>junio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092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 xml:space="preserve">no teniendo ninguna observación que hacer </w:t>
      </w:r>
      <w:r w:rsidRPr="003E2FC0">
        <w:rPr>
          <w:color w:val="000000"/>
          <w:lang w:val="es-SV"/>
        </w:rPr>
        <w:t>al respecto al contenido del acta antes relacionada.</w:t>
      </w:r>
      <w:r w:rsidRPr="003E2FC0">
        <w:rPr>
          <w:b/>
          <w:bCs/>
          <w:lang w:val="es-SV"/>
        </w:rPr>
        <w:t xml:space="preserve"> IV. </w:t>
      </w:r>
      <w:r w:rsidRPr="003E2FC0">
        <w:rPr>
          <w:b/>
          <w:lang w:val="es-SV"/>
        </w:rPr>
        <w:t xml:space="preserve">ANALISIS </w:t>
      </w:r>
      <w:r w:rsidRPr="003E2FC0">
        <w:rPr>
          <w:b/>
          <w:bCs/>
          <w:lang w:val="es-SV"/>
        </w:rPr>
        <w:t>ACTA DE SESIÓN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093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24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094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25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095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26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lastRenderedPageBreak/>
        <w:t xml:space="preserve">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096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27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Aprobación de Préstamos Personales; </w:t>
      </w:r>
      <w:bookmarkStart w:id="3" w:name="_Hlk74897711"/>
      <w:r w:rsidRPr="00967349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Seguimiento a recomendaciones de exámenes no programados, con estado a marzo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>Informe de Libre Gestión No. FSV-067/2021 “Actualización de Plataforma de Software Laserfiche de la Versión United a la Versión Avante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EC140B">
        <w:rPr>
          <w:bCs/>
          <w:color w:val="000000"/>
          <w:lang w:val="es-SV"/>
        </w:rPr>
        <w:t xml:space="preserve">Contrato de Renovación y Modificación de la Línea Global de Crédito No. 2178; </w:t>
      </w:r>
      <w:r w:rsidRPr="00E23669">
        <w:rPr>
          <w:b/>
          <w:color w:val="000000"/>
          <w:lang w:val="es-SV"/>
        </w:rPr>
        <w:t xml:space="preserve">VIII. </w:t>
      </w:r>
      <w:r w:rsidRPr="00EC140B">
        <w:rPr>
          <w:bCs/>
          <w:color w:val="000000"/>
          <w:lang w:val="es-SV"/>
        </w:rPr>
        <w:t>Informe de sobre Cobertura de Cartera Hipotecaria de Créditos vencidos al mes de abril de 2021;</w:t>
      </w:r>
      <w:r w:rsidRPr="00EC140B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IX. </w:t>
      </w:r>
      <w:r w:rsidRPr="00EC140B">
        <w:rPr>
          <w:bCs/>
          <w:color w:val="000000"/>
          <w:lang w:val="es-SV"/>
        </w:rPr>
        <w:t>Informe de Posicionamiento de Mercado al mes de marzo de 2021</w:t>
      </w:r>
      <w:r>
        <w:rPr>
          <w:b/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Monitor de Operaciones al mes de abril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>Aprobación de Bases de Licitación Pública No. FSV-06/2021 “Servicios de Agencia de Publicidad”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GPG, Edificaciones, S.A. de C.V. de Factibilidad para Proyecto Altos de la Pacífica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XIII.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Modificaciones del Instructivo de Garantía Hipotecarias</w:t>
      </w:r>
      <w:r w:rsidRPr="00E23669">
        <w:rPr>
          <w:color w:val="000000"/>
          <w:lang w:val="es-SV"/>
        </w:rPr>
        <w:t xml:space="preserve">; </w:t>
      </w:r>
      <w:r w:rsidRPr="00A71654">
        <w:rPr>
          <w:b/>
          <w:color w:val="000000" w:themeColor="text1"/>
          <w:lang w:val="es-SV"/>
        </w:rPr>
        <w:t>XIV.</w:t>
      </w:r>
      <w:r w:rsidRPr="00F07140">
        <w:rPr>
          <w:color w:val="FF0000"/>
          <w:lang w:val="es-SV"/>
        </w:rPr>
        <w:t xml:space="preserve"> </w:t>
      </w:r>
      <w:r w:rsidRPr="00A71654">
        <w:rPr>
          <w:color w:val="000000" w:themeColor="text1"/>
          <w:lang w:val="es-SV"/>
        </w:rPr>
        <w:t xml:space="preserve">Otorgamiento de Poder Especial Administrativo para Personal Jurídico del FSV. </w:t>
      </w:r>
      <w:r w:rsidRPr="00F07140">
        <w:rPr>
          <w:color w:val="FF0000"/>
          <w:lang w:val="es-SV"/>
        </w:rPr>
        <w:t xml:space="preserve"> </w:t>
      </w:r>
      <w:r w:rsidRPr="00870BA7">
        <w:rPr>
          <w:b/>
          <w:bCs/>
          <w:color w:val="000000"/>
          <w:lang w:val="es-SV"/>
        </w:rPr>
        <w:t>XV.</w:t>
      </w:r>
      <w:r>
        <w:rPr>
          <w:b/>
          <w:bCs/>
          <w:color w:val="000000"/>
          <w:lang w:val="es-SV"/>
        </w:rPr>
        <w:t xml:space="preserve"> </w:t>
      </w:r>
      <w:r w:rsidRPr="00F07140">
        <w:rPr>
          <w:color w:val="000000"/>
          <w:lang w:val="es-SV"/>
        </w:rPr>
        <w:t xml:space="preserve">Acuerdo de Resolución sobre Información Reserva de esta sesión. </w:t>
      </w:r>
      <w:bookmarkEnd w:id="3"/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967349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Seguimiento a recomendaciones de exámenes no programados, con estado a marzo 2021,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se sugiere darle seguimiento para lograr el cumplimiento de recomendaciones pendientes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Informe de Libre Gestión No. FSV-067/2021 “Actualización de Plataforma de Software Laserfiche de la Versión United a la Versión Avante,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</w:t>
      </w:r>
      <w:r>
        <w:rPr>
          <w:b/>
          <w:color w:val="000000"/>
          <w:lang w:val="es-SV"/>
        </w:rPr>
        <w:t xml:space="preserve"> </w:t>
      </w:r>
      <w:r w:rsidRPr="00EC140B">
        <w:rPr>
          <w:bCs/>
          <w:color w:val="000000"/>
          <w:lang w:val="es-SV"/>
        </w:rPr>
        <w:t>Contrato de Renovación y Modificación de la Línea Global de Crédito No. 2178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ve con satisfacción la ampliación de este plazo, ya que a juicio de este consejo favorece a la Institución</w:t>
      </w:r>
      <w:r w:rsidRPr="00E23669">
        <w:rPr>
          <w:b/>
          <w:color w:val="000000"/>
          <w:lang w:val="es-SV"/>
        </w:rPr>
        <w:t xml:space="preserve">. </w:t>
      </w:r>
      <w:r w:rsidRPr="00EC140B"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 </w:t>
      </w:r>
      <w:r w:rsidRPr="00EC140B">
        <w:rPr>
          <w:bCs/>
          <w:color w:val="000000"/>
          <w:lang w:val="es-SV"/>
        </w:rPr>
        <w:t>Informe de sobre Cobertura de Cartera Hipotecaria de Créditos vencidos al mes de abril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estará atento a los resultados del segundo trimestre para evaluar que las reservas sean positivas al igual que este periodo</w:t>
      </w:r>
      <w:r w:rsidRPr="00E23669">
        <w:rPr>
          <w:b/>
          <w:color w:val="000000"/>
          <w:lang w:val="es-SV"/>
        </w:rPr>
        <w:t xml:space="preserve">. </w:t>
      </w:r>
      <w:r w:rsidRPr="00EC140B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IX. </w:t>
      </w:r>
      <w:r w:rsidRPr="00EC140B">
        <w:rPr>
          <w:bCs/>
          <w:color w:val="000000"/>
          <w:lang w:val="es-SV"/>
        </w:rPr>
        <w:t>Informe de Posicionamiento de Mercado al mes de marzo de 2021</w:t>
      </w:r>
      <w:r>
        <w:rPr>
          <w:bCs/>
          <w:color w:val="000000"/>
          <w:lang w:val="es-SV"/>
        </w:rPr>
        <w:t>,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recomienda que estas evaluaciones comparativas se puedan hacerse con los anteriores años, ya que el ultimo es un año atípico (2020) para obtener comparaciones más objetivas</w:t>
      </w:r>
      <w:r w:rsidRPr="00E23669">
        <w:rPr>
          <w:b/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Monitor de Operaciones al mes de abril 2021, </w:t>
      </w:r>
      <w:r>
        <w:rPr>
          <w:b/>
          <w:bCs/>
          <w:color w:val="000000"/>
          <w:lang w:val="es-SV"/>
        </w:rPr>
        <w:t xml:space="preserve">en este punto el Consejo lo da por conocido sin observaciones que llamen nuestra atención.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Aprobación de Bases de Licitación Pública No. FSV-06/2021 “Servicios de Agencia de Publicidad”,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GPG, Edificaciones, S.A. de C.V. de Factibilidad para Proyecto Altos de la Pacífica,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de la factibilidad otorgada.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XIII.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Modificaciones del Instructivo de Garantía Hipotecarias</w:t>
      </w:r>
      <w:r w:rsidRPr="00E2366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E82103">
        <w:rPr>
          <w:b/>
          <w:bCs/>
          <w:lang w:val="es-SV"/>
        </w:rPr>
        <w:t>el</w:t>
      </w:r>
      <w:r w:rsidRPr="00E23669">
        <w:rPr>
          <w:b/>
          <w:color w:val="000000"/>
          <w:lang w:val="es-SV"/>
        </w:rPr>
        <w:t xml:space="preserve"> Consejo</w:t>
      </w:r>
      <w:r>
        <w:rPr>
          <w:b/>
          <w:color w:val="000000"/>
          <w:lang w:val="es-SV"/>
        </w:rPr>
        <w:t xml:space="preserve"> se da por enterado y ve positivo las modificaciones hechas al Instructivo, ya que son actualizaciones y mejoras. </w:t>
      </w:r>
      <w:r w:rsidRPr="00E23669">
        <w:rPr>
          <w:b/>
          <w:bCs/>
          <w:lang w:val="es-SV"/>
        </w:rPr>
        <w:t>Punto</w:t>
      </w:r>
      <w:r w:rsidRPr="00E23669">
        <w:rPr>
          <w:color w:val="000000"/>
          <w:lang w:val="es-SV"/>
        </w:rPr>
        <w:t xml:space="preserve"> </w:t>
      </w:r>
      <w:r w:rsidRPr="00A71654">
        <w:rPr>
          <w:b/>
          <w:color w:val="000000" w:themeColor="text1"/>
          <w:lang w:val="es-SV"/>
        </w:rPr>
        <w:t>XIV.</w:t>
      </w:r>
      <w:r w:rsidRPr="00A71654">
        <w:rPr>
          <w:color w:val="000000" w:themeColor="text1"/>
          <w:lang w:val="es-SV"/>
        </w:rPr>
        <w:t xml:space="preserve">  Otorgamiento de Poder Especial Administrativo para Personal Jurídico del FSV</w:t>
      </w:r>
      <w:r>
        <w:rPr>
          <w:color w:val="000000" w:themeColor="text1"/>
          <w:lang w:val="es-SV"/>
        </w:rPr>
        <w:t>,</w:t>
      </w:r>
      <w:r w:rsidRPr="00A71654">
        <w:rPr>
          <w:b/>
          <w:bCs/>
          <w:color w:val="000000" w:themeColor="text1"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097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</w:t>
      </w:r>
      <w:r w:rsidRPr="00E23669">
        <w:rPr>
          <w:color w:val="000000"/>
          <w:lang w:val="es-SV"/>
        </w:rPr>
        <w:lastRenderedPageBreak/>
        <w:t xml:space="preserve">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 xml:space="preserve">no teniendo ninguna observación que hacer al </w:t>
      </w:r>
      <w:r w:rsidRPr="007A2161">
        <w:rPr>
          <w:color w:val="000000"/>
          <w:lang w:val="es-SV"/>
        </w:rPr>
        <w:t>respecto al contenido del acta antes relacionada</w:t>
      </w:r>
      <w:r w:rsidRPr="007A2161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9E23FE">
        <w:rPr>
          <w:b/>
          <w:lang w:val="es-SV"/>
        </w:rPr>
        <w:t xml:space="preserve">IX.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098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31</w:t>
      </w:r>
      <w:r w:rsidRPr="00E23669">
        <w:rPr>
          <w:b/>
          <w:bCs/>
          <w:lang w:val="es-SV"/>
        </w:rPr>
        <w:t xml:space="preserve"> DE</w:t>
      </w:r>
      <w:r>
        <w:rPr>
          <w:b/>
          <w:bCs/>
          <w:lang w:val="es-SV"/>
        </w:rPr>
        <w:t xml:space="preserve"> MAYO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 w:rsidRPr="00BC47AA">
        <w:rPr>
          <w:b/>
          <w:lang w:val="es-SV"/>
        </w:rPr>
        <w:t>X.</w:t>
      </w:r>
      <w:r>
        <w:rPr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BC47AA">
        <w:rPr>
          <w:b/>
          <w:bCs/>
          <w:color w:val="000000"/>
          <w:lang w:val="es-SV"/>
        </w:rPr>
        <w:t>XI</w:t>
      </w:r>
      <w:r w:rsidRPr="00BC47AA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La Presidenta del Consejo convoca para la próxima reunión el día </w:t>
      </w:r>
      <w:r>
        <w:rPr>
          <w:lang w:val="es-SV"/>
        </w:rPr>
        <w:t>24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junio </w:t>
      </w:r>
      <w:r w:rsidRPr="00E23669">
        <w:rPr>
          <w:lang w:val="es-SV"/>
        </w:rPr>
        <w:t xml:space="preserve">del año 2021, a la misma hora y lugar. Y no habiendo más que hacer constar, se da por finalizada la reunión a las </w:t>
      </w:r>
      <w:r>
        <w:rPr>
          <w:lang w:val="es-SV"/>
        </w:rPr>
        <w:t xml:space="preserve">nueve </w:t>
      </w:r>
      <w:r w:rsidRPr="00E23669">
        <w:rPr>
          <w:lang w:val="es-SV"/>
        </w:rPr>
        <w:t>horas</w:t>
      </w:r>
      <w:r>
        <w:rPr>
          <w:lang w:val="es-SV"/>
        </w:rPr>
        <w:t xml:space="preserve"> con quince minutos</w:t>
      </w:r>
      <w:r w:rsidRPr="00E23669">
        <w:rPr>
          <w:lang w:val="es-SV"/>
        </w:rPr>
        <w:t>, ratificamos su contenido y   firmamos.</w:t>
      </w:r>
    </w:p>
    <w:p w14:paraId="2F3274E4" w14:textId="77777777" w:rsidR="006D5363" w:rsidRPr="00E23669" w:rsidRDefault="006D5363" w:rsidP="006D5363">
      <w:pPr>
        <w:jc w:val="both"/>
        <w:rPr>
          <w:sz w:val="22"/>
          <w:lang w:val="es-SV"/>
        </w:rPr>
      </w:pPr>
    </w:p>
    <w:p w14:paraId="596B1EDF" w14:textId="77777777" w:rsidR="00146BF4" w:rsidRDefault="00146BF4" w:rsidP="00146BF4">
      <w:pPr>
        <w:jc w:val="both"/>
        <w:rPr>
          <w:b/>
          <w:lang w:val="es-SV"/>
        </w:rPr>
      </w:pPr>
      <w:bookmarkStart w:id="4" w:name="_Hlk71202585"/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</w:t>
      </w:r>
      <w:r w:rsidRPr="00EB29BF">
        <w:t xml:space="preserve"> </w:t>
      </w:r>
      <w:r w:rsidRPr="00EB29BF">
        <w:rPr>
          <w:rFonts w:ascii="Arial" w:hAnsi="Arial" w:cs="Arial"/>
          <w:b/>
          <w:i/>
          <w:sz w:val="20"/>
          <w:szCs w:val="20"/>
        </w:rPr>
        <w:t xml:space="preserve">Bertha Alicia Santacruz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EB29BF">
        <w:rPr>
          <w:rFonts w:ascii="Arial" w:hAnsi="Arial" w:cs="Arial"/>
          <w:b/>
          <w:i/>
          <w:sz w:val="20"/>
          <w:szCs w:val="20"/>
        </w:rPr>
        <w:t>e Escobar</w:t>
      </w:r>
      <w:r>
        <w:rPr>
          <w:rFonts w:ascii="Arial" w:hAnsi="Arial" w:cs="Arial"/>
          <w:b/>
          <w:i/>
          <w:sz w:val="20"/>
          <w:szCs w:val="20"/>
        </w:rPr>
        <w:t xml:space="preserve">, Luz Estrella Rodríguez López, Enrique Oñate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Muyshondt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  <w:bookmarkEnd w:id="4"/>
    </w:p>
    <w:p w14:paraId="4FF28873" w14:textId="77777777" w:rsidR="00C37BA5" w:rsidRPr="00B33F57" w:rsidRDefault="00C37BA5" w:rsidP="00C37BA5">
      <w:pPr>
        <w:jc w:val="both"/>
        <w:rPr>
          <w:lang w:val="es-SV"/>
        </w:rPr>
      </w:pPr>
    </w:p>
    <w:p w14:paraId="37121A66" w14:textId="77777777" w:rsidR="00C37BA5" w:rsidRDefault="00C37BA5" w:rsidP="006D5363">
      <w:pPr>
        <w:jc w:val="both"/>
        <w:rPr>
          <w:lang w:val="es-SV"/>
        </w:rPr>
      </w:pPr>
    </w:p>
    <w:bookmarkEnd w:id="0"/>
    <w:bookmarkEnd w:id="1"/>
    <w:bookmarkEnd w:id="2"/>
    <w:sectPr w:rsidR="00C37BA5" w:rsidSect="00160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3DDE" w14:textId="77777777" w:rsidR="00A02729" w:rsidRDefault="00A02729" w:rsidP="00A02729">
      <w:r>
        <w:separator/>
      </w:r>
    </w:p>
  </w:endnote>
  <w:endnote w:type="continuationSeparator" w:id="0">
    <w:p w14:paraId="352AB9C3" w14:textId="77777777" w:rsidR="00A02729" w:rsidRDefault="00A02729" w:rsidP="00A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7BE0" w14:textId="77777777" w:rsidR="008D6E80" w:rsidRDefault="008D6E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7741" w14:textId="77777777" w:rsidR="008D6E80" w:rsidRDefault="008D6E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F88D" w14:textId="77777777" w:rsidR="008D6E80" w:rsidRDefault="008D6E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1611" w14:textId="77777777" w:rsidR="00A02729" w:rsidRDefault="00A02729" w:rsidP="00A02729">
      <w:r>
        <w:separator/>
      </w:r>
    </w:p>
  </w:footnote>
  <w:footnote w:type="continuationSeparator" w:id="0">
    <w:p w14:paraId="71F1A30D" w14:textId="77777777" w:rsidR="00A02729" w:rsidRDefault="00A02729" w:rsidP="00A0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5575" w14:textId="77777777" w:rsidR="008D6E80" w:rsidRDefault="008D6E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C0DA" w14:textId="77777777" w:rsidR="008D6E80" w:rsidRPr="00BF77EB" w:rsidRDefault="008D6E80" w:rsidP="008D6E80">
    <w:pPr>
      <w:pStyle w:val="Encabezado"/>
      <w:rPr>
        <w:color w:val="FF0000"/>
      </w:rPr>
    </w:pPr>
    <w:r w:rsidRPr="00BF77EB">
      <w:rPr>
        <w:color w:val="FF0000"/>
      </w:rPr>
      <w:t>DOCUMENTO ELABORADO EN VERSIÓN PÚBLICA ART. 30 LAIP</w:t>
    </w:r>
  </w:p>
  <w:p w14:paraId="73E54601" w14:textId="77777777" w:rsidR="008D6E80" w:rsidRPr="00BF77EB" w:rsidRDefault="008D6E80" w:rsidP="008D6E80">
    <w:pPr>
      <w:pStyle w:val="Encabezado"/>
      <w:rPr>
        <w:color w:val="FF0000"/>
      </w:rPr>
    </w:pPr>
    <w:r w:rsidRPr="00BF77EB">
      <w:rPr>
        <w:color w:val="FF0000"/>
      </w:rPr>
      <w:t>SUPRESIÓN DE FIRMAS Y SELLOS</w:t>
    </w:r>
  </w:p>
  <w:p w14:paraId="7D999950" w14:textId="77777777" w:rsidR="00A02729" w:rsidRDefault="00A027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64D0" w14:textId="77777777" w:rsidR="008D6E80" w:rsidRDefault="008D6E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3582"/>
    <w:rsid w:val="00015547"/>
    <w:rsid w:val="00017D2E"/>
    <w:rsid w:val="000201D1"/>
    <w:rsid w:val="00020293"/>
    <w:rsid w:val="0002180E"/>
    <w:rsid w:val="00021C26"/>
    <w:rsid w:val="00023B44"/>
    <w:rsid w:val="0002470B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C3D88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6BF4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7D1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6E80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006E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4610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729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37BA5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027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027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72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1385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Morena Lizeth Cordero Alberto</cp:lastModifiedBy>
  <cp:revision>8</cp:revision>
  <dcterms:created xsi:type="dcterms:W3CDTF">2021-07-06T14:45:00Z</dcterms:created>
  <dcterms:modified xsi:type="dcterms:W3CDTF">2021-07-06T19:01:00Z</dcterms:modified>
</cp:coreProperties>
</file>