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CDE84" w14:textId="77777777" w:rsidR="00F404E1" w:rsidRDefault="00F404E1" w:rsidP="00F404E1">
      <w:pPr>
        <w:jc w:val="both"/>
        <w:rPr>
          <w:b/>
        </w:rPr>
      </w:pPr>
      <w:bookmarkStart w:id="0" w:name="_Hlk29474535"/>
    </w:p>
    <w:p w14:paraId="5D4307B7" w14:textId="77777777" w:rsidR="00F404E1" w:rsidRDefault="00F404E1" w:rsidP="00F404E1">
      <w:pPr>
        <w:jc w:val="both"/>
      </w:pPr>
      <w:bookmarkStart w:id="1" w:name="_Hlk51249566"/>
      <w:r w:rsidRPr="003025D8">
        <w:rPr>
          <w:b/>
        </w:rPr>
        <w:t>ACTA No. CV</w:t>
      </w:r>
      <w:r>
        <w:rPr>
          <w:b/>
        </w:rPr>
        <w:t>-09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1F0502">
        <w:t>las diez horas con treinta minutos</w:t>
      </w:r>
      <w:r>
        <w:t xml:space="preserve"> del martes 8 de septiembre del año 2020. Se realizó la reunión de los señores Miembros del Consejo de Vigilancia:  Licenciada </w:t>
      </w:r>
      <w:r w:rsidRPr="00B53D3C">
        <w:rPr>
          <w:b/>
          <w:bCs/>
        </w:rPr>
        <w:t xml:space="preserve"> </w:t>
      </w:r>
      <w:r>
        <w:rPr>
          <w:b/>
          <w:bCs/>
        </w:rPr>
        <w:t>ANNA MARIA COPIEN</w:t>
      </w:r>
      <w:r w:rsidRPr="00B53D3C">
        <w:t>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</w:t>
      </w:r>
      <w:r>
        <w:t>Vivienda</w:t>
      </w:r>
      <w:r w:rsidRPr="00B53D3C">
        <w:t xml:space="preserve">, </w:t>
      </w:r>
      <w:r w:rsidRPr="00B36887">
        <w:t>Presidenta según el artículo treinta  y nueve de la Ley y Reglamento Básico</w:t>
      </w:r>
      <w:r>
        <w:t xml:space="preserve">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CV-08/2020. </w:t>
      </w:r>
      <w:r>
        <w:rPr>
          <w:b/>
        </w:rPr>
        <w:t xml:space="preserve">III. </w:t>
      </w:r>
      <w:r w:rsidRPr="00451C72">
        <w:rPr>
          <w:bCs/>
        </w:rPr>
        <w:t>Presentación Nuevo Concejal</w:t>
      </w:r>
      <w:r>
        <w:rPr>
          <w:b/>
        </w:rPr>
        <w:t xml:space="preserve">. IV.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025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6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026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7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</w:t>
      </w:r>
      <w:r>
        <w:rPr>
          <w:b/>
          <w:bCs/>
        </w:rPr>
        <w:t>I</w:t>
      </w:r>
      <w:r w:rsidRPr="003025D8">
        <w:rPr>
          <w:b/>
          <w:bCs/>
        </w:rPr>
        <w:t>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027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10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</w:t>
      </w:r>
      <w:r>
        <w:rPr>
          <w:b/>
        </w:rPr>
        <w:t>I</w:t>
      </w:r>
      <w:r w:rsidRPr="00E23F6A">
        <w:rPr>
          <w:b/>
        </w:rPr>
        <w:t>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028/2020 d</w:t>
      </w:r>
      <w:r w:rsidRPr="00366165">
        <w:rPr>
          <w:bCs/>
        </w:rPr>
        <w:t xml:space="preserve">el </w:t>
      </w:r>
      <w:r>
        <w:rPr>
          <w:bCs/>
        </w:rPr>
        <w:t>11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</w:t>
      </w:r>
      <w:r>
        <w:rPr>
          <w:b/>
        </w:rPr>
        <w:t>I</w:t>
      </w:r>
      <w:r w:rsidRPr="00EB2129">
        <w:rPr>
          <w:b/>
        </w:rPr>
        <w:t>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029/2020 d</w:t>
      </w:r>
      <w:r w:rsidRPr="00366165">
        <w:rPr>
          <w:bCs/>
        </w:rPr>
        <w:t xml:space="preserve">el </w:t>
      </w:r>
      <w:r>
        <w:rPr>
          <w:bCs/>
        </w:rPr>
        <w:t>12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AB3B75">
        <w:rPr>
          <w:b/>
        </w:rPr>
        <w:t>I</w:t>
      </w:r>
      <w:r>
        <w:rPr>
          <w:b/>
        </w:rPr>
        <w:t>X</w:t>
      </w:r>
      <w:r w:rsidRPr="001742C4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>
        <w:rPr>
          <w:b/>
          <w:bCs/>
        </w:rPr>
        <w:t>X.</w:t>
      </w:r>
      <w:r w:rsidRPr="00A64F60">
        <w:t xml:space="preserve"> </w:t>
      </w:r>
      <w:r>
        <w:t>Varios.</w:t>
      </w:r>
      <w:r>
        <w:rPr>
          <w:b/>
          <w:bCs/>
        </w:rPr>
        <w:t xml:space="preserve"> 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APROBACIÓN DE AGENDA. </w:t>
      </w:r>
      <w:r>
        <w:t xml:space="preserve"> La agenda fue aprobada tal como aparece redactada. </w:t>
      </w:r>
      <w:r>
        <w:rPr>
          <w:b/>
        </w:rPr>
        <w:t>II. LECTURA Y APROBACIÓN DEL ACTA ANTERIOR.</w:t>
      </w:r>
      <w:r>
        <w:t xml:space="preserve">  Se dio lectura al Acta CV-08/2020, de fecha 13 de marzo del año 2020, la cual fue aprobada. </w:t>
      </w:r>
      <w:r>
        <w:rPr>
          <w:b/>
        </w:rPr>
        <w:t xml:space="preserve">III. PRESENTACION NUEVO CONCEJAL. </w:t>
      </w:r>
      <w:r>
        <w:t xml:space="preserve">La </w:t>
      </w:r>
      <w:proofErr w:type="gramStart"/>
      <w:r>
        <w:t>Secretaria</w:t>
      </w:r>
      <w:proofErr w:type="gramEnd"/>
      <w:r>
        <w:t xml:space="preserve"> del Consejo de Vigilancia presenta a la Licda. Anna María Copien y le toma la protesta de Ley correspondiente como nuevo Miembro en Representación del </w:t>
      </w:r>
      <w:r w:rsidRPr="009D2C11">
        <w:t>Ministerio</w:t>
      </w:r>
      <w:r>
        <w:t xml:space="preserve"> de Vivienda; ante el Consejo de Vigilancia, quien sustituirá al Sr. Jefry Alexander Caishpal López.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</w:t>
      </w:r>
      <w:proofErr w:type="gramStart"/>
      <w:r>
        <w:rPr>
          <w:b/>
        </w:rPr>
        <w:t>Secretaria</w:t>
      </w:r>
      <w:proofErr w:type="gramEnd"/>
      <w:r>
        <w:rPr>
          <w:b/>
        </w:rPr>
        <w:t xml:space="preserve"> </w:t>
      </w:r>
      <w:r w:rsidRPr="00A741EB">
        <w:rPr>
          <w:b/>
        </w:rPr>
        <w:t>para darle la bienvenida. En este acto,</w:t>
      </w:r>
      <w:r>
        <w:rPr>
          <w:b/>
        </w:rPr>
        <w:t xml:space="preserve"> la Licda. Anna María Copien</w:t>
      </w:r>
      <w:r w:rsidRPr="00A741EB">
        <w:rPr>
          <w:b/>
        </w:rPr>
        <w:t>, agradece por el nombramiento otorgado y la bienvenida que este Consejo le brinda</w:t>
      </w:r>
      <w:r>
        <w:rPr>
          <w:b/>
        </w:rPr>
        <w:t xml:space="preserve">. IV.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025/2020 </w:t>
      </w:r>
      <w:r w:rsidRPr="004A3AF9">
        <w:rPr>
          <w:b/>
          <w:bCs/>
        </w:rPr>
        <w:t>DEL</w:t>
      </w:r>
      <w:r>
        <w:rPr>
          <w:b/>
          <w:bCs/>
        </w:rPr>
        <w:t xml:space="preserve"> 6 DE</w:t>
      </w:r>
      <w:r w:rsidRPr="004A3AF9">
        <w:rPr>
          <w:b/>
          <w:bCs/>
        </w:rPr>
        <w:t xml:space="preserve">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Convocatoria para Elección de dos Miembros de Asamblea de Gobernadores por el Sector Laboral;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Cartera Hipotecaria y Propuesta de medidas para contención de la mora;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A34E5">
        <w:rPr>
          <w:bCs/>
          <w:color w:val="000000"/>
        </w:rPr>
        <w:t>Informe de seguimiento de la Política Crediticia enero-diciembre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A34E5">
        <w:rPr>
          <w:bCs/>
          <w:color w:val="000000"/>
        </w:rPr>
        <w:t>Decisión sobre</w:t>
      </w:r>
      <w:r>
        <w:rPr>
          <w:bCs/>
          <w:color w:val="000000"/>
        </w:rPr>
        <w:t xml:space="preserve"> distribución de excedentes de ejercicios 2019</w:t>
      </w:r>
      <w:r w:rsidRPr="00CA34E5">
        <w:rPr>
          <w:bCs/>
          <w:color w:val="000000"/>
        </w:rPr>
        <w:t xml:space="preserve">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D226F">
        <w:rPr>
          <w:bCs/>
          <w:color w:val="000000"/>
        </w:rPr>
        <w:t>Aprobación de mecanismo de Contratación y especificaciones técnicas para el Proceso de Mercado Bursátil No.</w:t>
      </w:r>
      <w:r>
        <w:rPr>
          <w:bCs/>
          <w:color w:val="000000"/>
        </w:rPr>
        <w:t xml:space="preserve"> </w:t>
      </w:r>
      <w:r w:rsidRPr="00CD226F">
        <w:rPr>
          <w:bCs/>
          <w:color w:val="000000"/>
        </w:rPr>
        <w:t>MB-02/2020 “Suministro, Instalación y/o configuración de Switches en alta disponibilidad y almacenamiento para sitio principal;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052957">
        <w:rPr>
          <w:bCs/>
          <w:color w:val="000000"/>
        </w:rPr>
        <w:t>Autorización de precios de venta de activos extraordinarios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de evaluación de prácticas de Gobierno Corporativo;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Solicitud de arreglo director “Gestión de Cobro por la vía judicial de préstamos en mora para Agencia Central”;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Bases de Licitación Pública No. FSV-05/2020 “Programa de seguros del FSV”;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B5272C">
        <w:rPr>
          <w:bCs/>
          <w:color w:val="000000"/>
        </w:rPr>
        <w:t>Convocatoria a reunión ordinaria de Asamblea de Gobernadores No. AG-167;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B5272C">
        <w:rPr>
          <w:bCs/>
          <w:color w:val="000000"/>
        </w:rPr>
        <w:t xml:space="preserve">Acuerdo de resolución sobre información reservada de esta sesión.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Convocatoria para Elección de </w:t>
      </w:r>
      <w:r>
        <w:rPr>
          <w:color w:val="000000"/>
        </w:rPr>
        <w:lastRenderedPageBreak/>
        <w:t xml:space="preserve">dos Miembros de Asamblea de Gobernadores por el Sector Laboral,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este punto y ve a bien que se inicie el proceso de elección del Sector Laboral.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Cartera Hipotecaria y Propuesta de medidas para contención de la mora,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este punto y ve a bien que se dé la propuesta de una puesta en marcha de recomendaciones a fin de mejorar la sanidad de la cartera hipotecaria y contención de mora con su respectivo instructivo y que se coloquen como punto relevante en Asamblea de Gobernadores.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CA34E5">
        <w:rPr>
          <w:bCs/>
          <w:color w:val="000000"/>
        </w:rPr>
        <w:t>Informe de seguimiento de la Política Crediticia enero-diciembre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A34E5">
        <w:rPr>
          <w:bCs/>
          <w:color w:val="000000"/>
        </w:rPr>
        <w:t xml:space="preserve">Decisión sobre </w:t>
      </w:r>
      <w:r>
        <w:rPr>
          <w:bCs/>
          <w:color w:val="000000"/>
        </w:rPr>
        <w:t xml:space="preserve">distribución de excedentes de ejercicios 2019.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CA34E5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CD226F">
        <w:rPr>
          <w:bCs/>
          <w:color w:val="000000"/>
        </w:rPr>
        <w:t>Aprobación de mecanismo de Contratación y especificaciones técnicas para el Proceso de Mercado Bursátil No. MB-02/2020 “Suministro, Instalación y/o configuración de Switches en alta disponibilidad y almacenamiento para sitio principal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a bien el fortalecimiento de la capacidad Institucional en la materia.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052957">
        <w:rPr>
          <w:bCs/>
          <w:color w:val="000000"/>
        </w:rPr>
        <w:t>Autorización de precios de venta de activos extraordinarios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de evaluación de prácticas de Gobierno Corporativo,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ve a bien estos avances Institucionales Operativos y dará seguimiento a los resultados.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Solicitud de arreglo director “Gestión de Cobro por la vía judicial de préstamos en mora para Agencia Central”,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estará atento a los resultados del arreglo directo.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Bases de Licitación Pública No. FSV-05/2020 “Programa de seguros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B5272C">
        <w:rPr>
          <w:bCs/>
          <w:color w:val="000000"/>
        </w:rPr>
        <w:t>Convocatoria a reunión ordinaria de Asamblea de Gobernadores No. AG-167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026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>DEL</w:t>
      </w:r>
      <w:r>
        <w:rPr>
          <w:b/>
          <w:bCs/>
        </w:rPr>
        <w:t xml:space="preserve"> 7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027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10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028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029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>DE</w:t>
      </w:r>
      <w:r>
        <w:rPr>
          <w:b/>
          <w:bCs/>
        </w:rPr>
        <w:t xml:space="preserve"> 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AF788A">
        <w:rPr>
          <w:b/>
        </w:rPr>
        <w:t>I</w:t>
      </w:r>
      <w:r>
        <w:rPr>
          <w:b/>
        </w:rPr>
        <w:t>X</w:t>
      </w:r>
      <w:r w:rsidRPr="00AF788A">
        <w:rPr>
          <w:b/>
        </w:rPr>
        <w:t>.</w:t>
      </w:r>
      <w:r>
        <w:rPr>
          <w:bCs/>
        </w:rPr>
        <w:t xml:space="preserve"> </w:t>
      </w:r>
      <w:r w:rsidRPr="00A93C9D">
        <w:rPr>
          <w:b/>
          <w:color w:val="000000"/>
        </w:rPr>
        <w:t xml:space="preserve">ACUERDO DE RESOLUCIÓN SOBRE INFORMACIÓN RESERVADA DE ESTA </w:t>
      </w:r>
      <w:r w:rsidRPr="00A93C9D">
        <w:rPr>
          <w:b/>
          <w:color w:val="000000"/>
        </w:rPr>
        <w:lastRenderedPageBreak/>
        <w:t>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 w:rsidRPr="000306EF">
        <w:rPr>
          <w:b/>
          <w:bCs/>
        </w:rPr>
        <w:t xml:space="preserve"> </w:t>
      </w:r>
      <w:r>
        <w:rPr>
          <w:b/>
          <w:color w:val="000000"/>
        </w:rPr>
        <w:t>X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>VARIOS</w:t>
      </w:r>
      <w:r>
        <w:t>. En este punto el Consejo no hubo nada que tratar.  La</w:t>
      </w:r>
      <w:r w:rsidRPr="00C366AD">
        <w:t xml:space="preserve">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jueves 17 de septiembre del año 2020, a las once horas y el mismo lugar. Y no habiendo más que hacer constar, se da por finalizada la reunión a las doce horas, ratificamos su contenido y firmamos.</w:t>
      </w:r>
    </w:p>
    <w:p w14:paraId="6F8BD54A" w14:textId="77777777" w:rsidR="00F404E1" w:rsidRDefault="00F404E1" w:rsidP="00F404E1">
      <w:pPr>
        <w:jc w:val="both"/>
        <w:rPr>
          <w:sz w:val="22"/>
          <w:lang w:val="pt-BR"/>
        </w:rPr>
      </w:pPr>
    </w:p>
    <w:p w14:paraId="24AB7CD3" w14:textId="77777777" w:rsidR="0002582D" w:rsidRDefault="0002582D" w:rsidP="0002582D">
      <w:pPr>
        <w:jc w:val="both"/>
        <w:rPr>
          <w:sz w:val="22"/>
          <w:lang w:val="pt-BR"/>
        </w:rPr>
      </w:pPr>
    </w:p>
    <w:p w14:paraId="61E07A86" w14:textId="46C8CD70" w:rsidR="0002582D" w:rsidRPr="003162F7" w:rsidRDefault="0002582D" w:rsidP="0002582D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2" w:name="_Hlk33450745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2"/>
    <w:p w14:paraId="4F12F0C4" w14:textId="77777777" w:rsidR="0002582D" w:rsidRPr="006E3FC8" w:rsidRDefault="0002582D" w:rsidP="00F404E1">
      <w:pPr>
        <w:jc w:val="both"/>
        <w:rPr>
          <w:sz w:val="22"/>
          <w:lang w:val="pt-BR"/>
        </w:rPr>
      </w:pPr>
    </w:p>
    <w:p w14:paraId="4CD5DCD2" w14:textId="77777777" w:rsidR="00F404E1" w:rsidRDefault="00F404E1" w:rsidP="00F404E1">
      <w:pPr>
        <w:jc w:val="both"/>
        <w:rPr>
          <w:sz w:val="22"/>
          <w:lang w:val="pt-BR"/>
        </w:rPr>
      </w:pPr>
    </w:p>
    <w:p w14:paraId="43853117" w14:textId="77777777" w:rsidR="00F404E1" w:rsidRPr="001051BA" w:rsidRDefault="00F404E1" w:rsidP="00F404E1">
      <w:pPr>
        <w:jc w:val="both"/>
        <w:rPr>
          <w:sz w:val="22"/>
          <w:lang w:val="pt-BR"/>
        </w:rPr>
      </w:pPr>
      <w:r w:rsidRPr="001051BA">
        <w:rPr>
          <w:sz w:val="22"/>
          <w:lang w:val="pt-BR"/>
        </w:rPr>
        <w:t xml:space="preserve">     </w:t>
      </w:r>
    </w:p>
    <w:bookmarkEnd w:id="1"/>
    <w:p w14:paraId="689F9B05" w14:textId="2E887049" w:rsidR="003F06D2" w:rsidRDefault="003F06D2" w:rsidP="00F404E1">
      <w:pPr>
        <w:jc w:val="both"/>
      </w:pPr>
    </w:p>
    <w:bookmarkEnd w:id="0"/>
    <w:sectPr w:rsidR="003F06D2" w:rsidSect="00160458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CA9B1" w14:textId="77777777" w:rsidR="003F06D2" w:rsidRDefault="003F06D2" w:rsidP="003F06D2">
      <w:r>
        <w:separator/>
      </w:r>
    </w:p>
  </w:endnote>
  <w:endnote w:type="continuationSeparator" w:id="0">
    <w:p w14:paraId="39399CF9" w14:textId="77777777" w:rsidR="003F06D2" w:rsidRDefault="003F06D2" w:rsidP="003F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E4F31" w14:textId="77777777" w:rsidR="003F06D2" w:rsidRDefault="003F06D2" w:rsidP="003F06D2">
      <w:r>
        <w:separator/>
      </w:r>
    </w:p>
  </w:footnote>
  <w:footnote w:type="continuationSeparator" w:id="0">
    <w:p w14:paraId="163011E2" w14:textId="77777777" w:rsidR="003F06D2" w:rsidRDefault="003F06D2" w:rsidP="003F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2E5C" w14:textId="77777777" w:rsidR="00F26BCC" w:rsidRDefault="00F26BCC" w:rsidP="00F26BCC">
    <w:pPr>
      <w:rPr>
        <w:rFonts w:ascii="Arial" w:hAnsi="Arial" w:cs="Arial"/>
        <w:b/>
        <w:color w:val="FF0000"/>
        <w:sz w:val="22"/>
        <w:szCs w:val="20"/>
      </w:rPr>
    </w:pPr>
    <w:bookmarkStart w:id="3" w:name="_Hlk33450704"/>
    <w:r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10012655" w14:textId="04EF2F96" w:rsidR="003F06D2" w:rsidRDefault="00F26BCC" w:rsidP="00B754D0">
    <w:r>
      <w:rPr>
        <w:rFonts w:ascii="Arial" w:hAnsi="Arial" w:cs="Arial"/>
        <w:b/>
        <w:color w:val="FF0000"/>
        <w:sz w:val="22"/>
        <w:szCs w:val="20"/>
      </w:rPr>
      <w:t>SUPRESIÓN DE FIRMAS Y SELLOS</w:t>
    </w:r>
    <w:bookmarkEnd w:id="3"/>
    <w:r w:rsidR="00B754D0">
      <w:rPr>
        <w:rFonts w:ascii="Arial" w:hAnsi="Arial" w:cs="Arial"/>
        <w:b/>
        <w:color w:val="FF000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82D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4F64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6B79"/>
    <w:rsid w:val="002C6C73"/>
    <w:rsid w:val="002D0644"/>
    <w:rsid w:val="002D279A"/>
    <w:rsid w:val="002D3512"/>
    <w:rsid w:val="002D62DD"/>
    <w:rsid w:val="002D78BE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6D2"/>
    <w:rsid w:val="003F0CAA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37063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19C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754D0"/>
    <w:rsid w:val="00B8016E"/>
    <w:rsid w:val="00B80569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7915"/>
    <w:rsid w:val="00BD0B79"/>
    <w:rsid w:val="00BD0CCA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10FD"/>
    <w:rsid w:val="00ED1B8C"/>
    <w:rsid w:val="00ED3122"/>
    <w:rsid w:val="00ED4497"/>
    <w:rsid w:val="00EE0746"/>
    <w:rsid w:val="00EE08B3"/>
    <w:rsid w:val="00EE0EA7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26BCC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4BFE"/>
    <w:rsid w:val="00FA5130"/>
    <w:rsid w:val="00FA56B6"/>
    <w:rsid w:val="00FA5B2C"/>
    <w:rsid w:val="00FA5C72"/>
    <w:rsid w:val="00FA752E"/>
    <w:rsid w:val="00FA7BFB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F06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6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F06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6D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1313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Morena Lizeth Cordero Alberto</cp:lastModifiedBy>
  <cp:revision>8</cp:revision>
  <dcterms:created xsi:type="dcterms:W3CDTF">2020-11-10T17:49:00Z</dcterms:created>
  <dcterms:modified xsi:type="dcterms:W3CDTF">2020-11-10T21:43:00Z</dcterms:modified>
</cp:coreProperties>
</file>