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DA0C223" w:rsidR="00D066A9" w:rsidRPr="00B55FF8" w:rsidRDefault="006F6385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Fondo </w:t>
      </w:r>
      <w:r w:rsidR="00ED060E" w:rsidRPr="00B55FF8">
        <w:rPr>
          <w:rFonts w:ascii="Calibri Light" w:eastAsia="Times New Roman" w:hAnsi="Calibri Light" w:cs="Calibri Light"/>
          <w:bCs/>
          <w:sz w:val="18"/>
          <w:szCs w:val="20"/>
        </w:rPr>
        <w:t>S</w:t>
      </w:r>
      <w:r w:rsidR="005E72FD">
        <w:rPr>
          <w:rFonts w:ascii="Calibri Light" w:eastAsia="Times New Roman" w:hAnsi="Calibri Light" w:cs="Calibri Light"/>
          <w:bCs/>
          <w:sz w:val="18"/>
          <w:szCs w:val="20"/>
        </w:rPr>
        <w:t>o</w:t>
      </w:r>
      <w:r w:rsidR="00ED060E" w:rsidRPr="00B55FF8">
        <w:rPr>
          <w:rFonts w:ascii="Calibri Light" w:eastAsia="Times New Roman" w:hAnsi="Calibri Light" w:cs="Calibri Light"/>
          <w:bCs/>
          <w:sz w:val="18"/>
          <w:szCs w:val="20"/>
        </w:rPr>
        <w:t>cial para la Viviend</w:t>
      </w:r>
      <w:r w:rsidR="00C23C1B" w:rsidRPr="00B55FF8">
        <w:rPr>
          <w:rFonts w:ascii="Calibri Light" w:eastAsia="Times New Roman" w:hAnsi="Calibri Light" w:cs="Calibri Light"/>
          <w:bCs/>
          <w:sz w:val="18"/>
          <w:szCs w:val="20"/>
        </w:rPr>
        <w:t>a</w:t>
      </w:r>
    </w:p>
    <w:p w14:paraId="68ADA38A" w14:textId="4B01BB77" w:rsidR="00D066A9" w:rsidRPr="00B55FF8" w:rsidRDefault="00D066A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</w:t>
      </w:r>
      <w:r w:rsidR="00154CF8"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estadística 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1973 - </w:t>
      </w:r>
      <w:r w:rsidR="00696075">
        <w:rPr>
          <w:rFonts w:ascii="Calibri Light" w:eastAsia="Times New Roman" w:hAnsi="Calibri Light" w:cs="Calibri Light"/>
          <w:bCs/>
          <w:sz w:val="18"/>
          <w:szCs w:val="20"/>
        </w:rPr>
        <w:t>junio</w:t>
      </w:r>
      <w:r w:rsidR="00F26FC1">
        <w:rPr>
          <w:rFonts w:ascii="Calibri Light" w:eastAsia="Times New Roman" w:hAnsi="Calibri Light" w:cs="Calibri Light"/>
          <w:bCs/>
          <w:sz w:val="18"/>
          <w:szCs w:val="20"/>
        </w:rPr>
        <w:t xml:space="preserve"> 202</w:t>
      </w:r>
      <w:r w:rsidR="0004299E">
        <w:rPr>
          <w:rFonts w:ascii="Calibri Light" w:eastAsia="Times New Roman" w:hAnsi="Calibri Light" w:cs="Calibri Light"/>
          <w:bCs/>
          <w:sz w:val="18"/>
          <w:szCs w:val="20"/>
        </w:rPr>
        <w:t>0</w:t>
      </w:r>
    </w:p>
    <w:p w14:paraId="6867CCD5" w14:textId="77777777" w:rsidR="00D066A9" w:rsidRPr="00B55FF8" w:rsidRDefault="00E40074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20"/>
        </w:rPr>
      </w:pPr>
      <w:r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 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(Monto en miles de </w:t>
      </w:r>
      <w:r w:rsidR="00154CF8" w:rsidRPr="00B55FF8">
        <w:rPr>
          <w:rFonts w:ascii="Calibri Light" w:eastAsia="Times New Roman" w:hAnsi="Calibri Light" w:cs="Calibri Light"/>
          <w:bCs/>
          <w:sz w:val="14"/>
          <w:szCs w:val="20"/>
        </w:rPr>
        <w:t>dólares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810"/>
        <w:gridCol w:w="1276"/>
        <w:gridCol w:w="1347"/>
        <w:gridCol w:w="805"/>
        <w:gridCol w:w="1272"/>
        <w:gridCol w:w="812"/>
        <w:gridCol w:w="1266"/>
        <w:gridCol w:w="770"/>
        <w:gridCol w:w="652"/>
        <w:gridCol w:w="146"/>
      </w:tblGrid>
      <w:tr w:rsidR="00696075" w:rsidRPr="00696075" w14:paraId="7BBDCA13" w14:textId="77777777" w:rsidTr="0018237F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41F6B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6A2F6B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Créditos escriturados </w:t>
            </w:r>
            <w:r w:rsidRPr="00696075">
              <w:rPr>
                <w:rFonts w:ascii="Calibri Light" w:eastAsia="Times New Roman" w:hAnsi="Calibri Light" w:cs="Calibri Light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7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24E0A13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8951AF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Créditos escriturados</w:t>
            </w: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B39203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996DD8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Tasa de interés ponderada</w:t>
            </w:r>
          </w:p>
        </w:tc>
      </w:tr>
      <w:tr w:rsidR="00696075" w:rsidRPr="00696075" w14:paraId="6B1533EE" w14:textId="77777777" w:rsidTr="00320435">
        <w:trPr>
          <w:trHeight w:val="70"/>
        </w:trPr>
        <w:tc>
          <w:tcPr>
            <w:tcW w:w="625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AFE3E07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69E6796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5F8C58D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3BF86D0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15A3DC8A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A506117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89B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696075" w:rsidRPr="00696075" w14:paraId="34A9D777" w14:textId="77777777" w:rsidTr="0018237F">
        <w:trPr>
          <w:trHeight w:val="255"/>
        </w:trPr>
        <w:tc>
          <w:tcPr>
            <w:tcW w:w="625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776145E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7F82A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696521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647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FD884CA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06B0EF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6296AC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5DF125D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746482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E4AFB3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Activa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93B71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76E4700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60155C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BBC8D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15E84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7CE0E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CCFA7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B0E34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0BB1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AAF02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CB6FD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8D7D7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1419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42" w:type="pct"/>
            <w:vAlign w:val="center"/>
            <w:hideMark/>
          </w:tcPr>
          <w:p w14:paraId="0B18805E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C2CDE6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43FBD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217DC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E36C9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$250.3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C9141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1,150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14F50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09B1C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F585F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2145C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$248.0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7F80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76219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4F4534F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BF4611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5E0EE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6EB85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1,516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A1D3B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$1,900.3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43061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7,580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4D83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BCF1A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901C7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A0D7E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$2,121.9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8858B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C0587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180ED45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BC1299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3DD9F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DFC96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2,008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3F154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$2,722.3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1FB42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10,040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4F564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AE6D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A934A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55079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$4,759.6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11E6E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6.30%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D50A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0603D2F8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2C4963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657A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0E938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2,239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3F86E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$3,169.7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2811E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11,195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44BD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2733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F207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16EB2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$7,777.9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482AB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9B3F0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BCE41F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DA592B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C28EE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F0D0C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1,876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85C66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$2,899.5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19E13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9,380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E10B5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7CC9D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592B8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E6D63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$10,459.2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B5F55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7.10%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911AB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3EBB973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FE74B6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FA5FF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40F07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3,583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549A6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$7,169.6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B4579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17,915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90B3C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4D285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12609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111EE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$17,328.4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DC7DA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CC7C4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7EC8941E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D86834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451FE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E617F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2,870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32554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$6,155.4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FDF92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14,350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4D2DA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DC7B1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6BEAA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16618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$22,446.7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A7ABB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727B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7BFD3FD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DE5517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671DE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F3CC7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2,922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F8A4A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$5,995.0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D1CBA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14,610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7E7A7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2E0FC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206DF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2724F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$27,827.6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C23DB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C5BC5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3D6436C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68A2D2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7303C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655A1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7,019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3EDC6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$14,569.0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9B564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35,095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48E3D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597BF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F633F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342DC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$41,653.8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CDC54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14EF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4323E3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0F8463B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33B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40C99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7,665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82B49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$15,602.4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57060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38,325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F407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A7F93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111F8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30,790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F368B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$56,260.8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060DA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4778B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09EF00A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EACFEC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AB172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A5201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4,246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CC1CA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$8,966.7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73B2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21,230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8324F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2F16F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91C54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34,721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49CE7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$63,799.3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839D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3391D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96DA70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8AC33B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B5CB5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4790C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4,565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8A85B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$9,845.2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38089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22,825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AE0CF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34AC4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C241B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38,786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5FD11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$71,767.1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E611E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490E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5CA9B1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FDE7B05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48F1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63162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4,867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54AB8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$14,393.8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464FE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24,335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756C8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D03A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6D7FB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43,002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C8E81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$83,250.7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7BBF8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7042E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33C4CC4D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9CCC686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2228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78FE2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5,552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BC2DB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$19,604.4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317FE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27,760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044E8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4679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B69E6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47,441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E7332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$98,452.1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A31ED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E1E6C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3D5E681C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73A8FA8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E8E00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E7C5E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4,731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A0533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$16,450.8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A60B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23,655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17CE8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3,158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5A60F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$11,569.7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45BFD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50,588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DE51B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$109,349.6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F07C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EB7A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0ACCF39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CD9F77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A0331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D49A4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5,127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2E591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$16,805.3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1DEC3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25,635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FC5D1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3,223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8C04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$11,996.3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83AE7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53,911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C8623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$119,823.3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6DD7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7.40%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DE885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24228F2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3515395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F7BAE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CA9AA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6,837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9C6F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$23,855.9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5C68B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34,185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2AE48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4,566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E5FB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$18,611.2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FAEAA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59,170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0946E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$137,216.7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F239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8.50%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8A4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DE91ED9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02156D1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00526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66C42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7,327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804B5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$29,409.2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D5FD8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36,635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6CDA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5,758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0BDBC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$24,490.7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FB4F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64,592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1AB65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$158,420.6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D2EF6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37A95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2688E2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E1AA5F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0C46B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01126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8,212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2BB6E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$34,721.3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15CD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41,060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7DAAE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6,432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11E92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$27,890.4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29A4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70,456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910DD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$183,381.4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CCD2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9.00%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A94B0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2DB0AE4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C37C3D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5EF71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38E8F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10,283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4E48D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$50,680.2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4E06C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51,415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67A9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8,099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CB96F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$40,653.2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6B033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77,531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664A3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$222,469.6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3B5A7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8.10%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0A8E5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1.30%</w:t>
            </w:r>
          </w:p>
        </w:tc>
        <w:tc>
          <w:tcPr>
            <w:tcW w:w="42" w:type="pct"/>
            <w:vAlign w:val="center"/>
            <w:hideMark/>
          </w:tcPr>
          <w:p w14:paraId="2002F32D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A56FB6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60D54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E43F7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10,523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63BD8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$61,714.3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6AC33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52,615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CF6F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7,851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8DB8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$46,551.5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0BBF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84,655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BAFD6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$273,355.8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9845B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B83E0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2.80%</w:t>
            </w:r>
          </w:p>
        </w:tc>
        <w:tc>
          <w:tcPr>
            <w:tcW w:w="42" w:type="pct"/>
            <w:vAlign w:val="center"/>
            <w:hideMark/>
          </w:tcPr>
          <w:p w14:paraId="4F30486A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CC9051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F8542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C1F21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9,056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70B7C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$58,763.9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47A8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45,280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0536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6,232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0BD48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$41,638.7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E46C0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89,412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10F22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$322,598.6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25AE8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A6843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6.10%</w:t>
            </w:r>
          </w:p>
        </w:tc>
        <w:tc>
          <w:tcPr>
            <w:tcW w:w="42" w:type="pct"/>
            <w:vAlign w:val="center"/>
            <w:hideMark/>
          </w:tcPr>
          <w:p w14:paraId="792BB4EE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3F406BC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D4720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2880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8,770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CBA4D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$66,578.1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804E8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43,850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51A3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5,871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E2FE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$46,043.2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7F718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92,685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340B8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$366,950.9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AA598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39B8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42" w:type="pct"/>
            <w:vAlign w:val="center"/>
            <w:hideMark/>
          </w:tcPr>
          <w:p w14:paraId="75644D3D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D6CDEB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B331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8238C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C9431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$77,418.9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1EF17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49,765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22399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6,777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0874A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$54,936.8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6F1A5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99,062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52F50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$442,547.7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8F74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79D87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7.50%</w:t>
            </w:r>
          </w:p>
        </w:tc>
        <w:tc>
          <w:tcPr>
            <w:tcW w:w="42" w:type="pct"/>
            <w:vAlign w:val="center"/>
            <w:hideMark/>
          </w:tcPr>
          <w:p w14:paraId="7C7346B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58CE744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A9765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2DA95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C56DB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$119,920.3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0F689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69,695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2C318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10,689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7535F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$96,426.7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A39BB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107,324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9ABA8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$539,115.3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F222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1EE26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46E11FC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7A98111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90EA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84FA0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7991F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$148,272.5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E1E1B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79,910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9CDE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12,350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09325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$121,079.5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DD5C4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118,325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29980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$657,408.4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BA6A5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8.97%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8F242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6E6A2EF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451D11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D59B0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A8D0A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5A701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$126,103.1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8AE3C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64,520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50C5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9,904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C8A1C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$102,531.2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F3168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125,587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B4EF1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$751,562.3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455DD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6.47%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2DA6B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0F61C1B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065E3E2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CF350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310C1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A9354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$115,075.5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6CDE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59,035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9601D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9,548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D1FD8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$97,176.5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8357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130,849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2878D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$819,988.1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AFA83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D4377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2E60BE00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96A5D6D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E445C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565DC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587DD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$85,829.9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DFDC0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45,525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0899E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6,567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046CC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$66,667.2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CE344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130,676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B7AEA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$842,078.6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B32A7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71A24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4C6B3F5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09CB454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8EF07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AD00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E8746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C6604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49,780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69050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F2809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3CD1D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49FD0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7D6FB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341F9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65ACC8B5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45BF6D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BEB5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480DE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49764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4AB60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48,585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36855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A5F6B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635A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750EA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BEEA7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36997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7EAB800A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3090BDF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1996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9CA6E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BB3C5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06A25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40,420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8E70B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87148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2AE55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AD2F4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FB3CC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57D93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4E35DA6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96ECAC5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192B0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955EA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5DF23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2248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32,845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337DB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6ACD3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4F9B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FA885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4E8CE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7FBB4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1E40725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25CBEE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65C1A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C224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EE6D3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E0333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28,250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1A92B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7B2B0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2DABD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2729B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77D83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EE9E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6A4F618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399EC1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135A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8423D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5FCE3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75F49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28,375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35D11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A3906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E7EE6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B0B7D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885F5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BF1A2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3C59FF0A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C4B6CC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01FBF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2B86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E0159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A7DE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27,955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16508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1B9E3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924C2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810EC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2187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5D8F1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03486B5C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B95C65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981B2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55AAD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8850F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9844B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22,777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91FB6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6651E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608FD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7BEAD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EC7CD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7D21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0B78926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20D87C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E7160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43FDC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6AA35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090C5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26,271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2BF16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D8B6F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EEE9B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889A6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98062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30207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6D5B490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491987F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1ECF6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07BB2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A2752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74E0F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24,759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E713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D1252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8BBC9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F8C4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4577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FED15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57B0CC1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01091A1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93FE5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90AD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51E28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6B72A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26,943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1AAAA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11292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6378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0F081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B57D4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948F8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1652C30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7F46DFF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AF75C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4708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2495C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91EA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25,082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E2C9F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6B4B1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2CB8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A740F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74C35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759D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3A2D84A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F1F42C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0B1D1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68AA4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59C1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4F3C2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31,748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C4763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F917F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18564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B3114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AA93B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F1421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72818D86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1F42BB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523B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D4357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133CC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0F09D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24,952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F9406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281AA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93B98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41851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9B0E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8C2EF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61F1BD3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BCCF54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3DCB5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ADD95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779C3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B00FD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23,995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5C97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0C96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AA97A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88E6D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0BB12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97D4B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51C98A56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0EAFFA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E9D40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77A4F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01BB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70E71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21,794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5D43C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FD0F2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3BA61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60509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FFC70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84520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764ADC1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9E927E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5E8F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B98EF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6,366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ADCA3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$115,831.9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41D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26,737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6F43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81833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$29,387.5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318F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95,580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3182B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$964,969.9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6F744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7.69%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CD8A1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2136445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86FAE2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0ACC8B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F9E1C9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1,650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FBB47C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$33,367.7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EBCD03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6,930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C8BC52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293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9179C2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$11,783.6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9CF1B9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94,931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961BD3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$963,094.7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5A455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7.65%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C7D42A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3C724FE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A98AD61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78DD3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CB790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310,399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EEA03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$2,714,822.1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84367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1,496,768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29613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142,360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829467" w14:textId="77777777" w:rsidR="00696075" w:rsidRPr="00696075" w:rsidRDefault="00696075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$1,407,047.5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auto" w:fill="auto"/>
            <w:noWrap/>
            <w:vAlign w:val="bottom"/>
            <w:hideMark/>
          </w:tcPr>
          <w:p w14:paraId="00841A13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66E8F888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auto" w:fill="auto"/>
            <w:noWrap/>
            <w:vAlign w:val="bottom"/>
            <w:hideMark/>
          </w:tcPr>
          <w:p w14:paraId="12936B00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3C7CAC07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15E057E5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84A6F9" w14:textId="77777777" w:rsidR="007A556D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1/ a partir de 1996 los créditos escriturados incluye generación de hipotecas.</w:t>
      </w:r>
    </w:p>
    <w:p w14:paraId="34C5E48C" w14:textId="6A9E345E" w:rsidR="008D624E" w:rsidRDefault="007E7823" w:rsidP="003D2B4F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ND: No disponible.</w:t>
      </w:r>
      <w:r w:rsidR="008D624E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5DB6678D" w14:textId="77777777" w:rsidR="007E7823" w:rsidRPr="00B55FF8" w:rsidRDefault="008A6E70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16"/>
        </w:rPr>
      </w:pPr>
      <w:r w:rsidRPr="00B55FF8">
        <w:rPr>
          <w:rFonts w:ascii="Calibri Light" w:eastAsia="Times New Roman" w:hAnsi="Calibri Light" w:cs="Calibri Light"/>
          <w:bCs/>
          <w:sz w:val="18"/>
          <w:szCs w:val="16"/>
        </w:rPr>
        <w:lastRenderedPageBreak/>
        <w:t>Fon</w:t>
      </w:r>
      <w:r w:rsidR="00EF7288">
        <w:rPr>
          <w:rFonts w:ascii="Calibri Light" w:eastAsia="Times New Roman" w:hAnsi="Calibri Light" w:cs="Calibri Light"/>
          <w:bCs/>
          <w:sz w:val="18"/>
          <w:szCs w:val="16"/>
        </w:rPr>
        <w:t>d</w:t>
      </w:r>
      <w:r w:rsidRPr="00B55FF8">
        <w:rPr>
          <w:rFonts w:ascii="Calibri Light" w:eastAsia="Times New Roman" w:hAnsi="Calibri Light" w:cs="Calibri Light"/>
          <w:bCs/>
          <w:sz w:val="18"/>
          <w:szCs w:val="16"/>
        </w:rPr>
        <w:t>o Social para la Vivienda</w:t>
      </w:r>
    </w:p>
    <w:p w14:paraId="39AF8622" w14:textId="4173299A" w:rsidR="00AC5E2C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estadística 1973 </w:t>
      </w:r>
      <w:r w:rsidR="00EF462A" w:rsidRPr="00B55FF8">
        <w:rPr>
          <w:rFonts w:ascii="Calibri Light" w:eastAsia="Times New Roman" w:hAnsi="Calibri Light" w:cs="Calibri Light"/>
          <w:bCs/>
          <w:sz w:val="18"/>
          <w:szCs w:val="20"/>
        </w:rPr>
        <w:t>–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 </w:t>
      </w:r>
      <w:r w:rsidR="00696075">
        <w:rPr>
          <w:rFonts w:ascii="Calibri Light" w:eastAsia="Times New Roman" w:hAnsi="Calibri Light" w:cs="Calibri Light"/>
          <w:bCs/>
          <w:sz w:val="18"/>
          <w:szCs w:val="20"/>
        </w:rPr>
        <w:t>junio</w:t>
      </w:r>
      <w:r w:rsidR="00F26FC1">
        <w:rPr>
          <w:rFonts w:ascii="Calibri Light" w:eastAsia="Times New Roman" w:hAnsi="Calibri Light" w:cs="Calibri Light"/>
          <w:bCs/>
          <w:sz w:val="18"/>
          <w:szCs w:val="20"/>
        </w:rPr>
        <w:t xml:space="preserve"> 2020</w:t>
      </w:r>
    </w:p>
    <w:p w14:paraId="1DB98E23" w14:textId="77777777" w:rsidR="00C55814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14"/>
        </w:rPr>
      </w:pPr>
      <w:r w:rsidRPr="00B55FF8">
        <w:rPr>
          <w:rFonts w:ascii="Calibri Light" w:eastAsia="Times New Roman" w:hAnsi="Calibri Light" w:cs="Calibri Light"/>
          <w:bCs/>
          <w:sz w:val="14"/>
          <w:szCs w:val="14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939"/>
        <w:gridCol w:w="939"/>
        <w:gridCol w:w="941"/>
        <w:gridCol w:w="929"/>
        <w:gridCol w:w="830"/>
        <w:gridCol w:w="830"/>
        <w:gridCol w:w="922"/>
        <w:gridCol w:w="717"/>
        <w:gridCol w:w="1117"/>
        <w:gridCol w:w="1150"/>
      </w:tblGrid>
      <w:tr w:rsidR="00630F06" w:rsidRPr="00630F06" w14:paraId="4070A48A" w14:textId="77777777" w:rsidTr="00630F06">
        <w:trPr>
          <w:trHeight w:val="266"/>
        </w:trPr>
        <w:tc>
          <w:tcPr>
            <w:tcW w:w="546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62AA1B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5C8B7BF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E1EB3E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2AE784B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EDB79D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4DEBFC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Saldos depósitos cotizaciones</w:t>
            </w:r>
          </w:p>
        </w:tc>
      </w:tr>
      <w:tr w:rsidR="00630F06" w:rsidRPr="00630F06" w14:paraId="15088ADA" w14:textId="77777777" w:rsidTr="00630F06">
        <w:trPr>
          <w:trHeight w:val="266"/>
        </w:trPr>
        <w:tc>
          <w:tcPr>
            <w:tcW w:w="546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C651B26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CF528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Activo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59ECB9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Pasivo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7F4DD3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Patrimonio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7D812E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Ingresos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75AD68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Gasto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2E5D1D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5B0E1AE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CE944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91A0C0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074C4BE7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630F06" w:rsidRPr="00630F06" w14:paraId="1E2FDD8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C38DF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28E14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56C69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$704.2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0C92D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$285.7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6A85D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9C8D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A9F7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-$16.5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C465B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7EA38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55270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7D4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$704.1</w:t>
            </w:r>
          </w:p>
        </w:tc>
      </w:tr>
      <w:tr w:rsidR="00630F06" w:rsidRPr="00630F06" w14:paraId="33023898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51A81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AAF28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$5,034.3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26A29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$4,747.8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37951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5FED0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$127.8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14CC3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EADC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-$36.6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1DE7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46CE0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5AAE2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D7A5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$3,224.6</w:t>
            </w:r>
          </w:p>
        </w:tc>
      </w:tr>
      <w:tr w:rsidR="00630F06" w:rsidRPr="00630F06" w14:paraId="6AD72F1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41F30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16907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$10,267.2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B115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$9,400.4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94806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$866.8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0F333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2C43C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$257.5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312D1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9BB8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05BF5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8A4C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B1AA1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$6,771.9</w:t>
            </w:r>
          </w:p>
        </w:tc>
      </w:tr>
      <w:tr w:rsidR="00630F06" w:rsidRPr="00630F06" w14:paraId="6AA4DF87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364D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3CF1F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$12,257.9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1ACF3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$10,704.6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8D60C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$1,553.3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C78C3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5BCBF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$369.7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AD7B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755D5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89E7D5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594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8FB68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$29.3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599B3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$10,527.2</w:t>
            </w:r>
          </w:p>
        </w:tc>
      </w:tr>
      <w:tr w:rsidR="00630F06" w:rsidRPr="00630F06" w14:paraId="0E5FE1C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20279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9CAF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$18,066.8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0A045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$15,365.9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560D9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$2,700.9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5467B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$824.9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1AEBA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CF7DA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$333.8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1324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734B4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CC13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2DE2B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$15,239.0</w:t>
            </w:r>
          </w:p>
        </w:tc>
      </w:tr>
      <w:tr w:rsidR="00630F06" w:rsidRPr="00630F06" w14:paraId="7840CAC9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661BF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4C7A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$24,617.3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FD8B9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$20,992.8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E0AD4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$3,624.5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63F74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$967.5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111B2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4B9D4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$350.2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DCAAA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8B424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798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7B4C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$65.7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44035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$20,659.3</w:t>
            </w:r>
          </w:p>
        </w:tc>
      </w:tr>
      <w:tr w:rsidR="00630F06" w:rsidRPr="00630F06" w14:paraId="16A60E0B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B08B5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DE481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$31,387.8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7FAE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$27,321.1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5A68D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$4,066.7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75F07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$1,259.6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9669E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$817.5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68D17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390F2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07699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69B91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ED8F7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$26,725.5</w:t>
            </w:r>
          </w:p>
        </w:tc>
      </w:tr>
      <w:tr w:rsidR="00630F06" w:rsidRPr="00630F06" w14:paraId="63065A1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7583D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50237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$38,820.4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6CEA4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$33,979.0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64E7D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$4,841.4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1FA7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$1,747.3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6EBAF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$972.6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0813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$774.7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ECEA3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E2A0D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1,350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4135E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$163.0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BE3BB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$33,424.1</w:t>
            </w:r>
          </w:p>
        </w:tc>
      </w:tr>
      <w:tr w:rsidR="00630F06" w:rsidRPr="00630F06" w14:paraId="2D6CDD57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BAE03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38C99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$46,329.4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9997D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$40,610.9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63F1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$5,718.5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364FC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$2,229.3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9FE09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$1,352.2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788D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$877.1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DB1B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C005A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1,799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A5651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239DE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$39,867.8</w:t>
            </w:r>
          </w:p>
        </w:tc>
      </w:tr>
      <w:tr w:rsidR="00630F06" w:rsidRPr="00630F06" w14:paraId="5C6C9E5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741E5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BD7B6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$56,068.5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33D8F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$49,356.0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1643B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$6,712.5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304C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$2,479.5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EFB03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$1,485.5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47C23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$994.0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F26D1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50765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1,280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D866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$221.6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DAA15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$46,245.9</w:t>
            </w:r>
          </w:p>
        </w:tc>
      </w:tr>
      <w:tr w:rsidR="00630F06" w:rsidRPr="00630F06" w14:paraId="0F2F7C8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031C4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601A1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$67,969.4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D4F55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$59,774.1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D3D09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$8,195.3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4D74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$3,809.1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F312F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$2,212.1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2B373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$1,597.0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F3112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E4DD0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1,159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003EA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$231.6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70F9E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$53,238.5</w:t>
            </w:r>
          </w:p>
        </w:tc>
      </w:tr>
      <w:tr w:rsidR="00630F06" w:rsidRPr="00630F06" w14:paraId="59915808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C8A1E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F70AF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$77,239.5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6D1BA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$72,870.4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CA68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$4,369.1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111AC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$4,512.3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3C76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$3,457.4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A710C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$1,054.9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3CA9C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4AAD5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1,033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E9696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$242.4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7C88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$60,455.3</w:t>
            </w:r>
          </w:p>
        </w:tc>
      </w:tr>
      <w:tr w:rsidR="00630F06" w:rsidRPr="00630F06" w14:paraId="2454BF8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EB0DD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7DB56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$83,801.0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A5569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$78,202.2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F873D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$5,598.8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81D34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$5,342.8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933D8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$4,113.1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B819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$1,229.6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973DC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29862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0C935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$360.4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7D05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$68,129.0</w:t>
            </w:r>
          </w:p>
        </w:tc>
      </w:tr>
      <w:tr w:rsidR="00630F06" w:rsidRPr="00630F06" w14:paraId="1086F4F1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45468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AFC61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$94,771.0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4F55C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$86,363.9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9A323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$8,407.1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86600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$6,639.8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1F78E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$3,831.5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6F5B3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$2,808.3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0C1B1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77F25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1,564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9985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$448.2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9C62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$76,274.9</w:t>
            </w:r>
          </w:p>
        </w:tc>
      </w:tr>
      <w:tr w:rsidR="00630F06" w:rsidRPr="00630F06" w14:paraId="40A6C83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6F8A4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19BA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$106,199.8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1413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$91,000.2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35F65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$15,199.6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37973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$9,912.4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B0A9E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$3,119.8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7351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$6,792.6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15C62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5F346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1,672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6A781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$602.7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8EAD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$83,526.7</w:t>
            </w:r>
          </w:p>
        </w:tc>
      </w:tr>
      <w:tr w:rsidR="00630F06" w:rsidRPr="00630F06" w14:paraId="5452FE8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5B7C3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B9E1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$117,494.4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11196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$99,604.5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0773C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$17,889.8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F2904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$8,358.9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9704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$4,145.7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A0586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$4,213.1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6D6EF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47E9D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1,730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E339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$678.3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1DB26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$92,631.8</w:t>
            </w:r>
          </w:p>
        </w:tc>
      </w:tr>
      <w:tr w:rsidR="00630F06" w:rsidRPr="00630F06" w14:paraId="3C190B08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FB4F7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25756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$132,419.6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16E2F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$110,499.8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0CF33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$21,919.7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DA8F1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$9,137.6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B1567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$5,107.7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4E70D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$4,029.9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4BB3B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3A0B2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2,340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CAE6A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$920.8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FF8EE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$103,463.7</w:t>
            </w:r>
          </w:p>
        </w:tc>
      </w:tr>
      <w:tr w:rsidR="00630F06" w:rsidRPr="00630F06" w14:paraId="3E434910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C8FBB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6D4BB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$149,835.3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FF443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$121,669.9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E9A2F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$28,165.3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1CB5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$11,076.4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722A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$4,830.8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E2BC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$6,245.6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73878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2336C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3,524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FA8B3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$1,406.9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BB01D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$114,183.9</w:t>
            </w:r>
          </w:p>
        </w:tc>
      </w:tr>
      <w:tr w:rsidR="00630F06" w:rsidRPr="00630F06" w14:paraId="41EA603F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56B31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226A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$171,003.3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60749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$133,289.9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653B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$37,713.4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A52FB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$14,141.3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237F8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$4,593.3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DF486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$9,548.0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E9C81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AE4CC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3,318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C39AF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$1,413.6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1D1CE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$126,071.5</w:t>
            </w:r>
          </w:p>
        </w:tc>
      </w:tr>
      <w:tr w:rsidR="00630F06" w:rsidRPr="00630F06" w14:paraId="5ED44594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7B2FA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E0AAB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$195,114.7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01B7B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$148,571.7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F10E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$46,543.0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CA8CE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$15,013.0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8C5B0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$6,183.4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8CDE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$8,829.6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44A99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2AD2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3,308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CF18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$1,504.2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F0254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$140,399.0</w:t>
            </w:r>
          </w:p>
        </w:tc>
      </w:tr>
      <w:tr w:rsidR="00630F06" w:rsidRPr="00630F06" w14:paraId="48EEC3B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7E1E9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68B9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$231,664.9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A664D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$172,450.0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76DED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$59,214.8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500FC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$19,826.8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79790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$7,155.0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246BB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$12,671.8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46110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08B5A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4,844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2E902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$2,052.1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5D0DF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$160,418.6</w:t>
            </w:r>
          </w:p>
        </w:tc>
      </w:tr>
      <w:tr w:rsidR="00630F06" w:rsidRPr="00630F06" w14:paraId="4B889050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D6C91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EDB5D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$264,111.2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652F2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$212,592.3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CEBA5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$51,518.9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D081D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$27,134.0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11D8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$16,031.3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B891B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$11,102.7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BBCD2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B98A8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3,985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0392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$1,845.9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14C9A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$191,705.2</w:t>
            </w:r>
          </w:p>
        </w:tc>
      </w:tr>
      <w:tr w:rsidR="00630F06" w:rsidRPr="00630F06" w14:paraId="33835FD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1530F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036C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$324,708.9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5D109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$250,277.5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52714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$74,431.4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D0BDB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$35,971.7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0BA2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$18,677.3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5F19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$17,294.4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622B2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1D4C8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5,653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0ECCE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$2,720.5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D8D5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$230,698.1</w:t>
            </w:r>
          </w:p>
        </w:tc>
      </w:tr>
      <w:tr w:rsidR="00630F06" w:rsidRPr="00630F06" w14:paraId="3854108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FFF0B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C1F51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$382,472.6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E378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$287,999.9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9477D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$94,472.7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C72D6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$44,393.5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26AE1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$27,878.9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F2E14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$16,514.6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BA6BE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C9DBB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6,387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FF368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$3,232.0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DAB4B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$275,673.5</w:t>
            </w:r>
          </w:p>
        </w:tc>
      </w:tr>
      <w:tr w:rsidR="00630F06" w:rsidRPr="00630F06" w14:paraId="4E14A8A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0AAD1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9E042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$446,969.0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10F3C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$337,405.3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64DC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$109,563.7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7D574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$49,001.3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8B1CE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$32,767.3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E1CF4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$16,233.9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D8763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3CA72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6,584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E638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$3,769.7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1FABF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$326,735.7</w:t>
            </w:r>
          </w:p>
        </w:tc>
      </w:tr>
      <w:tr w:rsidR="00630F06" w:rsidRPr="00630F06" w14:paraId="0FA2E9E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96CF8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A55FF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$544,015.5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5F575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$417,740.9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A702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$126,274.6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1C48F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$50,521.6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27A58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$33,810.7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05698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AD6EA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$49,085.7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7BC382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5,792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0828D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$3,332.0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13BF6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$354,438.8</w:t>
            </w:r>
          </w:p>
        </w:tc>
      </w:tr>
      <w:tr w:rsidR="00630F06" w:rsidRPr="00630F06" w14:paraId="22A8A8A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F4E7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56F2B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$667,321.5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A9FFC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$534,420.9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C5DF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$132,900.6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12FE1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$55,610.1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AB39E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$50,127.0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D8786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8FF77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$61,485.7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144C5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6,097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C2935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9AEDF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$360,884.7</w:t>
            </w:r>
          </w:p>
        </w:tc>
      </w:tr>
      <w:tr w:rsidR="00630F06" w:rsidRPr="00630F06" w14:paraId="54C0112E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5BBD4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7A25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$759,822.3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01CE6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$617,109.1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5915F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$142,713.3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ADAEC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$71,650.6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16EBA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$61,801.0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5B13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0BBB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$133,742.9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2C000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6,894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09725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73779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$359,969.9</w:t>
            </w:r>
          </w:p>
        </w:tc>
      </w:tr>
      <w:tr w:rsidR="00630F06" w:rsidRPr="00630F06" w14:paraId="797F1DB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60016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23AC2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$758,103.5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8F5FA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$657,752.1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55789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$100,351.4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FEFF8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$54,923.3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9EE33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$45,404.1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7FC61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E0409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$75,991.1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1ADCF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7,248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9AB53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2794A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$356,408.8</w:t>
            </w:r>
          </w:p>
        </w:tc>
      </w:tr>
      <w:tr w:rsidR="00630F06" w:rsidRPr="00630F06" w14:paraId="0F32762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A4CFA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BEF40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$810,539.5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A4EA3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$700,577.2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BA1E0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$109,962.4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1E57B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$57,469.6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1806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$47,694.7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C3580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15FDC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$96,000.0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B6B72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7,633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9E366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9ED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$352,030.1</w:t>
            </w:r>
          </w:p>
        </w:tc>
      </w:tr>
      <w:tr w:rsidR="00630F06" w:rsidRPr="00630F06" w14:paraId="720675CF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EC5AD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65B05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29CE7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E2B08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9B0A3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E33A9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4B9A8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7522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B60B6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E078E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8A69B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$327,454.4</w:t>
            </w:r>
          </w:p>
        </w:tc>
      </w:tr>
      <w:tr w:rsidR="00630F06" w:rsidRPr="00630F06" w14:paraId="6245A2CE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E2686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CD22E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C08A6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8B4C4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F9B04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ECA35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43B4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7BCEA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B4912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31318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45CFE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$321,510.2</w:t>
            </w:r>
          </w:p>
        </w:tc>
      </w:tr>
      <w:tr w:rsidR="00630F06" w:rsidRPr="00630F06" w14:paraId="21DAAA9B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8397E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66338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D4BD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844A4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22903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0247B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86463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40BB8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679E3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2E3C7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D169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$313,101.6</w:t>
            </w:r>
          </w:p>
        </w:tc>
      </w:tr>
      <w:tr w:rsidR="00630F06" w:rsidRPr="00630F06" w14:paraId="6F1E803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CFC48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B3BFD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D48A6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CE7AB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45BA1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00930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15D78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FB0B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00673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8404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AA3E2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$300,265.9</w:t>
            </w:r>
          </w:p>
        </w:tc>
      </w:tr>
      <w:tr w:rsidR="00630F06" w:rsidRPr="00630F06" w14:paraId="12DAAE62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2953A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7A5AB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F7422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B0A27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5564B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0627E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36D90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31069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D76E8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B730E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DC69F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$292,552.4</w:t>
            </w:r>
          </w:p>
        </w:tc>
      </w:tr>
      <w:tr w:rsidR="00630F06" w:rsidRPr="00630F06" w14:paraId="193C323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60A42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86D2C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51B96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42370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44D6A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EB0AA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05520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29E0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9CC41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1B29C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F84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$285,945.7</w:t>
            </w:r>
          </w:p>
        </w:tc>
      </w:tr>
      <w:tr w:rsidR="00630F06" w:rsidRPr="00630F06" w14:paraId="5E3AC790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5E92C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32151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5F042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2FBB0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274B2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7B96F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5BACF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0675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CD71C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9251A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5371A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$279,290.0</w:t>
            </w:r>
          </w:p>
        </w:tc>
      </w:tr>
      <w:tr w:rsidR="00630F06" w:rsidRPr="00630F06" w14:paraId="71933F0C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06C13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3050D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9B63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4C275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8DE4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7AA5E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3B2DF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5E31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A4530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11E83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067A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$272,789.9</w:t>
            </w:r>
          </w:p>
        </w:tc>
      </w:tr>
      <w:tr w:rsidR="00630F06" w:rsidRPr="00630F06" w14:paraId="2E283AB1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E6AA05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1542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A9F8E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BE644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1AA22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CBBD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35E4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96C81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85EDE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0358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6B0EE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$265,741.9</w:t>
            </w:r>
          </w:p>
        </w:tc>
      </w:tr>
      <w:tr w:rsidR="00630F06" w:rsidRPr="00630F06" w14:paraId="6E3EFAAE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6072A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1BBFD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9BA46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FDC7B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E3DD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BBE4A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40AEE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8340B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559F8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D657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F28E0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$257,708.6</w:t>
            </w:r>
          </w:p>
        </w:tc>
      </w:tr>
      <w:tr w:rsidR="00630F06" w:rsidRPr="00630F06" w14:paraId="09FCD65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23CD2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818F2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5DCA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2A7A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A3C91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66A31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8B8F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0C51B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A72F12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5A6B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99D13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$249,127.6</w:t>
            </w:r>
          </w:p>
        </w:tc>
      </w:tr>
      <w:tr w:rsidR="00630F06" w:rsidRPr="00630F06" w14:paraId="404ED977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B6D45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FDE60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6F5AA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F4F7D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D561D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6D0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4E05A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ACF3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2CA07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14B82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E91E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$241,473.7</w:t>
            </w:r>
          </w:p>
        </w:tc>
      </w:tr>
      <w:tr w:rsidR="00630F06" w:rsidRPr="00630F06" w14:paraId="6C88FD2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F978E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A02B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B0E74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A631B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CF056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0F80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C5B6F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09EB5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965AD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289A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CD49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$232,709.1</w:t>
            </w:r>
          </w:p>
        </w:tc>
      </w:tr>
      <w:tr w:rsidR="00630F06" w:rsidRPr="00630F06" w14:paraId="20C05AFC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641D3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C1268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F03D0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61CE3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3024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001DF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8996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5F47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54352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87495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168A3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$222,235.6</w:t>
            </w:r>
          </w:p>
        </w:tc>
      </w:tr>
      <w:tr w:rsidR="00630F06" w:rsidRPr="00630F06" w14:paraId="7DB98F9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6F3F9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E6D5E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A9B1A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1205B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7370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B602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6D85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25B6C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E0D25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F257B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B773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$212,085.4</w:t>
            </w:r>
          </w:p>
        </w:tc>
      </w:tr>
      <w:tr w:rsidR="00630F06" w:rsidRPr="00630F06" w14:paraId="0DDEEC74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C64B1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3B132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5ADE0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041C4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BE1EB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AE536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C1DA2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DBC8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EE7C5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FE56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4DD48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$202,647.4</w:t>
            </w:r>
          </w:p>
        </w:tc>
      </w:tr>
      <w:tr w:rsidR="00630F06" w:rsidRPr="00630F06" w14:paraId="2D17583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21D47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E0A72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$949,811.7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797FC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$463,144.7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27AB7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$486,667.0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E9DA9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$119,975.8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7364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$84,454.9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E7B6C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5AA3D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4B480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15,180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16990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FA303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$194,080.2</w:t>
            </w:r>
          </w:p>
        </w:tc>
      </w:tr>
      <w:tr w:rsidR="00630F06" w:rsidRPr="00630F06" w14:paraId="27D1580B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39FE0F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7872DC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$964,081.7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7F47D2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$455,082.6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972ABD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$508,999.1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F37536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$50,182.9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887CA2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$27,683.7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C63CA7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$22,499.3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B5AC77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4A3F0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4,633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0430D6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$2,373.2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764F9D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$190,883.6</w:t>
            </w:r>
          </w:p>
        </w:tc>
      </w:tr>
      <w:tr w:rsidR="00630F06" w:rsidRPr="00630F06" w14:paraId="1F9C9B0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2B548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0A573B55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4F8BCF65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41A03347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39DBFF9D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47E9F530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701364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A4E52D" w14:textId="77777777" w:rsidR="00630F06" w:rsidRPr="00630F06" w:rsidRDefault="00630F06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$595,040.8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F8E74F" w14:textId="77777777" w:rsidR="00630F06" w:rsidRPr="00630F06" w:rsidRDefault="00630F06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295,323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CE941F" w14:textId="77777777" w:rsidR="00630F06" w:rsidRPr="00630F06" w:rsidRDefault="00630F06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$172,680.9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153B9B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Default="00AE36CC" w:rsidP="00982D0B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 Monitor de Operaciones, Gerencia de Planificación, FSV.</w:t>
      </w:r>
      <w:r w:rsidR="00982D0B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FD40B4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63DB106C" w14:textId="77777777" w:rsidR="00AE36CC" w:rsidRPr="00B55FF8" w:rsidRDefault="00AE36CC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1030C528" w14:textId="77777777" w:rsidR="003B4671" w:rsidRPr="00B55FF8" w:rsidRDefault="003B4671" w:rsidP="009E02E0">
      <w:pPr>
        <w:spacing w:after="0" w:line="240" w:lineRule="auto"/>
        <w:rPr>
          <w:rFonts w:ascii="Calibri Light" w:eastAsia="Times New Roman" w:hAnsi="Calibri Light" w:cs="Calibri Light"/>
          <w:sz w:val="4"/>
          <w:szCs w:val="20"/>
        </w:rPr>
      </w:pPr>
    </w:p>
    <w:p w14:paraId="3A084927" w14:textId="77777777" w:rsidR="003B4671" w:rsidRPr="00B55FF8" w:rsidRDefault="003B4671" w:rsidP="00CB51B9">
      <w:pPr>
        <w:spacing w:after="0" w:line="240" w:lineRule="auto"/>
        <w:ind w:left="1418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2801"/>
      </w:tblGrid>
      <w:tr w:rsidR="001A320B" w:rsidRPr="001A320B" w14:paraId="7D7ADEAB" w14:textId="77777777" w:rsidTr="008C46E9">
        <w:trPr>
          <w:trHeight w:val="346"/>
          <w:jc w:val="center"/>
        </w:trPr>
        <w:tc>
          <w:tcPr>
            <w:tcW w:w="7120" w:type="dxa"/>
            <w:gridSpan w:val="2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15D25AA" w14:textId="77777777" w:rsidR="001A320B" w:rsidRPr="001A320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Cifras relevantes</w:t>
            </w:r>
          </w:p>
        </w:tc>
      </w:tr>
      <w:tr w:rsidR="001A320B" w:rsidRPr="001A320B" w14:paraId="113CD01B" w14:textId="77777777" w:rsidTr="008C46E9">
        <w:trPr>
          <w:trHeight w:val="346"/>
          <w:jc w:val="center"/>
        </w:trPr>
        <w:tc>
          <w:tcPr>
            <w:tcW w:w="71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DBD463F" w14:textId="77777777" w:rsidR="001A320B" w:rsidRPr="001A320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Acumulado 1973 - junio 2020</w:t>
            </w:r>
          </w:p>
        </w:tc>
      </w:tr>
      <w:tr w:rsidR="001A320B" w:rsidRPr="001A320B" w14:paraId="0D7CD6AD" w14:textId="77777777" w:rsidTr="008C46E9">
        <w:trPr>
          <w:trHeight w:val="161"/>
          <w:jc w:val="center"/>
        </w:trPr>
        <w:tc>
          <w:tcPr>
            <w:tcW w:w="71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50860F7" w14:textId="77777777" w:rsidR="001A320B" w:rsidRPr="001A320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1A320B" w:rsidRPr="001A320B" w14:paraId="75E9F360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9445064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2800" w:type="dxa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CCCBFE2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310,399</w:t>
            </w:r>
          </w:p>
        </w:tc>
      </w:tr>
      <w:tr w:rsidR="001A320B" w:rsidRPr="001A320B" w14:paraId="3C0F5EFD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B2AA582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E1C3AFB" w14:textId="77777777" w:rsidR="001A320B" w:rsidRPr="001A320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$2,714,822.1</w:t>
            </w:r>
          </w:p>
        </w:tc>
      </w:tr>
      <w:tr w:rsidR="001A320B" w:rsidRPr="001A320B" w14:paraId="233DD6F8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4BBE568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75C83ED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310,399</w:t>
            </w:r>
          </w:p>
        </w:tc>
      </w:tr>
      <w:tr w:rsidR="001A320B" w:rsidRPr="001A320B" w14:paraId="6851332E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66CA098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059990B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1,496,768</w:t>
            </w:r>
          </w:p>
        </w:tc>
      </w:tr>
      <w:tr w:rsidR="001A320B" w:rsidRPr="001A320B" w14:paraId="2426B5E7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E25530A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8EF6C9E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142,360</w:t>
            </w:r>
          </w:p>
        </w:tc>
      </w:tr>
      <w:tr w:rsidR="001A320B" w:rsidRPr="001A320B" w14:paraId="4FADEFC6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C1D23D9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4F5403C" w14:textId="77777777" w:rsidR="001A320B" w:rsidRPr="001A320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$1,407,047.5</w:t>
            </w:r>
          </w:p>
        </w:tc>
      </w:tr>
      <w:tr w:rsidR="001A320B" w:rsidRPr="001A320B" w14:paraId="2BCD5DEA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ED45EB0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Devolución de Cotizaciones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4416506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295,323</w:t>
            </w:r>
          </w:p>
        </w:tc>
      </w:tr>
      <w:tr w:rsidR="001A320B" w:rsidRPr="001A320B" w14:paraId="4B9774FE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00989F78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A2A80AD" w14:textId="77777777" w:rsidR="001A320B" w:rsidRPr="001A320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$172,680.9</w:t>
            </w:r>
          </w:p>
        </w:tc>
      </w:tr>
      <w:tr w:rsidR="001A320B" w:rsidRPr="001A320B" w14:paraId="3D46D767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C701B4E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Cartera hipotecaria</w:t>
            </w:r>
            <w:r w:rsidRPr="001A320B">
              <w:rPr>
                <w:rFonts w:ascii="Calibri Light" w:eastAsia="Times New Roman" w:hAnsi="Calibri Light" w:cs="Calibri Light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3D42972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94,931</w:t>
            </w:r>
          </w:p>
        </w:tc>
      </w:tr>
      <w:tr w:rsidR="001A320B" w:rsidRPr="001A320B" w14:paraId="667A5162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61C24DDA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6319050" w14:textId="77777777" w:rsidR="001A320B" w:rsidRPr="001A320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$963,094.7</w:t>
            </w:r>
          </w:p>
        </w:tc>
      </w:tr>
      <w:tr w:rsidR="001A320B" w:rsidRPr="001A320B" w14:paraId="41C8EAFE" w14:textId="77777777" w:rsidTr="0075752B">
        <w:trPr>
          <w:trHeight w:val="346"/>
          <w:jc w:val="center"/>
        </w:trPr>
        <w:tc>
          <w:tcPr>
            <w:tcW w:w="7120" w:type="dxa"/>
            <w:gridSpan w:val="2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D911469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Registro en número de hipotecas</w:t>
            </w:r>
          </w:p>
        </w:tc>
      </w:tr>
      <w:tr w:rsidR="001A320B" w:rsidRPr="001A320B" w14:paraId="4D524F55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bottom"/>
            <w:hideMark/>
          </w:tcPr>
          <w:p w14:paraId="53EBED03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Total hipotecas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F064A8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94,931</w:t>
            </w:r>
          </w:p>
        </w:tc>
      </w:tr>
      <w:tr w:rsidR="001A320B" w:rsidRPr="001A320B" w14:paraId="0DABFABC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bottom"/>
            <w:hideMark/>
          </w:tcPr>
          <w:p w14:paraId="69BA4299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99D5CE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94,324</w:t>
            </w:r>
          </w:p>
        </w:tc>
      </w:tr>
      <w:tr w:rsidR="001A320B" w:rsidRPr="001A320B" w14:paraId="0212803E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bottom"/>
            <w:hideMark/>
          </w:tcPr>
          <w:p w14:paraId="19BEA8EF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6399DD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607</w:t>
            </w:r>
          </w:p>
        </w:tc>
      </w:tr>
    </w:tbl>
    <w:p w14:paraId="174992AE" w14:textId="06572B01" w:rsidR="002443C9" w:rsidRDefault="002443C9" w:rsidP="00E03B06">
      <w:pPr>
        <w:spacing w:after="0" w:line="240" w:lineRule="auto"/>
        <w:ind w:left="1843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  <w:vertAlign w:val="superscript"/>
        </w:rPr>
        <w:t>1/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B55FF8" w:rsidRDefault="007D29E8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1F82884B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6DB36682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16706B16" w14:textId="77777777" w:rsidR="003B4671" w:rsidRPr="00B55FF8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458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754"/>
        <w:gridCol w:w="1399"/>
        <w:gridCol w:w="1433"/>
        <w:gridCol w:w="1433"/>
        <w:gridCol w:w="1399"/>
        <w:gridCol w:w="10"/>
      </w:tblGrid>
      <w:tr w:rsidR="001A320B" w:rsidRPr="0075752B" w14:paraId="626A1A72" w14:textId="77777777" w:rsidTr="008C46E9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FEB56B4" w14:textId="77777777" w:rsidR="001A320B" w:rsidRPr="0075752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Gestión operativa</w:t>
            </w:r>
          </w:p>
        </w:tc>
      </w:tr>
      <w:tr w:rsidR="001A320B" w:rsidRPr="0075752B" w14:paraId="67AE83BF" w14:textId="77777777" w:rsidTr="008C46E9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B856633" w14:textId="77777777" w:rsidR="001A320B" w:rsidRPr="0075752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Período junio 2016-2020</w:t>
            </w:r>
          </w:p>
        </w:tc>
      </w:tr>
      <w:tr w:rsidR="001A320B" w:rsidRPr="0075752B" w14:paraId="22029741" w14:textId="77777777" w:rsidTr="008C46E9">
        <w:trPr>
          <w:trHeight w:val="298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D0132B2" w14:textId="77777777" w:rsidR="001A320B" w:rsidRPr="0075752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1A320B" w:rsidRPr="0075752B" w14:paraId="127DD3E8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5871621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Recursos</w:t>
            </w:r>
          </w:p>
        </w:tc>
        <w:tc>
          <w:tcPr>
            <w:tcW w:w="914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0CDFA02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2016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8FCE1C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2017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86ECBA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2018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D8804F6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2019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63320C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2020</w:t>
            </w:r>
          </w:p>
        </w:tc>
      </w:tr>
      <w:tr w:rsidR="001A320B" w:rsidRPr="0075752B" w14:paraId="4FE609CA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0371BB0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Recuperación de cuotas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D2DEF73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$68,959.0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647F7AE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$72,751.3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1F59B7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$75,587.2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659E21F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$76,751.5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1449A73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$62,795.3</w:t>
            </w:r>
          </w:p>
        </w:tc>
      </w:tr>
      <w:tr w:rsidR="001A320B" w:rsidRPr="0075752B" w14:paraId="01EF2624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7126652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Ingresos de cotizaciones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7EC2CC2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$2.8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A7DE791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$7.2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B297E64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$7.8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1E29E91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$5.5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DE9EB2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$1.6</w:t>
            </w:r>
          </w:p>
        </w:tc>
      </w:tr>
      <w:tr w:rsidR="001A320B" w:rsidRPr="0075752B" w14:paraId="3DF2F32B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E96E6E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Total créditos otorgados</w:t>
            </w:r>
          </w:p>
        </w:tc>
        <w:tc>
          <w:tcPr>
            <w:tcW w:w="914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E26069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3,796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3D890D2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3,025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638B5B0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2,582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89EDBE8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2,716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1672B40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1,650</w:t>
            </w:r>
          </w:p>
        </w:tc>
      </w:tr>
      <w:tr w:rsidR="001A320B" w:rsidRPr="0075752B" w14:paraId="7DB4DBF9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C6785F3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A8A8024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$71,108.5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E6295C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$51,762.2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3718F60B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$41,695.5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3A3DC69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$48,572.3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04B8EDF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$33,367.7</w:t>
            </w:r>
          </w:p>
        </w:tc>
      </w:tr>
      <w:tr w:rsidR="001A320B" w:rsidRPr="0075752B" w14:paraId="7EA0CC0A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E67CCEE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Vivienda nueva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F2D887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0D964C5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EFBB91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9F8E49F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C67A139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293</w:t>
            </w:r>
          </w:p>
        </w:tc>
      </w:tr>
      <w:tr w:rsidR="001A320B" w:rsidRPr="0075752B" w14:paraId="407D6F70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9C08EA5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B2D493F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$24,620.6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35FF91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$17,890.8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3E39CEE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$9,044.4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E082B6E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$11,387.5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A76F40C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$11,783.6</w:t>
            </w:r>
          </w:p>
        </w:tc>
      </w:tr>
      <w:tr w:rsidR="001A320B" w:rsidRPr="0075752B" w14:paraId="4C0BB75F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728F7ED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Vivienda usada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9BC0993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2,390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DC83B5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1,762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59A85B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1,610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408FEB9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1,932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820C3FD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981</w:t>
            </w:r>
          </w:p>
        </w:tc>
      </w:tr>
      <w:tr w:rsidR="001A320B" w:rsidRPr="0075752B" w14:paraId="53ACDF05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8869804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E82CFDB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$39,769.1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B6CEEE1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$28,174.4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D152445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$25,112.3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F1D78E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$32,036.0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8B43047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$17,007.9</w:t>
            </w:r>
          </w:p>
        </w:tc>
      </w:tr>
      <w:tr w:rsidR="001A320B" w:rsidRPr="0075752B" w14:paraId="2A83F1B1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9F4AABE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Viviendas del FSV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A471264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399583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CDA7101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32DF539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5257EF3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261</w:t>
            </w:r>
          </w:p>
        </w:tc>
      </w:tr>
      <w:tr w:rsidR="001A320B" w:rsidRPr="0075752B" w14:paraId="5CEE0F02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2DBDCBC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7AFCC12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$4,133.2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E34BC15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$3,413.8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82060E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$4,661.3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D32274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$2,632.5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819B2D3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$3,036.2</w:t>
            </w:r>
          </w:p>
        </w:tc>
      </w:tr>
      <w:tr w:rsidR="001A320B" w:rsidRPr="0075752B" w14:paraId="2738037A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3C2AF12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Otras líneas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EC31C3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E1EE358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2046DA0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EEE77F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D7D9E8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115</w:t>
            </w:r>
          </w:p>
        </w:tc>
      </w:tr>
      <w:tr w:rsidR="001A320B" w:rsidRPr="0075752B" w14:paraId="5B55B6F7" w14:textId="77777777" w:rsidTr="001A320B">
        <w:trPr>
          <w:gridAfter w:val="1"/>
          <w:wAfter w:w="5" w:type="pct"/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AEA3604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626F0FF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$2,585.6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EF853A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$2,283.3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7AE38F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$2,877.5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1CC028B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$2,516.3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A8A6BC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$1,540.0</w:t>
            </w:r>
          </w:p>
        </w:tc>
      </w:tr>
    </w:tbl>
    <w:p w14:paraId="33DBDAD2" w14:textId="380E4597" w:rsidR="0022427E" w:rsidRDefault="00B1628D" w:rsidP="00E03B06">
      <w:pPr>
        <w:spacing w:after="0" w:line="240" w:lineRule="auto"/>
        <w:ind w:left="567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:</w:t>
      </w:r>
      <w:r w:rsidR="00884F6F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16908EEB" w14:textId="77777777" w:rsidR="00F60426" w:rsidRPr="00B55FF8" w:rsidRDefault="00F60426" w:rsidP="009E21CC">
      <w:pPr>
        <w:spacing w:before="100" w:after="0" w:line="240" w:lineRule="auto"/>
        <w:ind w:left="567"/>
        <w:rPr>
          <w:rFonts w:ascii="Calibri Light" w:eastAsia="Times New Roman" w:hAnsi="Calibri Light" w:cs="Calibri Light"/>
          <w:sz w:val="14"/>
          <w:szCs w:val="14"/>
        </w:rPr>
      </w:pPr>
    </w:p>
    <w:p w14:paraId="14667FB6" w14:textId="201F59A2" w:rsidR="004D64D2" w:rsidRDefault="004D64D2">
      <w:pPr>
        <w:rPr>
          <w:rFonts w:ascii="Calibri Light" w:eastAsia="Times New Roman" w:hAnsi="Calibri Light" w:cs="Calibri Light"/>
          <w:sz w:val="16"/>
          <w:szCs w:val="20"/>
        </w:rPr>
      </w:pPr>
    </w:p>
    <w:p w14:paraId="6DBE6DBF" w14:textId="1C7154E9" w:rsidR="00514480" w:rsidRDefault="00514480">
      <w:pPr>
        <w:rPr>
          <w:rFonts w:ascii="Calibri Light" w:eastAsia="Times New Roman" w:hAnsi="Calibri Light" w:cs="Calibri Light"/>
          <w:sz w:val="16"/>
          <w:szCs w:val="20"/>
        </w:rPr>
      </w:pPr>
      <w:r>
        <w:rPr>
          <w:rFonts w:ascii="Calibri Light" w:eastAsia="Times New Roman" w:hAnsi="Calibri Light" w:cs="Calibri Light"/>
          <w:sz w:val="16"/>
          <w:szCs w:val="20"/>
        </w:rPr>
        <w:br w:type="page"/>
      </w:r>
    </w:p>
    <w:p w14:paraId="52CFF9F4" w14:textId="77777777" w:rsidR="00120D82" w:rsidRPr="00B55FF8" w:rsidRDefault="00120D82">
      <w:pPr>
        <w:rPr>
          <w:rFonts w:ascii="Calibri Light" w:eastAsia="Times New Roman" w:hAnsi="Calibri Light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8"/>
        <w:gridCol w:w="1782"/>
      </w:tblGrid>
      <w:tr w:rsidR="00FA28C8" w:rsidRPr="00FA28C8" w14:paraId="19F0D3A8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CA8FCA4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bookmarkStart w:id="0" w:name="RANGE!B1:C11"/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Estados financieros</w:t>
            </w:r>
            <w:bookmarkEnd w:id="0"/>
          </w:p>
        </w:tc>
      </w:tr>
      <w:tr w:rsidR="00FA28C8" w:rsidRPr="00FA28C8" w14:paraId="2F60E7FE" w14:textId="77777777" w:rsidTr="00320435">
        <w:trPr>
          <w:trHeight w:val="216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46F490B9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Al mes de junio 2020</w:t>
            </w:r>
          </w:p>
        </w:tc>
      </w:tr>
      <w:tr w:rsidR="00FA28C8" w:rsidRPr="00FA28C8" w14:paraId="20A1FA15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3B0CC7F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FA28C8" w:rsidRPr="00FA28C8" w14:paraId="06BF05DA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103B839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Balance general</w:t>
            </w:r>
          </w:p>
        </w:tc>
      </w:tr>
      <w:tr w:rsidR="00FA28C8" w:rsidRPr="00FA28C8" w14:paraId="70B75280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95036F0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Activo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5588A1D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$964,081.7</w:t>
            </w:r>
          </w:p>
        </w:tc>
      </w:tr>
      <w:tr w:rsidR="00FA28C8" w:rsidRPr="00FA28C8" w14:paraId="7C5BEC46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3E4DBC8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Pasivo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DD0550F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$455,082.6</w:t>
            </w:r>
          </w:p>
        </w:tc>
      </w:tr>
      <w:tr w:rsidR="00FA28C8" w:rsidRPr="00FA28C8" w14:paraId="79C53912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D8432BC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Patrimonio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39B5980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$508,999.1</w:t>
            </w:r>
          </w:p>
        </w:tc>
      </w:tr>
      <w:tr w:rsidR="00FA28C8" w:rsidRPr="00FA28C8" w14:paraId="017CDE41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E2B62E0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Estado de resultados</w:t>
            </w:r>
          </w:p>
        </w:tc>
      </w:tr>
      <w:tr w:rsidR="00FA28C8" w:rsidRPr="00FA28C8" w14:paraId="37036FBD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E6723E7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Ingresos de operación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5D928EA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$50,182.9</w:t>
            </w:r>
          </w:p>
        </w:tc>
      </w:tr>
      <w:tr w:rsidR="00FA28C8" w:rsidRPr="00FA28C8" w14:paraId="6FD0CC7A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E275D6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Gastos de operación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CF53DB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$27,683.7</w:t>
            </w:r>
          </w:p>
        </w:tc>
      </w:tr>
      <w:tr w:rsidR="00FA28C8" w:rsidRPr="00FA28C8" w14:paraId="57292772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8414EF2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Superávit del ejercicio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C7E5FAC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$22,499.3</w:t>
            </w:r>
          </w:p>
        </w:tc>
      </w:tr>
    </w:tbl>
    <w:p w14:paraId="47B94D80" w14:textId="77777777" w:rsidR="00C9603D" w:rsidRPr="00B55FF8" w:rsidRDefault="00C9603D" w:rsidP="009E21CC">
      <w:pPr>
        <w:spacing w:before="100" w:after="0" w:line="240" w:lineRule="auto"/>
        <w:ind w:left="2268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</w:t>
      </w:r>
      <w:r w:rsidR="00901B8B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B55FF8" w:rsidRDefault="00461F87" w:rsidP="00446EFB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4682CC74" w14:textId="68611404" w:rsidR="00633A2A" w:rsidRPr="00B55FF8" w:rsidRDefault="00633A2A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22EA4E3E" w14:textId="5C7AAE81" w:rsidR="002B575F" w:rsidRDefault="00FA28C8" w:rsidP="00CB2CC4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69857AE1" wp14:editId="5596DDC4">
            <wp:extent cx="3875788" cy="324104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6454FD75" w:rsidR="00E974E2" w:rsidRPr="00E974E2" w:rsidRDefault="00E974E2" w:rsidP="009310FF">
      <w:pPr>
        <w:ind w:left="284"/>
        <w:jc w:val="center"/>
        <w:rPr>
          <w:rFonts w:ascii="Calibri Light" w:eastAsia="Times New Roman" w:hAnsi="Calibri Light" w:cs="Calibri Light"/>
          <w:bCs/>
          <w:color w:val="000000"/>
          <w:sz w:val="14"/>
          <w:szCs w:val="14"/>
        </w:rPr>
      </w:pP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Otras Líneas incluye RAM, Construcción, Lotes, Refinanciamiento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mora 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y 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deuda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.</w:t>
      </w:r>
    </w:p>
    <w:sectPr w:rsidR="00E974E2" w:rsidRPr="00E974E2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48DF"/>
    <w:rsid w:val="00134A21"/>
    <w:rsid w:val="00135261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46B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D3EF8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1513"/>
    <w:rsid w:val="00233159"/>
    <w:rsid w:val="0023363F"/>
    <w:rsid w:val="0023388F"/>
    <w:rsid w:val="0023698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187D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3584"/>
    <w:rsid w:val="00453BD7"/>
    <w:rsid w:val="004552A9"/>
    <w:rsid w:val="00455CA6"/>
    <w:rsid w:val="00455DAE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782F"/>
    <w:rsid w:val="00514480"/>
    <w:rsid w:val="005144EF"/>
    <w:rsid w:val="0051788F"/>
    <w:rsid w:val="00517A97"/>
    <w:rsid w:val="00521E83"/>
    <w:rsid w:val="00522811"/>
    <w:rsid w:val="00526575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333A"/>
    <w:rsid w:val="005E33F0"/>
    <w:rsid w:val="005E5EF0"/>
    <w:rsid w:val="005E63B7"/>
    <w:rsid w:val="005E72FD"/>
    <w:rsid w:val="005E7BDE"/>
    <w:rsid w:val="005F15C5"/>
    <w:rsid w:val="005F19B4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0F06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D73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1CEF"/>
    <w:rsid w:val="008A1D52"/>
    <w:rsid w:val="008A23DF"/>
    <w:rsid w:val="008A509E"/>
    <w:rsid w:val="008A6E70"/>
    <w:rsid w:val="008A6F87"/>
    <w:rsid w:val="008A7BA6"/>
    <w:rsid w:val="008B1B7A"/>
    <w:rsid w:val="008B2E08"/>
    <w:rsid w:val="008B47CB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7E0"/>
    <w:rsid w:val="00982D0B"/>
    <w:rsid w:val="0098457A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5747"/>
    <w:rsid w:val="00AC5922"/>
    <w:rsid w:val="00AC5E2C"/>
    <w:rsid w:val="00AC7430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E778C"/>
    <w:rsid w:val="00AF0870"/>
    <w:rsid w:val="00AF198D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77518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798F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5003"/>
    <w:rsid w:val="00EE114C"/>
    <w:rsid w:val="00EF1861"/>
    <w:rsid w:val="00EF462A"/>
    <w:rsid w:val="00EF4CF7"/>
    <w:rsid w:val="00EF6107"/>
    <w:rsid w:val="00EF63B8"/>
    <w:rsid w:val="00EF7288"/>
    <w:rsid w:val="00F00559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4A4B"/>
    <w:rsid w:val="00F95CEE"/>
    <w:rsid w:val="00F96924"/>
    <w:rsid w:val="00F97695"/>
    <w:rsid w:val="00FA04CF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41827658489604"/>
          <c:y val="3.91787758390967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1708698832767157"/>
          <c:y val="0.2300036408066547"/>
          <c:w val="0.58527121681475869"/>
          <c:h val="0.69982567324068823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junio 2020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7C2-4816-BABA-F4E2220DCFAD}"/>
              </c:ext>
            </c:extLst>
          </c:dPt>
          <c:dPt>
            <c:idx val="1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7C2-4816-BABA-F4E2220DCFAD}"/>
              </c:ext>
            </c:extLst>
          </c:dPt>
          <c:dPt>
            <c:idx val="2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C7C2-4816-BABA-F4E2220DCFAD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C7C2-4816-BABA-F4E2220DCFAD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C2-4816-BABA-F4E2220DCFAD}"/>
                </c:ext>
              </c:extLst>
            </c:dLbl>
            <c:dLbl>
              <c:idx val="1"/>
              <c:layout>
                <c:manualLayout>
                  <c:x val="0.2500868941439669"/>
                  <c:y val="-9.794695529829931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385875798787479"/>
                      <c:h val="0.183934169278996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7C2-4816-BABA-F4E2220DCFAD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C2-4816-BABA-F4E2220DCFAD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C2-4816-BABA-F4E2220DCFA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293</c:v>
                </c:pt>
                <c:pt idx="1">
                  <c:v>981</c:v>
                </c:pt>
                <c:pt idx="2">
                  <c:v>261</c:v>
                </c:pt>
                <c:pt idx="3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C2-4816-BABA-F4E2220DCFA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 Light" panose="020F030202020403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1640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Fondo Social para la Vivienda</cp:lastModifiedBy>
  <cp:revision>26</cp:revision>
  <cp:lastPrinted>2015-05-25T16:27:00Z</cp:lastPrinted>
  <dcterms:created xsi:type="dcterms:W3CDTF">2020-06-09T06:03:00Z</dcterms:created>
  <dcterms:modified xsi:type="dcterms:W3CDTF">2020-07-29T20:54:00Z</dcterms:modified>
</cp:coreProperties>
</file>