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F77AD" w14:textId="30BAE3C2" w:rsidR="00491733" w:rsidRDefault="00491733" w:rsidP="00491733">
      <w:pPr>
        <w:spacing w:line="276" w:lineRule="auto"/>
        <w:jc w:val="both"/>
      </w:pPr>
      <w:r w:rsidRPr="003025D8">
        <w:rPr>
          <w:b/>
        </w:rPr>
        <w:t>ACTA No. CV</w:t>
      </w:r>
      <w:r>
        <w:rPr>
          <w:b/>
        </w:rPr>
        <w:t>-02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con treinta minutos horas del día viernes diecisiete de enero del año 2020. Se realizó la reunión de los señores Miembros del Consejo de Vigilancia: </w:t>
      </w:r>
      <w:r w:rsidRPr="00BA5645">
        <w:t xml:space="preserve">Señor </w:t>
      </w:r>
      <w:r w:rsidRPr="00B53D3C">
        <w:rPr>
          <w:b/>
          <w:bCs/>
        </w:rPr>
        <w:t>JEFRY ALEXANDER CAISHPAL LOPEZ</w:t>
      </w:r>
      <w:r w:rsidRPr="00B53D3C">
        <w:t>,</w:t>
      </w:r>
      <w:r>
        <w:t xml:space="preserve"> </w:t>
      </w:r>
      <w:r w:rsidRPr="00B53D3C">
        <w:t>nombrado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comprobada la asistencia del Consejo  el Señor Jefry Alexander Caishpal López</w:t>
      </w:r>
      <w:r w:rsidRPr="00C366AD">
        <w:t>, President</w:t>
      </w:r>
      <w:r>
        <w:t xml:space="preserve">e;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CV-01/2020.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211/2019 d</w:t>
      </w:r>
      <w:r w:rsidRPr="00366165">
        <w:rPr>
          <w:bCs/>
        </w:rPr>
        <w:t xml:space="preserve">el </w:t>
      </w:r>
      <w:r>
        <w:rPr>
          <w:bCs/>
        </w:rPr>
        <w:t>21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212/2019 d</w:t>
      </w:r>
      <w:r w:rsidRPr="00366165">
        <w:rPr>
          <w:bCs/>
        </w:rPr>
        <w:t xml:space="preserve">el </w:t>
      </w:r>
      <w:r>
        <w:rPr>
          <w:bCs/>
        </w:rPr>
        <w:t>22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 xml:space="preserve">2019.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213/2019 d</w:t>
      </w:r>
      <w:r w:rsidRPr="00366165">
        <w:rPr>
          <w:bCs/>
        </w:rPr>
        <w:t xml:space="preserve">el </w:t>
      </w:r>
      <w:r>
        <w:rPr>
          <w:bCs/>
        </w:rPr>
        <w:t>25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214/2019 d</w:t>
      </w:r>
      <w:r w:rsidRPr="00366165">
        <w:rPr>
          <w:bCs/>
        </w:rPr>
        <w:t xml:space="preserve">el </w:t>
      </w:r>
      <w:r>
        <w:rPr>
          <w:bCs/>
        </w:rPr>
        <w:t>26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215/2019 d</w:t>
      </w:r>
      <w:r w:rsidRPr="00366165">
        <w:rPr>
          <w:bCs/>
        </w:rPr>
        <w:t xml:space="preserve">el </w:t>
      </w:r>
      <w:r>
        <w:rPr>
          <w:bCs/>
        </w:rPr>
        <w:t>27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216/2019 d</w:t>
      </w:r>
      <w:r w:rsidRPr="00366165">
        <w:rPr>
          <w:bCs/>
        </w:rPr>
        <w:t xml:space="preserve">el </w:t>
      </w:r>
      <w:r>
        <w:rPr>
          <w:bCs/>
        </w:rPr>
        <w:t>28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217/2019 d</w:t>
      </w:r>
      <w:r w:rsidRPr="00366165">
        <w:rPr>
          <w:bCs/>
        </w:rPr>
        <w:t xml:space="preserve">el </w:t>
      </w:r>
      <w:r>
        <w:rPr>
          <w:bCs/>
        </w:rPr>
        <w:t>29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 xml:space="preserve">2019. </w:t>
      </w:r>
      <w:r w:rsidRPr="00F16E21">
        <w:rPr>
          <w:b/>
          <w:bCs/>
        </w:rPr>
        <w:t>X.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F16E21">
        <w:rPr>
          <w:b/>
          <w:bCs/>
        </w:rPr>
        <w:t>XI.</w:t>
      </w:r>
      <w:r>
        <w:t xml:space="preserve"> </w:t>
      </w:r>
      <w:r w:rsidRPr="004C1C60">
        <w:rPr>
          <w:bCs/>
        </w:rPr>
        <w:t>Correspondencia Recibida</w:t>
      </w:r>
      <w:r>
        <w:rPr>
          <w:bCs/>
        </w:rPr>
        <w:t xml:space="preserve">. </w:t>
      </w:r>
      <w:r w:rsidRPr="00F16E21">
        <w:rPr>
          <w:b/>
          <w:bCs/>
        </w:rPr>
        <w:t>XII.</w:t>
      </w:r>
      <w:r>
        <w:rPr>
          <w:b/>
          <w:bCs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CV-01/2020, de fecha 9 de enero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21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seguimiento a recomendaciones de Auditorías anteriores Internas y Externas, con estado a octubre 2019;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907B54">
        <w:rPr>
          <w:bCs/>
          <w:color w:val="000000"/>
        </w:rPr>
        <w:t xml:space="preserve">Solicitud de Factibilidad de la Empresa </w:t>
      </w:r>
      <w:r>
        <w:rPr>
          <w:bCs/>
          <w:color w:val="000000"/>
        </w:rPr>
        <w:t>C</w:t>
      </w:r>
      <w:r w:rsidRPr="00907B54">
        <w:rPr>
          <w:bCs/>
          <w:color w:val="000000"/>
        </w:rPr>
        <w:t xml:space="preserve">onstructora </w:t>
      </w:r>
      <w:proofErr w:type="spellStart"/>
      <w:r w:rsidRPr="00907B54">
        <w:rPr>
          <w:bCs/>
          <w:color w:val="000000"/>
        </w:rPr>
        <w:t>Contesa</w:t>
      </w:r>
      <w:proofErr w:type="spellEnd"/>
      <w:r w:rsidRPr="00907B54">
        <w:rPr>
          <w:bCs/>
          <w:color w:val="000000"/>
        </w:rPr>
        <w:t>, S.A. de C.V., para su Proyecto Residencial Villa María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907B54">
        <w:rPr>
          <w:bCs/>
          <w:color w:val="000000"/>
        </w:rPr>
        <w:t xml:space="preserve">Solicitud de Factibilidad de la Empresa Constructora </w:t>
      </w:r>
      <w:proofErr w:type="spellStart"/>
      <w:r w:rsidRPr="00907B54">
        <w:rPr>
          <w:bCs/>
          <w:color w:val="000000"/>
        </w:rPr>
        <w:t>Teshal</w:t>
      </w:r>
      <w:proofErr w:type="spellEnd"/>
      <w:r w:rsidRPr="00907B54">
        <w:rPr>
          <w:bCs/>
          <w:color w:val="000000"/>
        </w:rPr>
        <w:t>, S.A. de C.V. para su Proyecto Urbanización Ciudad Pacífica IV Etapa;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907B54">
        <w:rPr>
          <w:bCs/>
          <w:color w:val="000000"/>
        </w:rPr>
        <w:t xml:space="preserve">Solicitud de Factibilidad de la Empresa Constructora Global </w:t>
      </w:r>
      <w:proofErr w:type="spellStart"/>
      <w:r w:rsidRPr="00907B54">
        <w:rPr>
          <w:bCs/>
          <w:color w:val="000000"/>
        </w:rPr>
        <w:t>Developers</w:t>
      </w:r>
      <w:proofErr w:type="spellEnd"/>
      <w:r w:rsidRPr="00907B54">
        <w:rPr>
          <w:bCs/>
          <w:color w:val="000000"/>
        </w:rPr>
        <w:t xml:space="preserve"> para su Proyecto Residencial San Antonio;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2E7B0B">
        <w:rPr>
          <w:bCs/>
          <w:color w:val="000000"/>
        </w:rPr>
        <w:t xml:space="preserve">Resolución razonada de la Contratación Directa No. FSV-01/2019 “Derecho de uso de las versiones más recientes y soporte Técnico para el Sistema </w:t>
      </w:r>
      <w:proofErr w:type="spellStart"/>
      <w:r w:rsidRPr="002E7B0B">
        <w:rPr>
          <w:bCs/>
          <w:color w:val="000000"/>
        </w:rPr>
        <w:t>Ab@nk´s</w:t>
      </w:r>
      <w:proofErr w:type="spellEnd"/>
      <w:r w:rsidRPr="002E7B0B">
        <w:rPr>
          <w:bCs/>
          <w:color w:val="000000"/>
        </w:rPr>
        <w:t>;</w:t>
      </w:r>
      <w:r>
        <w:rPr>
          <w:bCs/>
          <w:color w:val="000000"/>
        </w:rPr>
        <w:t xml:space="preserve"> </w:t>
      </w:r>
      <w:r w:rsidRPr="00D111C9">
        <w:rPr>
          <w:b/>
          <w:color w:val="000000"/>
        </w:rPr>
        <w:t>X.</w:t>
      </w:r>
      <w:r>
        <w:rPr>
          <w:bCs/>
          <w:color w:val="000000"/>
        </w:rPr>
        <w:t xml:space="preserve"> </w:t>
      </w:r>
      <w:r w:rsidRPr="002E7B0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Aprobación de Términos de referencia de la Contratación Directa No. FSV-01/19 “Derecho de uso de las versionas más recientes y soporte Técnico para el Sistema </w:t>
      </w:r>
      <w:proofErr w:type="spellStart"/>
      <w:r w:rsidRPr="002E7B0B">
        <w:rPr>
          <w:bCs/>
          <w:color w:val="000000"/>
        </w:rPr>
        <w:t>Ab@nk´s</w:t>
      </w:r>
      <w:proofErr w:type="spellEnd"/>
      <w:r w:rsidRPr="002E7B0B">
        <w:rPr>
          <w:bCs/>
          <w:color w:val="000000"/>
        </w:rPr>
        <w:t>;</w:t>
      </w:r>
      <w:r>
        <w:rPr>
          <w:bCs/>
          <w:color w:val="000000"/>
        </w:rPr>
        <w:t xml:space="preserve"> </w:t>
      </w:r>
      <w:r w:rsidRPr="00D70419">
        <w:rPr>
          <w:b/>
          <w:color w:val="000000"/>
        </w:rPr>
        <w:t>X</w:t>
      </w:r>
      <w:r>
        <w:rPr>
          <w:b/>
          <w:color w:val="000000"/>
        </w:rPr>
        <w:t>I</w:t>
      </w:r>
      <w:r w:rsidRPr="00D70419">
        <w:rPr>
          <w:b/>
          <w:color w:val="000000"/>
        </w:rPr>
        <w:t>.</w:t>
      </w:r>
      <w:r>
        <w:rPr>
          <w:color w:val="000000"/>
        </w:rPr>
        <w:t xml:space="preserve">  Seguimiento Trimestral a la Gestión del Riesgo de lavado de Activos y financiamiento al terrorismo en el FSV, período agosto a octubre 2019;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Presentación </w:t>
      </w:r>
      <w:r>
        <w:rPr>
          <w:color w:val="000000"/>
        </w:rPr>
        <w:lastRenderedPageBreak/>
        <w:t xml:space="preserve">del Plan de Trabajo de la Oficialía de cumplimiento y programa de Capacitación del Personal del FSV, correspondientes al 2020;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Prórroga de arrendamiento locales Agencia San Miguel; </w:t>
      </w:r>
      <w:r w:rsidRPr="000D56E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 w:rsidRPr="005568A5">
        <w:rPr>
          <w:bCs/>
          <w:color w:val="000000"/>
        </w:rPr>
        <w:t>Solicitud de Autorización Apoyo económico para capacitación denominada Cultura Sindical;</w:t>
      </w:r>
      <w:r>
        <w:rPr>
          <w:b/>
          <w:color w:val="000000"/>
        </w:rPr>
        <w:t xml:space="preserve"> XV. </w:t>
      </w:r>
      <w:r w:rsidRPr="009022C6">
        <w:rPr>
          <w:bCs/>
          <w:color w:val="000000"/>
        </w:rPr>
        <w:t xml:space="preserve">Solicitud de Autorización del SITRAFOSVI para participar en evento organizado por </w:t>
      </w:r>
      <w:proofErr w:type="spellStart"/>
      <w:r w:rsidRPr="009022C6">
        <w:rPr>
          <w:bCs/>
          <w:color w:val="000000"/>
        </w:rPr>
        <w:t>Uni</w:t>
      </w:r>
      <w:proofErr w:type="spellEnd"/>
      <w:r w:rsidRPr="009022C6">
        <w:rPr>
          <w:bCs/>
          <w:color w:val="000000"/>
        </w:rPr>
        <w:t xml:space="preserve"> Américas Finanzas</w:t>
      </w:r>
      <w:r>
        <w:rPr>
          <w:b/>
          <w:color w:val="000000"/>
        </w:rPr>
        <w:t xml:space="preserve">; XVI. </w:t>
      </w:r>
      <w:r w:rsidRPr="00D111C9">
        <w:rPr>
          <w:bCs/>
          <w:color w:val="000000"/>
        </w:rPr>
        <w:t>Autorización precio de venta de activos extraordinarios;</w:t>
      </w:r>
      <w:r>
        <w:rPr>
          <w:b/>
          <w:color w:val="000000"/>
        </w:rPr>
        <w:t xml:space="preserve"> </w:t>
      </w:r>
      <w:r w:rsidRPr="00D111C9">
        <w:rPr>
          <w:b/>
          <w:color w:val="000000"/>
        </w:rPr>
        <w:t>XVII.</w:t>
      </w:r>
      <w:r>
        <w:rPr>
          <w:bCs/>
          <w:color w:val="000000"/>
        </w:rPr>
        <w:t xml:space="preserve"> </w:t>
      </w:r>
      <w:r w:rsidRPr="009022C6">
        <w:rPr>
          <w:bCs/>
          <w:color w:val="000000"/>
        </w:rPr>
        <w:t>Informe sobre solicitud de la Señora;</w:t>
      </w:r>
      <w:r>
        <w:rPr>
          <w:b/>
          <w:color w:val="000000"/>
        </w:rPr>
        <w:t xml:space="preserve"> XVIII. </w:t>
      </w:r>
      <w:r w:rsidRPr="009022C6">
        <w:rPr>
          <w:bCs/>
          <w:color w:val="000000"/>
        </w:rPr>
        <w:t>Análisis de Pago de Dietas a Gobernadores;</w:t>
      </w:r>
      <w:r>
        <w:rPr>
          <w:b/>
          <w:color w:val="000000"/>
        </w:rPr>
        <w:t xml:space="preserve"> XIX. </w:t>
      </w:r>
      <w:r w:rsidRPr="009022C6">
        <w:rPr>
          <w:bCs/>
          <w:color w:val="000000"/>
        </w:rPr>
        <w:t>Convocatoria a Sesión de Asamblea de Gobernadores No. AG-166;</w:t>
      </w:r>
      <w:r>
        <w:rPr>
          <w:b/>
          <w:color w:val="000000"/>
        </w:rPr>
        <w:t xml:space="preserve"> XX. </w:t>
      </w:r>
      <w:r w:rsidRPr="009022C6">
        <w:rPr>
          <w:bCs/>
          <w:color w:val="000000"/>
        </w:rPr>
        <w:t>Acuerdo de resolución sobre información reservada de esta sesión.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seguimiento a recomendaciones de Auditorías anteriores Internas y Externas, con estado a octubre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estará muy atento al seguimiento al resto de las recomendaciones y observaciones superadas.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907B54">
        <w:rPr>
          <w:bCs/>
          <w:color w:val="000000"/>
        </w:rPr>
        <w:t xml:space="preserve">Solicitud de Factibilidad de la Empresa </w:t>
      </w:r>
      <w:r>
        <w:rPr>
          <w:bCs/>
          <w:color w:val="000000"/>
        </w:rPr>
        <w:t>C</w:t>
      </w:r>
      <w:r w:rsidRPr="00907B54">
        <w:rPr>
          <w:bCs/>
          <w:color w:val="000000"/>
        </w:rPr>
        <w:t xml:space="preserve">onstructora </w:t>
      </w:r>
      <w:proofErr w:type="spellStart"/>
      <w:r w:rsidRPr="00907B54">
        <w:rPr>
          <w:bCs/>
          <w:color w:val="000000"/>
        </w:rPr>
        <w:t>Contesa</w:t>
      </w:r>
      <w:proofErr w:type="spellEnd"/>
      <w:r w:rsidRPr="00907B54">
        <w:rPr>
          <w:bCs/>
          <w:color w:val="000000"/>
        </w:rPr>
        <w:t>, S.A. de C.V., para su Proyecto Residencial Villa María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907B54">
        <w:rPr>
          <w:bCs/>
          <w:color w:val="000000"/>
        </w:rPr>
        <w:t xml:space="preserve">Solicitud de Factibilidad de la Empresa Constructora </w:t>
      </w:r>
      <w:proofErr w:type="spellStart"/>
      <w:r w:rsidRPr="00907B54">
        <w:rPr>
          <w:bCs/>
          <w:color w:val="000000"/>
        </w:rPr>
        <w:t>Teshal</w:t>
      </w:r>
      <w:proofErr w:type="spellEnd"/>
      <w:r w:rsidRPr="00907B54">
        <w:rPr>
          <w:bCs/>
          <w:color w:val="000000"/>
        </w:rPr>
        <w:t>, S.A. de C.V. para su Proyecto Urbanización Ciudad Pacífica IV Etapa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907B54">
        <w:rPr>
          <w:bCs/>
          <w:color w:val="000000"/>
        </w:rPr>
        <w:t xml:space="preserve">Solicitud de Factibilidad de la Empresa Constructora Global </w:t>
      </w:r>
      <w:proofErr w:type="spellStart"/>
      <w:r w:rsidRPr="00907B54">
        <w:rPr>
          <w:bCs/>
          <w:color w:val="000000"/>
        </w:rPr>
        <w:t>Developers</w:t>
      </w:r>
      <w:proofErr w:type="spellEnd"/>
      <w:r w:rsidRPr="00907B54">
        <w:rPr>
          <w:bCs/>
          <w:color w:val="000000"/>
        </w:rPr>
        <w:t xml:space="preserve"> para su Proyecto Residencial San Antonio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</w:t>
      </w:r>
      <w:r w:rsidRPr="002E7B0B">
        <w:rPr>
          <w:bCs/>
          <w:color w:val="000000"/>
        </w:rPr>
        <w:t xml:space="preserve">Resolución razonada de la Contratación Directa No. FSV-01/2019 “Derecho de uso de las versiones más recientes y soporte Técnico para el Sistema </w:t>
      </w:r>
      <w:proofErr w:type="spellStart"/>
      <w:r w:rsidRPr="002E7B0B">
        <w:rPr>
          <w:bCs/>
          <w:color w:val="000000"/>
        </w:rPr>
        <w:t>Ab@nk´s</w:t>
      </w:r>
      <w:proofErr w:type="spellEnd"/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111C9">
        <w:rPr>
          <w:b/>
          <w:color w:val="000000"/>
        </w:rPr>
        <w:t xml:space="preserve"> X.</w:t>
      </w:r>
      <w:r>
        <w:rPr>
          <w:bCs/>
          <w:color w:val="000000"/>
        </w:rPr>
        <w:t xml:space="preserve"> </w:t>
      </w:r>
      <w:r w:rsidRPr="002E7B0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Aprobación de Términos de referencia de la Contratación Directa No. FSV-01/19 “Derecho de uso de las versionas más recientes y soporte Técnico para el Sistema </w:t>
      </w:r>
      <w:proofErr w:type="spellStart"/>
      <w:r w:rsidRPr="002E7B0B">
        <w:rPr>
          <w:bCs/>
          <w:color w:val="000000"/>
        </w:rPr>
        <w:t>Ab@nk´s</w:t>
      </w:r>
      <w:proofErr w:type="spellEnd"/>
      <w:r>
        <w:rPr>
          <w:bCs/>
          <w:color w:val="000000"/>
        </w:rPr>
        <w:t xml:space="preserve">, </w:t>
      </w:r>
      <w:r>
        <w:rPr>
          <w:b/>
          <w:color w:val="000000"/>
        </w:rPr>
        <w:t>el Consejo se da por enterado.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</w:t>
      </w:r>
      <w:r>
        <w:rPr>
          <w:b/>
          <w:color w:val="000000"/>
        </w:rPr>
        <w:t>I</w:t>
      </w:r>
      <w:r w:rsidRPr="00D70419">
        <w:rPr>
          <w:b/>
          <w:color w:val="000000"/>
        </w:rPr>
        <w:t>.</w:t>
      </w:r>
      <w:r>
        <w:rPr>
          <w:color w:val="000000"/>
        </w:rPr>
        <w:t xml:space="preserve">  Seguimiento Trimestral a la Gestión del Riesgo de lavado de Activos y financiamiento al terrorismo en el FSV, período agosto a octubre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Presentación del Plan de Trabajo de la Oficialía de cumplimiento y programa de Capacitación del Personal del FSV, correspondientes al 2020, </w:t>
      </w:r>
      <w:r w:rsidRPr="00BA7FE2">
        <w:rPr>
          <w:b/>
          <w:color w:val="000000"/>
        </w:rPr>
        <w:t>el Cons</w:t>
      </w:r>
      <w:r>
        <w:rPr>
          <w:b/>
          <w:color w:val="000000"/>
        </w:rPr>
        <w:t>ejo conoció el punto y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color w:val="000000"/>
        </w:rPr>
        <w:t xml:space="preserve"> Prórroga de arrendamiento locales Agencia San Miguel,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b/>
          <w:color w:val="000000"/>
        </w:rPr>
        <w:t xml:space="preserve"> </w:t>
      </w:r>
      <w:r w:rsidRPr="005568A5">
        <w:rPr>
          <w:bCs/>
          <w:color w:val="000000"/>
        </w:rPr>
        <w:t>Solicitud de Autorización Apoyo económico para capacitación denominada Cultura Sindical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ve a bien esta acción y se da por enterado.</w:t>
      </w:r>
      <w:r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XV. </w:t>
      </w:r>
      <w:r w:rsidRPr="009022C6">
        <w:rPr>
          <w:bCs/>
          <w:color w:val="000000"/>
        </w:rPr>
        <w:t xml:space="preserve">Solicitud de Autorización del SITRAFOSVI para participar en evento organizado por </w:t>
      </w:r>
      <w:proofErr w:type="spellStart"/>
      <w:r w:rsidRPr="009022C6">
        <w:rPr>
          <w:bCs/>
          <w:color w:val="000000"/>
        </w:rPr>
        <w:t>Uni</w:t>
      </w:r>
      <w:proofErr w:type="spellEnd"/>
      <w:r w:rsidRPr="009022C6">
        <w:rPr>
          <w:bCs/>
          <w:color w:val="000000"/>
        </w:rPr>
        <w:t xml:space="preserve"> Américas Finanzas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XVI. </w:t>
      </w:r>
      <w:r w:rsidRPr="00D111C9">
        <w:rPr>
          <w:bCs/>
          <w:color w:val="000000"/>
        </w:rPr>
        <w:t>Autorización precio de venta de activos extraordinario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111C9">
        <w:rPr>
          <w:b/>
          <w:color w:val="000000"/>
        </w:rPr>
        <w:t xml:space="preserve"> XVII.</w:t>
      </w:r>
      <w:r>
        <w:rPr>
          <w:bCs/>
          <w:color w:val="000000"/>
        </w:rPr>
        <w:t xml:space="preserve"> </w:t>
      </w:r>
      <w:r w:rsidRPr="009022C6">
        <w:rPr>
          <w:bCs/>
          <w:color w:val="000000"/>
        </w:rPr>
        <w:t>Informe sobre solicitud de la Señora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el punto ve a bien la resolución y se da por enterado.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XVIII. </w:t>
      </w:r>
      <w:r w:rsidRPr="009022C6">
        <w:rPr>
          <w:bCs/>
          <w:color w:val="000000"/>
        </w:rPr>
        <w:t>Análisis d</w:t>
      </w:r>
      <w:bookmarkStart w:id="0" w:name="_GoBack"/>
      <w:bookmarkEnd w:id="0"/>
      <w:r w:rsidRPr="009022C6">
        <w:rPr>
          <w:bCs/>
          <w:color w:val="000000"/>
        </w:rPr>
        <w:t>e Pago de Dietas a Gobernadores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opinión jurídica emitida. XIX. </w:t>
      </w:r>
      <w:r w:rsidRPr="009022C6">
        <w:rPr>
          <w:bCs/>
          <w:color w:val="000000"/>
        </w:rPr>
        <w:t>Convocatoria a Sesión de Asamblea de Gobernadores No. AG-166</w:t>
      </w:r>
      <w:r>
        <w:rPr>
          <w:bCs/>
          <w:color w:val="000000"/>
        </w:rPr>
        <w:t>,</w:t>
      </w:r>
      <w:r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>IV.</w:t>
      </w:r>
      <w:r w:rsidRPr="001C5E93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212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22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</w:t>
      </w:r>
      <w:r>
        <w:rPr>
          <w:color w:val="000000"/>
        </w:rPr>
        <w:lastRenderedPageBreak/>
        <w:t xml:space="preserve">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213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25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>VI.</w:t>
      </w:r>
      <w:r w:rsidRPr="001C5E93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>VIII.</w:t>
      </w:r>
      <w:r w:rsidRPr="00953770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28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AD53A9">
        <w:rPr>
          <w:bCs/>
          <w:color w:val="000000"/>
        </w:rPr>
        <w:t>Informe sobre Asamblea de Gobernadores AG-166;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AD53A9">
        <w:rPr>
          <w:bCs/>
          <w:color w:val="000000"/>
        </w:rPr>
        <w:t>Denuncia contra Gobernador del Sector Laboral;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01FEA">
        <w:rPr>
          <w:bCs/>
          <w:color w:val="000000"/>
        </w:rPr>
        <w:t>Solicitud de Empleada sobre compra de Activo Extraordinario;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DC7BEB">
        <w:rPr>
          <w:bCs/>
          <w:color w:val="000000"/>
        </w:rPr>
        <w:t>Escrutinio para Elección de 3 Miembros del Sector Patronal en la Asamblea de Gobernadores;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583D94">
        <w:rPr>
          <w:bCs/>
          <w:color w:val="000000"/>
        </w:rPr>
        <w:t>Escrutinio para Elección de un Miembro del Sector Patronal en el Consejo de Vigilancia;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Monitor de Operaciones al mes de octubre de 2019;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Informe de posicionamiento Institucional al mes de septiembre de 2019;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Transferencias Presupuestarias a noviembre de 2019;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DD4D14">
        <w:rPr>
          <w:bCs/>
          <w:color w:val="000000"/>
        </w:rPr>
        <w:t xml:space="preserve">Solicitud de autorización de prórroga de la Contratación Directa No. FSV-02/2017 “Renovación de Soporte Técnico para la Bases de Datos Oracle Enterprise </w:t>
      </w:r>
      <w:proofErr w:type="spellStart"/>
      <w:r w:rsidRPr="00DD4D14">
        <w:rPr>
          <w:bCs/>
          <w:color w:val="000000"/>
        </w:rPr>
        <w:t>Edition</w:t>
      </w:r>
      <w:proofErr w:type="spellEnd"/>
      <w:r w:rsidRPr="00DD4D14">
        <w:rPr>
          <w:bCs/>
          <w:color w:val="000000"/>
        </w:rPr>
        <w:t xml:space="preserve">”, </w:t>
      </w:r>
      <w:r w:rsidRPr="000D56E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 w:rsidRPr="003278D7">
        <w:rPr>
          <w:bCs/>
          <w:color w:val="000000"/>
        </w:rPr>
        <w:t xml:space="preserve">Solicitud del Ingeniero José Francisco Martínez López de Factibilidad para Proyecto Residencial Villa </w:t>
      </w:r>
      <w:proofErr w:type="spellStart"/>
      <w:r w:rsidRPr="003278D7">
        <w:rPr>
          <w:bCs/>
          <w:color w:val="000000"/>
        </w:rPr>
        <w:t>Anturias</w:t>
      </w:r>
      <w:proofErr w:type="spellEnd"/>
      <w:r w:rsidRPr="003278D7">
        <w:rPr>
          <w:bCs/>
          <w:color w:val="000000"/>
        </w:rPr>
        <w:t>;</w:t>
      </w:r>
      <w:r>
        <w:rPr>
          <w:b/>
          <w:color w:val="000000"/>
        </w:rPr>
        <w:t xml:space="preserve"> XV. </w:t>
      </w:r>
      <w:r w:rsidRPr="003278D7">
        <w:rPr>
          <w:bCs/>
          <w:color w:val="000000"/>
        </w:rPr>
        <w:t>Acuerdo de Resolución sobre información reservada de esta sesión.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AD53A9">
        <w:rPr>
          <w:bCs/>
          <w:color w:val="000000"/>
        </w:rPr>
        <w:t>Informe sobre Asamblea de Gobernadores AG-166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AD53A9">
        <w:rPr>
          <w:bCs/>
          <w:color w:val="000000"/>
        </w:rPr>
        <w:t>Denuncia contra Gobernador del Sector Laboral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</w:t>
      </w:r>
      <w:r>
        <w:rPr>
          <w:b/>
          <w:color w:val="000000"/>
        </w:rPr>
        <w:lastRenderedPageBreak/>
        <w:t xml:space="preserve">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01FEA">
        <w:rPr>
          <w:bCs/>
          <w:color w:val="000000"/>
        </w:rPr>
        <w:t>Solicitud de Empleada sobre compra de Activo Extraordinario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753F9A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DC7BEB">
        <w:rPr>
          <w:bCs/>
          <w:color w:val="000000"/>
        </w:rPr>
        <w:t>Escrutinio para Elección de 3 Miembros del Sector Patronal en la Asamblea de Gobernadores</w:t>
      </w:r>
      <w:r>
        <w:rPr>
          <w:bCs/>
          <w:color w:val="000000"/>
        </w:rPr>
        <w:t xml:space="preserve">, </w:t>
      </w:r>
      <w:r>
        <w:rPr>
          <w:b/>
          <w:color w:val="000000"/>
        </w:rPr>
        <w:t xml:space="preserve">el Consejo conoció el punto y se da por enterado. </w:t>
      </w:r>
      <w:r w:rsidRPr="00753F9A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583D94">
        <w:rPr>
          <w:bCs/>
          <w:color w:val="000000"/>
        </w:rPr>
        <w:t>Escrutinio para Elección de un Miembro del Sector Patronal en el Consejo de Vigilancia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 </w:t>
      </w:r>
      <w:r w:rsidRPr="00753F9A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Monitor de Operaciones al mes de octubre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cierre del final del año 2019.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Informe de posicionamiento Institucional al mes de septiembre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conocido.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Transferencias Presupuestarias a noviembre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el punto y se da por enterado. 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DD4D14">
        <w:rPr>
          <w:bCs/>
          <w:color w:val="000000"/>
        </w:rPr>
        <w:t xml:space="preserve">Solicitud de autorización de prórroga de la Contratación Directa No. FSV-02/2017 “Renovación de Soporte Técnico para la Bases de Datos Oracle Enterprise </w:t>
      </w:r>
      <w:proofErr w:type="spellStart"/>
      <w:r w:rsidRPr="00DD4D14">
        <w:rPr>
          <w:bCs/>
          <w:color w:val="000000"/>
        </w:rPr>
        <w:t>Edition</w:t>
      </w:r>
      <w:proofErr w:type="spellEnd"/>
      <w:r w:rsidRPr="00DD4D14">
        <w:rPr>
          <w:bCs/>
          <w:color w:val="000000"/>
        </w:rPr>
        <w:t>”,</w:t>
      </w:r>
      <w:r>
        <w:rPr>
          <w:bCs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DD4D14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 w:rsidRPr="003278D7">
        <w:rPr>
          <w:bCs/>
          <w:color w:val="000000"/>
        </w:rPr>
        <w:t xml:space="preserve">Solicitud del Ingeniero José Francisco Martínez López de Factibilidad para Proyecto Residencial Villa </w:t>
      </w:r>
      <w:proofErr w:type="spellStart"/>
      <w:r w:rsidRPr="003278D7">
        <w:rPr>
          <w:bCs/>
          <w:color w:val="000000"/>
        </w:rPr>
        <w:t>Anturias</w:t>
      </w:r>
      <w:proofErr w:type="spellEnd"/>
      <w:r>
        <w:rPr>
          <w:bCs/>
          <w:color w:val="000000"/>
        </w:rPr>
        <w:t>,</w:t>
      </w:r>
      <w:r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sin observación.</w:t>
      </w:r>
      <w:r>
        <w:rPr>
          <w:b/>
          <w:bCs/>
        </w:rPr>
        <w:t xml:space="preserve"> 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217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953770">
        <w:rPr>
          <w:b/>
          <w:bCs/>
          <w:color w:val="000000"/>
        </w:rPr>
        <w:t>X</w:t>
      </w:r>
      <w:r>
        <w:rPr>
          <w:b/>
          <w:bCs/>
          <w:color w:val="000000"/>
        </w:rPr>
        <w:t>I</w:t>
      </w:r>
      <w:r w:rsidRPr="00953770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 w:rsidRPr="000306EF">
        <w:rPr>
          <w:b/>
          <w:bCs/>
        </w:rPr>
        <w:t xml:space="preserve">CORRESPONDENCIA RECIBIDA. </w:t>
      </w:r>
      <w:r>
        <w:rPr>
          <w:b/>
          <w:bCs/>
        </w:rPr>
        <w:t xml:space="preserve">1. Memorándum </w:t>
      </w:r>
      <w:r w:rsidRPr="000306EF">
        <w:rPr>
          <w:b/>
          <w:bCs/>
        </w:rPr>
        <w:t>del Licdo. René Cuéllar Marenco, Gerente de Finanzas,</w:t>
      </w:r>
      <w:r>
        <w:rPr>
          <w:b/>
          <w:bCs/>
        </w:rPr>
        <w:t xml:space="preserve"> Remisión Carta de Gerencia de Auditoría Eterna para el período enero a junio de 2019.</w:t>
      </w:r>
      <w:r w:rsidRPr="006D23E4">
        <w:rPr>
          <w:color w:val="000000"/>
        </w:rPr>
        <w:t xml:space="preserve"> </w:t>
      </w:r>
      <w:r w:rsidRPr="000306EF">
        <w:rPr>
          <w:color w:val="000000"/>
        </w:rPr>
        <w:t xml:space="preserve">Se recibió </w:t>
      </w:r>
      <w:r>
        <w:rPr>
          <w:color w:val="000000"/>
        </w:rPr>
        <w:t>memorándum y adjunto los documentos siguientes: Carta de Velásquez Granados, Cía., Auditores, la cual informa el Período evaluado: enero a junio 2019; Contenido del documento anexo</w:t>
      </w:r>
      <w:r w:rsidRPr="000306EF">
        <w:rPr>
          <w:color w:val="000000"/>
        </w:rPr>
        <w:t xml:space="preserve">: </w:t>
      </w:r>
      <w:r w:rsidRPr="000306EF">
        <w:rPr>
          <w:b/>
          <w:color w:val="000000"/>
        </w:rPr>
        <w:t>I.</w:t>
      </w:r>
      <w:r w:rsidRPr="000306EF">
        <w:rPr>
          <w:color w:val="000000"/>
        </w:rPr>
        <w:t xml:space="preserve">  </w:t>
      </w:r>
      <w:r>
        <w:rPr>
          <w:color w:val="000000"/>
        </w:rPr>
        <w:t xml:space="preserve"> Resultado de la Auditoría</w:t>
      </w:r>
      <w:r w:rsidRPr="000306EF">
        <w:rPr>
          <w:color w:val="000000"/>
        </w:rPr>
        <w:t xml:space="preserve">; </w:t>
      </w:r>
      <w:r w:rsidRPr="000306EF">
        <w:rPr>
          <w:b/>
          <w:color w:val="000000"/>
        </w:rPr>
        <w:t>II.</w:t>
      </w:r>
      <w:r w:rsidRPr="000306EF">
        <w:rPr>
          <w:color w:val="000000"/>
        </w:rPr>
        <w:t xml:space="preserve">  </w:t>
      </w:r>
      <w:r>
        <w:rPr>
          <w:color w:val="000000"/>
        </w:rPr>
        <w:t xml:space="preserve"> Alcance del Trabajo Ejecutado</w:t>
      </w:r>
      <w:r w:rsidRPr="000306EF">
        <w:rPr>
          <w:color w:val="000000"/>
        </w:rPr>
        <w:t>;</w:t>
      </w:r>
      <w:r>
        <w:rPr>
          <w:color w:val="000000"/>
        </w:rPr>
        <w:t xml:space="preserve"> III.  Seguimiento de Informes y Cartas de Gerencia.</w:t>
      </w:r>
      <w:r w:rsidRPr="000306EF">
        <w:rPr>
          <w:color w:val="000000"/>
        </w:rPr>
        <w:t xml:space="preserve"> Después de haber leído y analizado el contenido del memorándum, </w:t>
      </w:r>
      <w:r>
        <w:rPr>
          <w:b/>
          <w:color w:val="000000"/>
        </w:rPr>
        <w:t xml:space="preserve">este Consejo se da por enterado y ve satisfactorio la superación de las observaciones.  2.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</w:t>
      </w:r>
      <w:r>
        <w:rPr>
          <w:color w:val="000000"/>
        </w:rPr>
        <w:t xml:space="preserve">Informe de </w:t>
      </w:r>
      <w:r w:rsidRPr="00192F70">
        <w:rPr>
          <w:color w:val="000000"/>
        </w:rPr>
        <w:t xml:space="preserve">Factibilidades de Financiamiento de crédito a largo plazo </w:t>
      </w:r>
      <w:r>
        <w:rPr>
          <w:color w:val="000000"/>
        </w:rPr>
        <w:t xml:space="preserve">y Pre-Factibilidades otorgadas. </w:t>
      </w:r>
      <w:r w:rsidRPr="00192F70">
        <w:rPr>
          <w:color w:val="000000"/>
        </w:rPr>
        <w:t xml:space="preserve">  Después de haber leído y analizado el contenido del memorándum, </w:t>
      </w:r>
      <w:r>
        <w:rPr>
          <w:b/>
          <w:color w:val="000000"/>
        </w:rPr>
        <w:t>este Consejo se da por enterado</w:t>
      </w:r>
      <w:r w:rsidRPr="00192F70">
        <w:rPr>
          <w:b/>
          <w:color w:val="000000"/>
        </w:rPr>
        <w:t xml:space="preserve">.  </w:t>
      </w:r>
      <w:r w:rsidRPr="00192F70">
        <w:rPr>
          <w:b/>
          <w:bCs/>
        </w:rPr>
        <w:t xml:space="preserve"> </w:t>
      </w:r>
      <w:r>
        <w:rPr>
          <w:b/>
          <w:bCs/>
        </w:rPr>
        <w:t xml:space="preserve">XII. </w:t>
      </w:r>
      <w:r>
        <w:rPr>
          <w:b/>
        </w:rPr>
        <w:t>VARIOS</w:t>
      </w:r>
      <w:r>
        <w:t xml:space="preserve">. En este punto el Consejo contó con la presencia del Licenciado Luis Josué Ventura, Gerente de Planificación para realizar la presentación del informe anual </w:t>
      </w:r>
      <w:r w:rsidRPr="007100A7">
        <w:t>2019 de la ejecución de planes, programas, estudios</w:t>
      </w:r>
      <w:r>
        <w:t xml:space="preserve"> e investigaciones, el cual fue solicitado por los Miembros del Consejo de Vigilancia, en Memorándum C.V., 01/2020 de fecha 9/1/2020. Quién informó sobre el desempeño del año 2019, quedando pendiente la presentación del cierre definitivo del año 2019, la cual la efectuará en el mes de febrero. </w:t>
      </w:r>
      <w:r w:rsidRPr="00C366AD">
        <w:t xml:space="preserve">El </w:t>
      </w:r>
      <w:proofErr w:type="gramStart"/>
      <w:r w:rsidRPr="00C366AD">
        <w:t>Presidente</w:t>
      </w:r>
      <w:proofErr w:type="gramEnd"/>
      <w:r>
        <w:t xml:space="preserve"> del Consejo convoca para la próxima reunión el día viernes 24 de enero del año </w:t>
      </w:r>
      <w:r>
        <w:lastRenderedPageBreak/>
        <w:t>2020, a la misma hora y lugar. Y no habiendo más que hacer constar, se da por finalizada la reunión a las catorce horas, ratificamos su contenido y firmamos.</w:t>
      </w:r>
    </w:p>
    <w:p w14:paraId="35FF0775" w14:textId="77777777" w:rsidR="00491733" w:rsidRDefault="00491733" w:rsidP="00491733">
      <w:pPr>
        <w:spacing w:line="276" w:lineRule="auto"/>
        <w:jc w:val="both"/>
        <w:rPr>
          <w:sz w:val="22"/>
          <w:lang w:val="pt-BR"/>
        </w:rPr>
      </w:pPr>
    </w:p>
    <w:p w14:paraId="13CDE4A7" w14:textId="77777777" w:rsidR="002347F0" w:rsidRDefault="002347F0" w:rsidP="002347F0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CC9A9A4" w14:textId="77777777" w:rsidR="002347F0" w:rsidRPr="003162F7" w:rsidRDefault="002347F0" w:rsidP="002347F0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La presente acta es conforme con su original, la cual se encuentra firmada por los miembros del Consejo de Vigilancia: 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Jefry Alexander Caishpal L</w:t>
      </w:r>
      <w:r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pez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3F7DE3A7" w14:textId="77777777" w:rsidR="00491733" w:rsidRDefault="00491733" w:rsidP="00491733">
      <w:pPr>
        <w:spacing w:line="276" w:lineRule="auto"/>
        <w:jc w:val="both"/>
        <w:rPr>
          <w:sz w:val="22"/>
          <w:lang w:val="pt-BR"/>
        </w:rPr>
      </w:pPr>
    </w:p>
    <w:sectPr w:rsidR="0049173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728B" w14:textId="77777777" w:rsidR="002347F0" w:rsidRDefault="002347F0" w:rsidP="002347F0">
      <w:r>
        <w:separator/>
      </w:r>
    </w:p>
  </w:endnote>
  <w:endnote w:type="continuationSeparator" w:id="0">
    <w:p w14:paraId="2BC6D180" w14:textId="77777777" w:rsidR="002347F0" w:rsidRDefault="002347F0" w:rsidP="0023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346CC" w14:textId="77777777" w:rsidR="002347F0" w:rsidRDefault="002347F0" w:rsidP="002347F0">
      <w:r>
        <w:separator/>
      </w:r>
    </w:p>
  </w:footnote>
  <w:footnote w:type="continuationSeparator" w:id="0">
    <w:p w14:paraId="48C6FE53" w14:textId="77777777" w:rsidR="002347F0" w:rsidRDefault="002347F0" w:rsidP="0023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5044" w14:textId="77777777" w:rsidR="002347F0" w:rsidRPr="00A13633" w:rsidRDefault="002347F0" w:rsidP="002347F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7AA42122" w14:textId="77777777" w:rsidR="002347F0" w:rsidRDefault="002347F0" w:rsidP="002347F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14:paraId="05980CCB" w14:textId="77777777" w:rsidR="002347F0" w:rsidRDefault="002347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3"/>
    <w:rsid w:val="002347F0"/>
    <w:rsid w:val="003547DA"/>
    <w:rsid w:val="004677A7"/>
    <w:rsid w:val="00491733"/>
    <w:rsid w:val="00543C13"/>
    <w:rsid w:val="00A71A61"/>
    <w:rsid w:val="00B865A8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03BF0"/>
  <w15:chartTrackingRefBased/>
  <w15:docId w15:val="{2D6E7665-A6E5-488B-A401-4FE4F42C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7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47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347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7F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2151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3</cp:revision>
  <dcterms:created xsi:type="dcterms:W3CDTF">2020-02-19T20:37:00Z</dcterms:created>
  <dcterms:modified xsi:type="dcterms:W3CDTF">2020-02-27T17:59:00Z</dcterms:modified>
</cp:coreProperties>
</file>