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5693B" w14:textId="77777777" w:rsidR="004E2EE6" w:rsidRDefault="004E2EE6" w:rsidP="004E2EE6">
      <w:pPr>
        <w:pStyle w:val="Ttulo1"/>
        <w:spacing w:before="0"/>
        <w:jc w:val="center"/>
        <w:rPr>
          <w:rFonts w:ascii="Arial" w:hAnsi="Arial" w:cs="Arial"/>
          <w:color w:val="auto"/>
          <w:sz w:val="24"/>
          <w:szCs w:val="24"/>
          <w:u w:val="single"/>
        </w:rPr>
      </w:pPr>
      <w:r>
        <w:rPr>
          <w:rFonts w:ascii="Arial" w:hAnsi="Arial" w:cs="Arial"/>
          <w:color w:val="auto"/>
          <w:sz w:val="24"/>
          <w:szCs w:val="24"/>
          <w:u w:val="single"/>
        </w:rPr>
        <w:t>ACTA D</w:t>
      </w:r>
      <w:r w:rsidRPr="00A53B44">
        <w:rPr>
          <w:rFonts w:ascii="Arial" w:hAnsi="Arial" w:cs="Arial"/>
          <w:color w:val="auto"/>
          <w:sz w:val="24"/>
          <w:szCs w:val="24"/>
          <w:u w:val="single"/>
        </w:rPr>
        <w:t xml:space="preserve">E SESION ORDINARIA DE </w:t>
      </w:r>
      <w:r w:rsidRPr="002D7F08">
        <w:rPr>
          <w:rFonts w:ascii="Arial" w:hAnsi="Arial" w:cs="Arial"/>
          <w:color w:val="auto"/>
          <w:sz w:val="24"/>
          <w:szCs w:val="24"/>
          <w:u w:val="single"/>
        </w:rPr>
        <w:t>ASAMBLEA DE GOBERNADORES</w:t>
      </w:r>
    </w:p>
    <w:p w14:paraId="6E72C9D5" w14:textId="77777777" w:rsidR="004E2EE6" w:rsidRPr="00527C62" w:rsidRDefault="004E2EE6" w:rsidP="004E2EE6"/>
    <w:p w14:paraId="44B5E292" w14:textId="77777777" w:rsidR="004E2EE6" w:rsidRDefault="004E2EE6" w:rsidP="004E2EE6">
      <w:pPr>
        <w:pStyle w:val="Ttulo1"/>
        <w:spacing w:before="0"/>
        <w:jc w:val="center"/>
        <w:rPr>
          <w:rFonts w:ascii="Arial" w:hAnsi="Arial" w:cs="Arial"/>
          <w:color w:val="auto"/>
          <w:sz w:val="24"/>
          <w:szCs w:val="24"/>
          <w:u w:val="single"/>
        </w:rPr>
      </w:pPr>
      <w:r w:rsidRPr="002D7F08">
        <w:rPr>
          <w:rFonts w:ascii="Arial" w:hAnsi="Arial" w:cs="Arial"/>
          <w:color w:val="auto"/>
          <w:sz w:val="24"/>
          <w:szCs w:val="24"/>
          <w:u w:val="single"/>
        </w:rPr>
        <w:t>N°  AG-1</w:t>
      </w:r>
      <w:r>
        <w:rPr>
          <w:rFonts w:ascii="Arial" w:hAnsi="Arial" w:cs="Arial"/>
          <w:color w:val="auto"/>
          <w:sz w:val="24"/>
          <w:szCs w:val="24"/>
          <w:u w:val="single"/>
        </w:rPr>
        <w:t>64</w:t>
      </w:r>
      <w:r w:rsidRPr="002D7F08">
        <w:rPr>
          <w:rFonts w:ascii="Arial" w:hAnsi="Arial" w:cs="Arial"/>
          <w:color w:val="auto"/>
          <w:sz w:val="24"/>
          <w:szCs w:val="24"/>
          <w:u w:val="single"/>
        </w:rPr>
        <w:t xml:space="preserve"> DEL </w:t>
      </w:r>
      <w:r>
        <w:rPr>
          <w:rFonts w:ascii="Arial" w:hAnsi="Arial" w:cs="Arial"/>
          <w:color w:val="auto"/>
          <w:sz w:val="24"/>
          <w:szCs w:val="24"/>
          <w:u w:val="single"/>
        </w:rPr>
        <w:t xml:space="preserve">17 </w:t>
      </w:r>
      <w:r w:rsidRPr="002D7F08">
        <w:rPr>
          <w:rFonts w:ascii="Arial" w:hAnsi="Arial" w:cs="Arial"/>
          <w:color w:val="auto"/>
          <w:sz w:val="24"/>
          <w:szCs w:val="24"/>
          <w:u w:val="single"/>
        </w:rPr>
        <w:t xml:space="preserve">DE </w:t>
      </w:r>
      <w:r>
        <w:rPr>
          <w:rFonts w:ascii="Arial" w:hAnsi="Arial" w:cs="Arial"/>
          <w:color w:val="auto"/>
          <w:sz w:val="24"/>
          <w:szCs w:val="24"/>
          <w:u w:val="single"/>
        </w:rPr>
        <w:t>OCTUBRE</w:t>
      </w:r>
      <w:r w:rsidRPr="002D7F08">
        <w:rPr>
          <w:rFonts w:ascii="Arial" w:hAnsi="Arial" w:cs="Arial"/>
          <w:color w:val="auto"/>
          <w:sz w:val="24"/>
          <w:szCs w:val="24"/>
          <w:u w:val="single"/>
        </w:rPr>
        <w:t xml:space="preserve"> </w:t>
      </w:r>
      <w:r w:rsidRPr="006B17C9">
        <w:rPr>
          <w:rFonts w:ascii="Arial" w:hAnsi="Arial" w:cs="Arial"/>
          <w:color w:val="auto"/>
          <w:sz w:val="24"/>
          <w:szCs w:val="24"/>
          <w:u w:val="single"/>
        </w:rPr>
        <w:t xml:space="preserve">DE </w:t>
      </w:r>
      <w:r w:rsidRPr="002D7F08">
        <w:rPr>
          <w:rFonts w:ascii="Arial" w:hAnsi="Arial" w:cs="Arial"/>
          <w:color w:val="auto"/>
          <w:sz w:val="24"/>
          <w:szCs w:val="24"/>
          <w:u w:val="single"/>
        </w:rPr>
        <w:t>201</w:t>
      </w:r>
      <w:r>
        <w:rPr>
          <w:rFonts w:ascii="Arial" w:hAnsi="Arial" w:cs="Arial"/>
          <w:color w:val="auto"/>
          <w:sz w:val="24"/>
          <w:szCs w:val="24"/>
          <w:u w:val="single"/>
        </w:rPr>
        <w:t>9</w:t>
      </w:r>
    </w:p>
    <w:p w14:paraId="10C1CDFD" w14:textId="77777777" w:rsidR="004E2EE6" w:rsidRPr="00AD79C0" w:rsidRDefault="004E2EE6" w:rsidP="004E2EE6">
      <w:pPr>
        <w:jc w:val="center"/>
        <w:rPr>
          <w:rFonts w:ascii="Arial" w:eastAsia="Calibri" w:hAnsi="Arial" w:cs="Arial"/>
          <w:lang w:val="es-SV" w:eastAsia="en-US"/>
        </w:rPr>
      </w:pPr>
    </w:p>
    <w:p w14:paraId="7608194E" w14:textId="77777777" w:rsidR="004E2EE6" w:rsidRPr="00A74E78" w:rsidRDefault="004E2EE6" w:rsidP="004E2EE6">
      <w:pPr>
        <w:keepNext/>
        <w:jc w:val="both"/>
        <w:outlineLvl w:val="0"/>
        <w:rPr>
          <w:rFonts w:ascii="Arial" w:eastAsia="Calibri" w:hAnsi="Arial" w:cs="Arial"/>
          <w:lang w:val="es-SV" w:eastAsia="en-US"/>
        </w:rPr>
      </w:pPr>
      <w:r w:rsidRPr="002E1E45">
        <w:rPr>
          <w:rFonts w:ascii="Arial" w:eastAsia="Calibri" w:hAnsi="Arial" w:cs="Arial"/>
          <w:lang w:val="es-SV" w:eastAsia="en-US"/>
        </w:rPr>
        <w:t xml:space="preserve">En la Sala de Sesiones del Fondo Social para la Vivienda, a las siete horas con treinta minutos del día </w:t>
      </w:r>
      <w:r>
        <w:rPr>
          <w:rFonts w:ascii="Arial" w:eastAsia="Calibri" w:hAnsi="Arial" w:cs="Arial"/>
          <w:lang w:val="es-SV" w:eastAsia="en-US"/>
        </w:rPr>
        <w:t>diecisiete de octubre</w:t>
      </w:r>
      <w:r w:rsidRPr="002E1E45">
        <w:rPr>
          <w:rFonts w:ascii="Arial" w:eastAsia="Calibri" w:hAnsi="Arial" w:cs="Arial"/>
          <w:lang w:val="es-SV" w:eastAsia="en-US"/>
        </w:rPr>
        <w:t xml:space="preserve"> de dos mil diecinueve,</w:t>
      </w:r>
      <w:r w:rsidRPr="002E1E45">
        <w:rPr>
          <w:rFonts w:ascii="Arial" w:eastAsia="Calibri" w:hAnsi="Arial" w:cs="Arial"/>
          <w:b/>
          <w:lang w:val="es-SV" w:eastAsia="en-US"/>
        </w:rPr>
        <w:t xml:space="preserve"> </w:t>
      </w:r>
      <w:r w:rsidRPr="002E1E45">
        <w:rPr>
          <w:rFonts w:ascii="Arial" w:eastAsia="Calibri" w:hAnsi="Arial" w:cs="Arial"/>
          <w:lang w:val="es-SV" w:eastAsia="en-US"/>
        </w:rPr>
        <w:t xml:space="preserve">se reunieron los señores miembros de Asamblea de Gobernadores: </w:t>
      </w:r>
      <w:r w:rsidR="004A42D9">
        <w:rPr>
          <w:rFonts w:ascii="Arial" w:eastAsia="Calibri" w:hAnsi="Arial" w:cs="Arial"/>
          <w:b/>
          <w:lang w:val="es-SV" w:eastAsia="en-US"/>
        </w:rPr>
        <w:t>LICENCIADO EDGAR ROMEO RODRÍ</w:t>
      </w:r>
      <w:r w:rsidRPr="002E1E45">
        <w:rPr>
          <w:rFonts w:ascii="Arial" w:eastAsia="Calibri" w:hAnsi="Arial" w:cs="Arial"/>
          <w:b/>
          <w:lang w:val="es-SV" w:eastAsia="en-US"/>
        </w:rPr>
        <w:t xml:space="preserve">GUEZ HERRERA, </w:t>
      </w:r>
      <w:r w:rsidRPr="002E1E45">
        <w:rPr>
          <w:rFonts w:ascii="Arial" w:eastAsia="Calibri" w:hAnsi="Arial" w:cs="Arial"/>
          <w:lang w:val="es-SV" w:eastAsia="en-US"/>
        </w:rPr>
        <w:t>Ministro de Obras Públicas y Transporte</w:t>
      </w:r>
      <w:r w:rsidRPr="007C4EF4">
        <w:rPr>
          <w:rFonts w:ascii="Arial" w:eastAsia="Calibri" w:hAnsi="Arial" w:cs="Arial"/>
          <w:lang w:val="es-SV" w:eastAsia="en-US"/>
        </w:rPr>
        <w:t xml:space="preserve"> </w:t>
      </w:r>
      <w:r>
        <w:rPr>
          <w:rFonts w:ascii="Arial" w:eastAsia="Calibri" w:hAnsi="Arial" w:cs="Arial"/>
          <w:lang w:val="es-SV" w:eastAsia="en-US"/>
        </w:rPr>
        <w:t xml:space="preserve">y </w:t>
      </w:r>
      <w:r w:rsidRPr="002E1E45">
        <w:rPr>
          <w:rFonts w:ascii="Arial" w:eastAsia="Calibri" w:hAnsi="Arial" w:cs="Arial"/>
          <w:lang w:val="es-SV" w:eastAsia="en-US"/>
        </w:rPr>
        <w:t>Presidente de la Asamblea de Gobernadores</w:t>
      </w:r>
      <w:r>
        <w:rPr>
          <w:rFonts w:ascii="Arial" w:eastAsia="Calibri" w:hAnsi="Arial" w:cs="Arial"/>
          <w:lang w:val="es-SV" w:eastAsia="en-US"/>
        </w:rPr>
        <w:t>;</w:t>
      </w:r>
      <w:r w:rsidRPr="002E1E45">
        <w:rPr>
          <w:rFonts w:ascii="Arial" w:eastAsia="Calibri" w:hAnsi="Arial" w:cs="Arial"/>
          <w:lang w:val="es-SV" w:eastAsia="en-US"/>
        </w:rPr>
        <w:t xml:space="preserve"> </w:t>
      </w:r>
      <w:r w:rsidR="00FE467B" w:rsidRPr="00502FBE">
        <w:rPr>
          <w:rFonts w:ascii="Arial" w:eastAsia="Calibri" w:hAnsi="Arial" w:cs="Arial"/>
          <w:b/>
          <w:lang w:val="es-SV" w:eastAsia="en-US"/>
        </w:rPr>
        <w:t xml:space="preserve">LICDA. MARITZA </w:t>
      </w:r>
      <w:r w:rsidR="0032668B">
        <w:rPr>
          <w:rFonts w:ascii="Arial" w:eastAsia="Calibri" w:hAnsi="Arial" w:cs="Arial"/>
          <w:b/>
          <w:lang w:val="es-SV" w:eastAsia="en-US"/>
        </w:rPr>
        <w:t xml:space="preserve">HAYDÉE </w:t>
      </w:r>
      <w:r w:rsidR="00FE467B" w:rsidRPr="00502FBE">
        <w:rPr>
          <w:rFonts w:ascii="Arial" w:eastAsia="Calibri" w:hAnsi="Arial" w:cs="Arial"/>
          <w:b/>
          <w:lang w:val="es-SV" w:eastAsia="en-US"/>
        </w:rPr>
        <w:t>CALDERÓN DE RÍOS</w:t>
      </w:r>
      <w:r w:rsidR="00FE467B">
        <w:rPr>
          <w:rFonts w:ascii="Arial" w:eastAsia="Calibri" w:hAnsi="Arial" w:cs="Arial"/>
          <w:lang w:val="es-SV" w:eastAsia="en-US"/>
        </w:rPr>
        <w:t xml:space="preserve">, Viceministra de Trabajo, en Representación del </w:t>
      </w:r>
      <w:r w:rsidR="00FE467B" w:rsidRPr="002E1E45">
        <w:rPr>
          <w:rFonts w:ascii="Arial" w:eastAsia="Calibri" w:hAnsi="Arial" w:cs="Arial"/>
          <w:lang w:val="es-SV" w:eastAsia="en-US"/>
        </w:rPr>
        <w:t>Ministro</w:t>
      </w:r>
      <w:r w:rsidR="00FE467B">
        <w:rPr>
          <w:rFonts w:ascii="Arial" w:eastAsia="Calibri" w:hAnsi="Arial" w:cs="Arial"/>
          <w:lang w:val="es-SV" w:eastAsia="en-US"/>
        </w:rPr>
        <w:t xml:space="preserve"> de Trabajo y Previsión Social</w:t>
      </w:r>
      <w:r w:rsidR="00FE467B" w:rsidRPr="002E1E45">
        <w:rPr>
          <w:rFonts w:ascii="Arial" w:eastAsia="Calibri" w:hAnsi="Arial" w:cs="Arial"/>
          <w:lang w:val="es-SV" w:eastAsia="en-US"/>
        </w:rPr>
        <w:t xml:space="preserve">; </w:t>
      </w:r>
      <w:r w:rsidRPr="002E1E45">
        <w:rPr>
          <w:rFonts w:ascii="Arial" w:eastAsia="Calibri" w:hAnsi="Arial" w:cs="Arial"/>
          <w:b/>
          <w:lang w:val="es-SV" w:eastAsia="en-US"/>
        </w:rPr>
        <w:t>LICENCIAD</w:t>
      </w:r>
      <w:r w:rsidR="00FE467B">
        <w:rPr>
          <w:rFonts w:ascii="Arial" w:eastAsia="Calibri" w:hAnsi="Arial" w:cs="Arial"/>
          <w:b/>
          <w:lang w:val="es-SV" w:eastAsia="en-US"/>
        </w:rPr>
        <w:t>O</w:t>
      </w:r>
      <w:r w:rsidRPr="002E1E45">
        <w:rPr>
          <w:rFonts w:ascii="Arial" w:eastAsia="Calibri" w:hAnsi="Arial" w:cs="Arial"/>
          <w:b/>
          <w:lang w:val="es-SV" w:eastAsia="en-US"/>
        </w:rPr>
        <w:t xml:space="preserve"> M</w:t>
      </w:r>
      <w:r w:rsidR="00FE467B">
        <w:rPr>
          <w:rFonts w:ascii="Arial" w:eastAsia="Calibri" w:hAnsi="Arial" w:cs="Arial"/>
          <w:b/>
          <w:lang w:val="es-SV" w:eastAsia="en-US"/>
        </w:rPr>
        <w:t>IGUEL ANGEL CORLETO</w:t>
      </w:r>
      <w:r w:rsidRPr="002E1E45">
        <w:rPr>
          <w:rFonts w:ascii="Arial" w:eastAsia="Calibri" w:hAnsi="Arial" w:cs="Arial"/>
          <w:b/>
          <w:lang w:val="es-SV" w:eastAsia="en-US"/>
        </w:rPr>
        <w:t xml:space="preserve">, </w:t>
      </w:r>
      <w:r w:rsidR="00FE467B">
        <w:rPr>
          <w:rFonts w:ascii="Arial" w:eastAsia="Calibri" w:hAnsi="Arial" w:cs="Arial"/>
          <w:lang w:val="es-SV" w:eastAsia="en-US"/>
        </w:rPr>
        <w:t xml:space="preserve">Viceministro de Economía, en Representación de la </w:t>
      </w:r>
      <w:r w:rsidRPr="002E1E45">
        <w:rPr>
          <w:rFonts w:ascii="Arial" w:eastAsia="Calibri" w:hAnsi="Arial" w:cs="Arial"/>
          <w:lang w:val="es-SV" w:eastAsia="en-US"/>
        </w:rPr>
        <w:t>Ministra de Economía;</w:t>
      </w:r>
      <w:r w:rsidRPr="007C4EF4">
        <w:rPr>
          <w:rFonts w:ascii="Arial" w:eastAsia="Calibri" w:hAnsi="Arial" w:cs="Arial"/>
          <w:b/>
          <w:lang w:val="es-SV" w:eastAsia="en-US"/>
        </w:rPr>
        <w:t xml:space="preserve"> </w:t>
      </w:r>
      <w:r w:rsidRPr="002E1E45">
        <w:rPr>
          <w:rFonts w:ascii="Arial" w:eastAsia="Calibri" w:hAnsi="Arial" w:cs="Arial"/>
          <w:b/>
          <w:lang w:val="es-SV" w:eastAsia="en-US"/>
        </w:rPr>
        <w:t xml:space="preserve">LICENCIADO </w:t>
      </w:r>
      <w:r w:rsidR="00FE467B">
        <w:rPr>
          <w:rFonts w:ascii="Arial" w:eastAsia="Calibri" w:hAnsi="Arial" w:cs="Arial"/>
          <w:b/>
          <w:lang w:val="es-SV" w:eastAsia="en-US"/>
        </w:rPr>
        <w:t xml:space="preserve">OSCAR </w:t>
      </w:r>
      <w:r w:rsidR="00342093">
        <w:rPr>
          <w:rFonts w:ascii="Arial" w:eastAsia="Calibri" w:hAnsi="Arial" w:cs="Arial"/>
          <w:b/>
          <w:lang w:val="es-SV" w:eastAsia="en-US"/>
        </w:rPr>
        <w:t>A</w:t>
      </w:r>
      <w:r w:rsidR="00FE467B">
        <w:rPr>
          <w:rFonts w:ascii="Arial" w:eastAsia="Calibri" w:hAnsi="Arial" w:cs="Arial"/>
          <w:b/>
          <w:lang w:val="es-SV" w:eastAsia="en-US"/>
        </w:rPr>
        <w:t>NAYA</w:t>
      </w:r>
      <w:r w:rsidRPr="002E1E45">
        <w:rPr>
          <w:rFonts w:ascii="Arial" w:eastAsia="Calibri" w:hAnsi="Arial" w:cs="Arial"/>
          <w:b/>
          <w:lang w:val="es-SV" w:eastAsia="en-US"/>
        </w:rPr>
        <w:t xml:space="preserve">, </w:t>
      </w:r>
      <w:r w:rsidR="00342093" w:rsidRPr="00342093">
        <w:rPr>
          <w:rFonts w:ascii="Arial" w:eastAsia="Calibri" w:hAnsi="Arial" w:cs="Arial"/>
          <w:lang w:val="es-SV" w:eastAsia="en-US"/>
        </w:rPr>
        <w:t>Viceministro de Hacienda en Representación del</w:t>
      </w:r>
      <w:r w:rsidR="00342093">
        <w:rPr>
          <w:rFonts w:ascii="Arial" w:eastAsia="Calibri" w:hAnsi="Arial" w:cs="Arial"/>
          <w:b/>
          <w:lang w:val="es-SV" w:eastAsia="en-US"/>
        </w:rPr>
        <w:t xml:space="preserve"> </w:t>
      </w:r>
      <w:r w:rsidRPr="002E1E45">
        <w:rPr>
          <w:rFonts w:ascii="Arial" w:eastAsia="Calibri" w:hAnsi="Arial" w:cs="Arial"/>
          <w:lang w:val="es-SV" w:eastAsia="en-US"/>
        </w:rPr>
        <w:t>Ministro de Hacienda;</w:t>
      </w:r>
      <w:r>
        <w:rPr>
          <w:rFonts w:ascii="Arial" w:eastAsia="Calibri" w:hAnsi="Arial" w:cs="Arial"/>
          <w:lang w:val="es-SV" w:eastAsia="en-US"/>
        </w:rPr>
        <w:t xml:space="preserve"> </w:t>
      </w:r>
      <w:r>
        <w:rPr>
          <w:rFonts w:ascii="Arial" w:eastAsia="Calibri" w:hAnsi="Arial" w:cs="Arial"/>
          <w:b/>
          <w:lang w:val="es-SV" w:eastAsia="en-US"/>
        </w:rPr>
        <w:t>SEÑOR ERNESTO MARROQUÍN ALEGRÍ</w:t>
      </w:r>
      <w:r w:rsidRPr="002E1E45">
        <w:rPr>
          <w:rFonts w:ascii="Arial" w:eastAsia="Calibri" w:hAnsi="Arial" w:cs="Arial"/>
          <w:b/>
          <w:lang w:val="es-SV" w:eastAsia="en-US"/>
        </w:rPr>
        <w:t>A,</w:t>
      </w:r>
      <w:r w:rsidRPr="002E1E45">
        <w:rPr>
          <w:rFonts w:ascii="Arial" w:eastAsia="Calibri" w:hAnsi="Arial" w:cs="Arial"/>
          <w:lang w:val="es-SV" w:eastAsia="en-US"/>
        </w:rPr>
        <w:t xml:space="preserve"> Gobernador Propietario del Sector Laboral;</w:t>
      </w:r>
      <w:r w:rsidRPr="002E1E45">
        <w:rPr>
          <w:rFonts w:ascii="Arial" w:eastAsia="Calibri" w:hAnsi="Arial" w:cs="Arial"/>
          <w:b/>
          <w:lang w:val="es-SV" w:eastAsia="en-US"/>
        </w:rPr>
        <w:t xml:space="preserve"> SEÑOR ISRAEL SANCHEZ CRUZ, </w:t>
      </w:r>
      <w:r w:rsidRPr="002E1E45">
        <w:rPr>
          <w:rFonts w:ascii="Arial" w:eastAsia="Calibri" w:hAnsi="Arial" w:cs="Arial"/>
          <w:lang w:val="es-SV" w:eastAsia="en-US"/>
        </w:rPr>
        <w:t>Gobernador Propietario del Sector Laboral;</w:t>
      </w:r>
      <w:r w:rsidRPr="002E1E45">
        <w:rPr>
          <w:rFonts w:ascii="Arial" w:eastAsia="Calibri" w:hAnsi="Arial" w:cs="Arial"/>
          <w:b/>
          <w:lang w:val="es-SV" w:eastAsia="en-US"/>
        </w:rPr>
        <w:t xml:space="preserve"> INGENIERO PEDRO ALBERTO SANCHEZ SANSIVIRINI, </w:t>
      </w:r>
      <w:r w:rsidRPr="002E1E45">
        <w:rPr>
          <w:rFonts w:ascii="Arial" w:eastAsia="Calibri" w:hAnsi="Arial" w:cs="Arial"/>
          <w:lang w:val="es-SV" w:eastAsia="en-US"/>
        </w:rPr>
        <w:t>Gobernador Suplente del Sector Patronal;</w:t>
      </w:r>
      <w:r w:rsidRPr="002E1E45">
        <w:rPr>
          <w:rFonts w:ascii="Arial" w:eastAsia="Calibri" w:hAnsi="Arial" w:cs="Arial"/>
          <w:b/>
          <w:lang w:val="es-SV" w:eastAsia="en-US"/>
        </w:rPr>
        <w:t xml:space="preserve"> SEÑOR JULIO CESAR FLORES,</w:t>
      </w:r>
      <w:r w:rsidRPr="002E1E45">
        <w:rPr>
          <w:rFonts w:ascii="Arial" w:eastAsia="Calibri" w:hAnsi="Arial" w:cs="Arial"/>
          <w:lang w:val="es-SV" w:eastAsia="en-US"/>
        </w:rPr>
        <w:t xml:space="preserve"> Gobernador Suplente del Sector Laboral,</w:t>
      </w:r>
      <w:r w:rsidRPr="002E1E45">
        <w:rPr>
          <w:rFonts w:ascii="Arial" w:eastAsia="Calibri" w:hAnsi="Arial" w:cs="Arial"/>
          <w:b/>
          <w:lang w:val="es-SV" w:eastAsia="en-US"/>
        </w:rPr>
        <w:t xml:space="preserve"> SEÑOR JUNIOR ALEJANDRO AYALA,</w:t>
      </w:r>
      <w:r w:rsidRPr="002E1E45">
        <w:rPr>
          <w:rFonts w:ascii="Arial" w:eastAsia="Calibri" w:hAnsi="Arial" w:cs="Arial"/>
          <w:lang w:val="es-SV" w:eastAsia="en-US"/>
        </w:rPr>
        <w:t xml:space="preserve"> Gobernador Suplente del Sector Laboral; con el propósito de celebrar la Sesión número ciento sesenta y </w:t>
      </w:r>
      <w:r w:rsidR="00342093">
        <w:rPr>
          <w:rFonts w:ascii="Arial" w:eastAsia="Calibri" w:hAnsi="Arial" w:cs="Arial"/>
          <w:lang w:val="es-SV" w:eastAsia="en-US"/>
        </w:rPr>
        <w:t>cuatro</w:t>
      </w:r>
      <w:r w:rsidRPr="002E1E45">
        <w:rPr>
          <w:rFonts w:ascii="Arial" w:eastAsia="Calibri" w:hAnsi="Arial" w:cs="Arial"/>
          <w:lang w:val="es-SV" w:eastAsia="en-US"/>
        </w:rPr>
        <w:t xml:space="preserve"> de dicho Órgano Institucional. </w:t>
      </w:r>
      <w:r w:rsidRPr="002E1E45">
        <w:rPr>
          <w:rFonts w:ascii="Arial" w:eastAsia="Calibri" w:hAnsi="Arial" w:cs="Arial"/>
          <w:b/>
          <w:lang w:val="es-SV" w:eastAsia="en-US"/>
        </w:rPr>
        <w:t>AUSENTES CON EXCUSA:</w:t>
      </w:r>
      <w:r w:rsidRPr="002E1E45">
        <w:rPr>
          <w:rFonts w:ascii="Arial" w:eastAsia="Calibri" w:hAnsi="Arial" w:cs="Arial"/>
          <w:lang w:val="es-SV" w:eastAsia="en-US"/>
        </w:rPr>
        <w:t xml:space="preserve"> </w:t>
      </w:r>
      <w:r w:rsidRPr="002E1E45">
        <w:rPr>
          <w:rFonts w:ascii="Arial" w:eastAsia="Calibri" w:hAnsi="Arial" w:cs="Arial"/>
          <w:b/>
          <w:lang w:val="es-SV" w:eastAsia="en-US"/>
        </w:rPr>
        <w:t xml:space="preserve">SEÑOR OSCAR ROLANDO CASTRO, </w:t>
      </w:r>
      <w:r w:rsidRPr="002E1E45">
        <w:rPr>
          <w:rFonts w:ascii="Arial" w:eastAsia="Calibri" w:hAnsi="Arial" w:cs="Arial"/>
          <w:lang w:val="es-SV" w:eastAsia="en-US"/>
        </w:rPr>
        <w:t>Ministro de Trabajo y Previsión Socia</w:t>
      </w:r>
      <w:r w:rsidR="00342093">
        <w:rPr>
          <w:rFonts w:ascii="Arial" w:eastAsia="Calibri" w:hAnsi="Arial" w:cs="Arial"/>
          <w:lang w:val="es-SV" w:eastAsia="en-US"/>
        </w:rPr>
        <w:t xml:space="preserve">l; </w:t>
      </w:r>
      <w:r w:rsidR="00342093" w:rsidRPr="002E1E45">
        <w:rPr>
          <w:rFonts w:ascii="Arial" w:eastAsia="Calibri" w:hAnsi="Arial" w:cs="Arial"/>
          <w:b/>
          <w:lang w:val="es-SV" w:eastAsia="en-US"/>
        </w:rPr>
        <w:t xml:space="preserve">LICENCIADA MARIA LUISA HAYEM BREVÉ, </w:t>
      </w:r>
      <w:r w:rsidR="00342093" w:rsidRPr="002E1E45">
        <w:rPr>
          <w:rFonts w:ascii="Arial" w:eastAsia="Calibri" w:hAnsi="Arial" w:cs="Arial"/>
          <w:lang w:val="es-SV" w:eastAsia="en-US"/>
        </w:rPr>
        <w:t>Ministra de Economía;</w:t>
      </w:r>
      <w:r w:rsidR="00342093" w:rsidRPr="007C4EF4">
        <w:rPr>
          <w:rFonts w:ascii="Arial" w:eastAsia="Calibri" w:hAnsi="Arial" w:cs="Arial"/>
          <w:b/>
          <w:lang w:val="es-SV" w:eastAsia="en-US"/>
        </w:rPr>
        <w:t xml:space="preserve"> </w:t>
      </w:r>
      <w:r w:rsidR="00342093" w:rsidRPr="002E1E45">
        <w:rPr>
          <w:rFonts w:ascii="Arial" w:eastAsia="Calibri" w:hAnsi="Arial" w:cs="Arial"/>
          <w:b/>
          <w:lang w:val="es-SV" w:eastAsia="en-US"/>
        </w:rPr>
        <w:t xml:space="preserve">LICENCIADO NELSON EDUARDO FUENTES MENJIVAR, </w:t>
      </w:r>
      <w:r w:rsidR="00342093">
        <w:rPr>
          <w:rFonts w:ascii="Arial" w:eastAsia="Calibri" w:hAnsi="Arial" w:cs="Arial"/>
          <w:lang w:val="es-SV" w:eastAsia="en-US"/>
        </w:rPr>
        <w:t>Ministro de Hacienda</w:t>
      </w:r>
      <w:r>
        <w:rPr>
          <w:rFonts w:ascii="Arial" w:eastAsia="Calibri" w:hAnsi="Arial" w:cs="Arial"/>
          <w:lang w:val="es-SV" w:eastAsia="en-US"/>
        </w:rPr>
        <w:t xml:space="preserve">. </w:t>
      </w:r>
      <w:r w:rsidRPr="002E1E45">
        <w:rPr>
          <w:rFonts w:ascii="Arial" w:eastAsia="Calibri" w:hAnsi="Arial" w:cs="Arial"/>
          <w:lang w:val="es-SV" w:eastAsia="en-US"/>
        </w:rPr>
        <w:t>También estuvieron presentes por el Fondo Social para la Vivienda</w:t>
      </w:r>
      <w:r w:rsidRPr="002E1E45">
        <w:rPr>
          <w:rFonts w:ascii="Arial" w:eastAsia="Calibri" w:hAnsi="Arial" w:cs="Arial"/>
          <w:b/>
          <w:lang w:val="es-SV" w:eastAsia="en-US"/>
        </w:rPr>
        <w:t xml:space="preserve">: LICENCIADO </w:t>
      </w:r>
      <w:r>
        <w:rPr>
          <w:rFonts w:ascii="Arial" w:eastAsia="Calibri" w:hAnsi="Arial" w:cs="Arial"/>
          <w:b/>
          <w:lang w:val="es-SV" w:eastAsia="en-US"/>
        </w:rPr>
        <w:t>OSCAR ARMANDO MORALES</w:t>
      </w:r>
      <w:r w:rsidRPr="002E1E45">
        <w:rPr>
          <w:rFonts w:ascii="Arial" w:eastAsia="Calibri" w:hAnsi="Arial" w:cs="Arial"/>
          <w:b/>
          <w:lang w:val="es-SV" w:eastAsia="en-US"/>
        </w:rPr>
        <w:t>,</w:t>
      </w:r>
      <w:r w:rsidRPr="002E1E45">
        <w:rPr>
          <w:rFonts w:ascii="Arial" w:eastAsia="Calibri" w:hAnsi="Arial" w:cs="Arial"/>
          <w:lang w:val="es-SV" w:eastAsia="en-US"/>
        </w:rPr>
        <w:t xml:space="preserve"> Presidente y Director Ejecutivo; y el </w:t>
      </w:r>
      <w:r w:rsidRPr="002E1E45">
        <w:rPr>
          <w:rFonts w:ascii="Arial" w:eastAsia="Calibri" w:hAnsi="Arial" w:cs="Arial"/>
          <w:b/>
          <w:lang w:val="es-SV" w:eastAsia="en-US"/>
        </w:rPr>
        <w:t xml:space="preserve">LICENCIADO MARIANO ARISTIDES BONILLA BONILLA, </w:t>
      </w:r>
      <w:r w:rsidR="00273D76">
        <w:rPr>
          <w:rFonts w:ascii="Arial" w:eastAsia="Calibri" w:hAnsi="Arial" w:cs="Arial"/>
          <w:lang w:val="es-SV" w:eastAsia="en-US"/>
        </w:rPr>
        <w:t xml:space="preserve">Gerente General. </w:t>
      </w:r>
      <w:r w:rsidRPr="00A74E78">
        <w:rPr>
          <w:rFonts w:ascii="Arial" w:eastAsia="Calibri" w:hAnsi="Arial" w:cs="Arial"/>
          <w:lang w:val="es-SV" w:eastAsia="en-US"/>
        </w:rPr>
        <w:t>La agenda desarrollada fue la siguiente:</w:t>
      </w:r>
    </w:p>
    <w:p w14:paraId="2FBFC098" w14:textId="77777777" w:rsidR="004E2EE6" w:rsidRPr="00A74E78" w:rsidRDefault="004E2EE6" w:rsidP="004E2EE6">
      <w:pPr>
        <w:keepNext/>
        <w:jc w:val="both"/>
        <w:outlineLvl w:val="0"/>
        <w:rPr>
          <w:rFonts w:ascii="Arial" w:eastAsia="Calibri" w:hAnsi="Arial" w:cs="Arial"/>
          <w:lang w:val="es-SV" w:eastAsia="en-US"/>
        </w:rPr>
      </w:pPr>
    </w:p>
    <w:p w14:paraId="6A4C596A" w14:textId="77777777" w:rsidR="00273D76" w:rsidRPr="00C1054D" w:rsidRDefault="0032668B" w:rsidP="00273D76">
      <w:pPr>
        <w:pStyle w:val="Textoindependiente"/>
        <w:numPr>
          <w:ilvl w:val="0"/>
          <w:numId w:val="1"/>
        </w:numPr>
        <w:spacing w:line="240" w:lineRule="auto"/>
        <w:jc w:val="both"/>
        <w:rPr>
          <w:rFonts w:ascii="Arial" w:hAnsi="Arial" w:cs="Arial"/>
          <w:b/>
          <w:snapToGrid w:val="0"/>
          <w:sz w:val="24"/>
          <w:szCs w:val="24"/>
          <w:lang w:val="pt-BR"/>
        </w:rPr>
      </w:pPr>
      <w:r>
        <w:rPr>
          <w:rFonts w:ascii="Arial" w:hAnsi="Arial" w:cs="Arial"/>
          <w:b/>
          <w:snapToGrid w:val="0"/>
          <w:sz w:val="24"/>
          <w:szCs w:val="24"/>
          <w:lang w:val="pt-BR"/>
        </w:rPr>
        <w:t>COMPROBACIÓ</w:t>
      </w:r>
      <w:r w:rsidR="00273D76">
        <w:rPr>
          <w:rFonts w:ascii="Arial" w:hAnsi="Arial" w:cs="Arial"/>
          <w:b/>
          <w:snapToGrid w:val="0"/>
          <w:sz w:val="24"/>
          <w:szCs w:val="24"/>
          <w:lang w:val="pt-BR"/>
        </w:rPr>
        <w:t>N DE QUÓ</w:t>
      </w:r>
      <w:r w:rsidR="00273D76" w:rsidRPr="00C1054D">
        <w:rPr>
          <w:rFonts w:ascii="Arial" w:hAnsi="Arial" w:cs="Arial"/>
          <w:b/>
          <w:snapToGrid w:val="0"/>
          <w:sz w:val="24"/>
          <w:szCs w:val="24"/>
          <w:lang w:val="pt-BR"/>
        </w:rPr>
        <w:t>RUM</w:t>
      </w:r>
    </w:p>
    <w:p w14:paraId="0E0F1B51" w14:textId="77777777" w:rsidR="00273D76" w:rsidRPr="00C1054D" w:rsidRDefault="00273D76" w:rsidP="00273D76">
      <w:pPr>
        <w:pStyle w:val="Textoindependiente"/>
        <w:spacing w:line="240" w:lineRule="auto"/>
        <w:jc w:val="both"/>
        <w:rPr>
          <w:rFonts w:ascii="Arial" w:hAnsi="Arial" w:cs="Arial"/>
          <w:b/>
          <w:snapToGrid w:val="0"/>
          <w:sz w:val="24"/>
          <w:szCs w:val="24"/>
          <w:lang w:val="pt-BR"/>
        </w:rPr>
      </w:pPr>
    </w:p>
    <w:p w14:paraId="7497A3CD" w14:textId="77777777" w:rsidR="00273D76" w:rsidRPr="00273D76" w:rsidRDefault="0032668B" w:rsidP="00273D76">
      <w:pPr>
        <w:pStyle w:val="Textoindependiente"/>
        <w:numPr>
          <w:ilvl w:val="0"/>
          <w:numId w:val="1"/>
        </w:numPr>
        <w:spacing w:line="240" w:lineRule="auto"/>
        <w:jc w:val="both"/>
        <w:rPr>
          <w:rFonts w:ascii="Arial" w:hAnsi="Arial" w:cs="Arial"/>
          <w:b/>
          <w:snapToGrid w:val="0"/>
          <w:sz w:val="24"/>
          <w:szCs w:val="24"/>
          <w:lang w:val="pt-BR"/>
        </w:rPr>
      </w:pPr>
      <w:r>
        <w:rPr>
          <w:rFonts w:ascii="Arial" w:hAnsi="Arial" w:cs="Arial"/>
          <w:b/>
          <w:snapToGrid w:val="0"/>
          <w:sz w:val="24"/>
          <w:szCs w:val="24"/>
          <w:lang w:val="pt-BR"/>
        </w:rPr>
        <w:t>APROBACIÓ</w:t>
      </w:r>
      <w:r w:rsidR="00273D76" w:rsidRPr="00273D76">
        <w:rPr>
          <w:rFonts w:ascii="Arial" w:hAnsi="Arial" w:cs="Arial"/>
          <w:b/>
          <w:snapToGrid w:val="0"/>
          <w:sz w:val="24"/>
          <w:szCs w:val="24"/>
          <w:lang w:val="pt-BR"/>
        </w:rPr>
        <w:t>N DE AGENDA</w:t>
      </w:r>
    </w:p>
    <w:p w14:paraId="7873E435" w14:textId="77777777" w:rsidR="00273D76" w:rsidRPr="00273D76" w:rsidRDefault="00273D76" w:rsidP="00273D76">
      <w:pPr>
        <w:pStyle w:val="Prrafodelista"/>
        <w:rPr>
          <w:rFonts w:ascii="Arial" w:hAnsi="Arial" w:cs="Arial"/>
          <w:b/>
          <w:snapToGrid w:val="0"/>
          <w:lang w:val="pt-BR"/>
        </w:rPr>
      </w:pPr>
    </w:p>
    <w:p w14:paraId="1106C576" w14:textId="77777777" w:rsidR="00273D76" w:rsidRPr="00273D76" w:rsidRDefault="00273D76" w:rsidP="00273D76">
      <w:pPr>
        <w:pStyle w:val="Textoindependiente"/>
        <w:numPr>
          <w:ilvl w:val="0"/>
          <w:numId w:val="1"/>
        </w:numPr>
        <w:spacing w:line="240" w:lineRule="auto"/>
        <w:jc w:val="both"/>
        <w:rPr>
          <w:rFonts w:ascii="Arial" w:hAnsi="Arial" w:cs="Arial"/>
          <w:b/>
          <w:snapToGrid w:val="0"/>
          <w:sz w:val="24"/>
          <w:szCs w:val="24"/>
          <w:lang w:val="pt-BR"/>
        </w:rPr>
      </w:pPr>
      <w:r w:rsidRPr="00273D76">
        <w:rPr>
          <w:rFonts w:ascii="Arial" w:hAnsi="Arial" w:cs="Arial"/>
          <w:b/>
          <w:snapToGrid w:val="0"/>
          <w:sz w:val="24"/>
          <w:szCs w:val="24"/>
          <w:lang w:val="pt-BR"/>
        </w:rPr>
        <w:t>APROBACIÓN DE ACTA ANTERIOR</w:t>
      </w:r>
    </w:p>
    <w:p w14:paraId="4BD1EB40" w14:textId="77777777" w:rsidR="00273D76" w:rsidRPr="00273D76" w:rsidRDefault="00273D76" w:rsidP="00273D76">
      <w:pPr>
        <w:pStyle w:val="Prrafodelista"/>
        <w:rPr>
          <w:rFonts w:ascii="Arial" w:hAnsi="Arial" w:cs="Arial"/>
          <w:b/>
          <w:snapToGrid w:val="0"/>
          <w:lang w:val="pt-BR"/>
        </w:rPr>
      </w:pPr>
    </w:p>
    <w:p w14:paraId="4F3AD69B" w14:textId="77777777" w:rsidR="00273D76" w:rsidRPr="00273D76" w:rsidRDefault="00273D76" w:rsidP="00273D76">
      <w:pPr>
        <w:pStyle w:val="Textoindependiente"/>
        <w:numPr>
          <w:ilvl w:val="0"/>
          <w:numId w:val="1"/>
        </w:numPr>
        <w:spacing w:line="240" w:lineRule="auto"/>
        <w:jc w:val="both"/>
        <w:rPr>
          <w:rFonts w:ascii="Arial" w:hAnsi="Arial" w:cs="Arial"/>
          <w:b/>
          <w:snapToGrid w:val="0"/>
          <w:sz w:val="24"/>
          <w:szCs w:val="24"/>
          <w:lang w:val="pt-BR"/>
        </w:rPr>
      </w:pPr>
      <w:r w:rsidRPr="00273D76">
        <w:rPr>
          <w:rFonts w:ascii="Arial" w:hAnsi="Arial" w:cs="Arial"/>
          <w:b/>
          <w:snapToGrid w:val="0"/>
          <w:sz w:val="24"/>
          <w:szCs w:val="24"/>
          <w:lang w:val="pt-BR"/>
        </w:rPr>
        <w:t>SOLICITUD DE SUSPENSIÓN TEMPORAL DE CUOTA DE AMORTIZACIÓN A LOS AFECTADOS POR LA CÁRCAVA EN RESIDENCIAL SANTA LUCÍA</w:t>
      </w:r>
    </w:p>
    <w:p w14:paraId="1F47E8C7" w14:textId="77777777" w:rsidR="00273D76" w:rsidRPr="00273D76" w:rsidRDefault="00273D76" w:rsidP="00273D76">
      <w:pPr>
        <w:pStyle w:val="Prrafodelista"/>
        <w:rPr>
          <w:rFonts w:ascii="Arial" w:hAnsi="Arial" w:cs="Arial"/>
          <w:b/>
          <w:snapToGrid w:val="0"/>
          <w:lang w:val="pt-BR"/>
        </w:rPr>
      </w:pPr>
    </w:p>
    <w:p w14:paraId="24B9E66C" w14:textId="77777777" w:rsidR="00273D76" w:rsidRPr="00273D76" w:rsidRDefault="00273D76" w:rsidP="00273D76">
      <w:pPr>
        <w:pStyle w:val="Textoindependiente"/>
        <w:numPr>
          <w:ilvl w:val="0"/>
          <w:numId w:val="1"/>
        </w:numPr>
        <w:spacing w:line="240" w:lineRule="auto"/>
        <w:jc w:val="both"/>
        <w:rPr>
          <w:rFonts w:ascii="Arial" w:hAnsi="Arial" w:cs="Arial"/>
          <w:b/>
          <w:snapToGrid w:val="0"/>
          <w:sz w:val="24"/>
          <w:szCs w:val="24"/>
          <w:lang w:val="pt-BR"/>
        </w:rPr>
      </w:pPr>
      <w:r w:rsidRPr="00273D76">
        <w:rPr>
          <w:rFonts w:ascii="Arial" w:hAnsi="Arial" w:cs="Arial"/>
          <w:b/>
          <w:snapToGrid w:val="0"/>
          <w:sz w:val="24"/>
          <w:szCs w:val="24"/>
          <w:lang w:val="pt-BR"/>
        </w:rPr>
        <w:t>PLAN ANUAL OPERATIVO 2020</w:t>
      </w:r>
    </w:p>
    <w:p w14:paraId="0AC985B2" w14:textId="77777777" w:rsidR="00273D76" w:rsidRPr="00273D76" w:rsidRDefault="00273D76" w:rsidP="00273D76">
      <w:pPr>
        <w:pStyle w:val="Prrafodelista"/>
        <w:rPr>
          <w:rFonts w:ascii="Arial" w:hAnsi="Arial" w:cs="Arial"/>
          <w:b/>
          <w:snapToGrid w:val="0"/>
          <w:lang w:val="pt-BR"/>
        </w:rPr>
      </w:pPr>
    </w:p>
    <w:p w14:paraId="701AA393" w14:textId="77777777" w:rsidR="00273D76" w:rsidRPr="00273D76" w:rsidRDefault="00273D76" w:rsidP="00273D76">
      <w:pPr>
        <w:pStyle w:val="Textoindependiente"/>
        <w:numPr>
          <w:ilvl w:val="0"/>
          <w:numId w:val="1"/>
        </w:numPr>
        <w:spacing w:line="240" w:lineRule="auto"/>
        <w:jc w:val="both"/>
        <w:rPr>
          <w:rFonts w:ascii="Arial" w:hAnsi="Arial" w:cs="Arial"/>
          <w:b/>
          <w:snapToGrid w:val="0"/>
          <w:sz w:val="24"/>
          <w:szCs w:val="24"/>
          <w:lang w:val="pt-BR"/>
        </w:rPr>
      </w:pPr>
      <w:r w:rsidRPr="00273D76">
        <w:rPr>
          <w:rFonts w:ascii="Arial" w:hAnsi="Arial" w:cs="Arial"/>
          <w:b/>
          <w:snapToGrid w:val="0"/>
          <w:sz w:val="24"/>
          <w:szCs w:val="24"/>
          <w:lang w:val="pt-BR"/>
        </w:rPr>
        <w:t>PRESUPUESTO DE INGRESOS Y EGRESOS  2020</w:t>
      </w:r>
    </w:p>
    <w:p w14:paraId="49023B28" w14:textId="77777777" w:rsidR="00273D76" w:rsidRPr="00273D76" w:rsidRDefault="00273D76" w:rsidP="00273D76">
      <w:pPr>
        <w:pStyle w:val="Prrafodelista"/>
        <w:rPr>
          <w:rFonts w:ascii="Arial" w:hAnsi="Arial" w:cs="Arial"/>
          <w:b/>
          <w:snapToGrid w:val="0"/>
          <w:lang w:val="pt-BR"/>
        </w:rPr>
      </w:pPr>
    </w:p>
    <w:p w14:paraId="75A45800" w14:textId="77777777" w:rsidR="00273D76" w:rsidRPr="00273D76" w:rsidRDefault="00273D76" w:rsidP="00273D76">
      <w:pPr>
        <w:pStyle w:val="Textoindependiente"/>
        <w:numPr>
          <w:ilvl w:val="0"/>
          <w:numId w:val="1"/>
        </w:numPr>
        <w:spacing w:line="240" w:lineRule="auto"/>
        <w:jc w:val="both"/>
        <w:rPr>
          <w:rFonts w:ascii="Arial" w:hAnsi="Arial" w:cs="Arial"/>
          <w:b/>
          <w:sz w:val="24"/>
          <w:szCs w:val="24"/>
          <w:lang w:val="es-MX"/>
        </w:rPr>
      </w:pPr>
      <w:r w:rsidRPr="00273D76">
        <w:rPr>
          <w:rFonts w:ascii="Arial" w:hAnsi="Arial" w:cs="Arial"/>
          <w:b/>
          <w:sz w:val="24"/>
          <w:szCs w:val="24"/>
          <w:lang w:val="es-MX"/>
        </w:rPr>
        <w:t>NOMBRAMIENTO DE DIRECTORES DEL SECTOR PATRONAL</w:t>
      </w:r>
    </w:p>
    <w:p w14:paraId="3CD0FC79" w14:textId="77777777" w:rsidR="00273D76" w:rsidRPr="00273D76" w:rsidRDefault="00273D76" w:rsidP="00273D76">
      <w:pPr>
        <w:pStyle w:val="Prrafodelista"/>
        <w:rPr>
          <w:rFonts w:ascii="Arial" w:hAnsi="Arial" w:cs="Arial"/>
          <w:b/>
          <w:lang w:val="es-MX"/>
        </w:rPr>
      </w:pPr>
    </w:p>
    <w:p w14:paraId="38728D31" w14:textId="77777777" w:rsidR="00273D76" w:rsidRPr="00273D76" w:rsidRDefault="00273D76" w:rsidP="00273D76">
      <w:pPr>
        <w:pStyle w:val="Textoindependiente"/>
        <w:numPr>
          <w:ilvl w:val="0"/>
          <w:numId w:val="1"/>
        </w:numPr>
        <w:spacing w:line="240" w:lineRule="auto"/>
        <w:jc w:val="both"/>
        <w:rPr>
          <w:rFonts w:ascii="Arial" w:hAnsi="Arial" w:cs="Arial"/>
          <w:b/>
          <w:snapToGrid w:val="0"/>
          <w:sz w:val="24"/>
          <w:szCs w:val="24"/>
          <w:lang w:val="pt-BR"/>
        </w:rPr>
      </w:pPr>
      <w:r w:rsidRPr="00273D76">
        <w:rPr>
          <w:rFonts w:ascii="Arial" w:hAnsi="Arial" w:cs="Arial"/>
          <w:b/>
          <w:snapToGrid w:val="0"/>
          <w:sz w:val="24"/>
          <w:szCs w:val="24"/>
        </w:rPr>
        <w:t xml:space="preserve">SEGUIMIENTO DE ACUERDOS </w:t>
      </w:r>
    </w:p>
    <w:p w14:paraId="1D9F6579" w14:textId="77777777" w:rsidR="00273D76" w:rsidRPr="00273D76" w:rsidRDefault="00273D76" w:rsidP="00273D76">
      <w:pPr>
        <w:pStyle w:val="Prrafodelista"/>
        <w:rPr>
          <w:rFonts w:ascii="Arial" w:hAnsi="Arial" w:cs="Arial"/>
          <w:b/>
          <w:bCs/>
          <w:kern w:val="32"/>
        </w:rPr>
      </w:pPr>
    </w:p>
    <w:p w14:paraId="0704902D" w14:textId="77777777" w:rsidR="004E2EE6" w:rsidRPr="00273D76" w:rsidRDefault="00273D76" w:rsidP="00273D76">
      <w:pPr>
        <w:pStyle w:val="Textoindependiente"/>
        <w:numPr>
          <w:ilvl w:val="0"/>
          <w:numId w:val="1"/>
        </w:numPr>
        <w:spacing w:line="240" w:lineRule="auto"/>
        <w:jc w:val="both"/>
        <w:rPr>
          <w:rFonts w:ascii="Arial" w:hAnsi="Arial" w:cs="Arial"/>
          <w:b/>
          <w:snapToGrid w:val="0"/>
          <w:sz w:val="24"/>
          <w:szCs w:val="24"/>
          <w:lang w:val="pt-BR"/>
        </w:rPr>
      </w:pPr>
      <w:r>
        <w:rPr>
          <w:rFonts w:ascii="Arial" w:hAnsi="Arial" w:cs="Arial"/>
          <w:b/>
          <w:bCs/>
          <w:kern w:val="32"/>
          <w:sz w:val="24"/>
          <w:szCs w:val="24"/>
        </w:rPr>
        <w:t>ACUERDO DE RESOLUCIÓN SOBRE INFORMACIÓN RESERVADA DE ESTA SESIÓ</w:t>
      </w:r>
      <w:r w:rsidR="004E2EE6" w:rsidRPr="00273D76">
        <w:rPr>
          <w:rFonts w:ascii="Arial" w:hAnsi="Arial" w:cs="Arial"/>
          <w:b/>
          <w:bCs/>
          <w:kern w:val="32"/>
          <w:sz w:val="24"/>
          <w:szCs w:val="24"/>
        </w:rPr>
        <w:t>N</w:t>
      </w:r>
    </w:p>
    <w:p w14:paraId="551BD12F" w14:textId="77777777" w:rsidR="00273D76" w:rsidRDefault="00273D76" w:rsidP="004E2EE6">
      <w:pPr>
        <w:tabs>
          <w:tab w:val="left" w:pos="851"/>
          <w:tab w:val="left" w:pos="993"/>
          <w:tab w:val="left" w:pos="1134"/>
        </w:tabs>
        <w:autoSpaceDE w:val="0"/>
        <w:autoSpaceDN w:val="0"/>
        <w:adjustRightInd w:val="0"/>
        <w:ind w:left="720"/>
        <w:jc w:val="center"/>
        <w:rPr>
          <w:rFonts w:ascii="Arial" w:hAnsi="Arial" w:cs="Arial"/>
          <w:b/>
          <w:u w:val="single"/>
          <w:lang w:val="es-MX"/>
        </w:rPr>
      </w:pPr>
    </w:p>
    <w:p w14:paraId="3CE478A6" w14:textId="77777777" w:rsidR="00AE2719" w:rsidRDefault="00AE2719" w:rsidP="004E2EE6">
      <w:pPr>
        <w:tabs>
          <w:tab w:val="left" w:pos="851"/>
          <w:tab w:val="left" w:pos="993"/>
          <w:tab w:val="left" w:pos="1134"/>
        </w:tabs>
        <w:autoSpaceDE w:val="0"/>
        <w:autoSpaceDN w:val="0"/>
        <w:adjustRightInd w:val="0"/>
        <w:ind w:left="720"/>
        <w:jc w:val="center"/>
        <w:rPr>
          <w:rFonts w:ascii="Arial" w:hAnsi="Arial" w:cs="Arial"/>
          <w:b/>
          <w:u w:val="single"/>
          <w:lang w:val="es-MX"/>
        </w:rPr>
      </w:pPr>
    </w:p>
    <w:p w14:paraId="12E7A370" w14:textId="77777777" w:rsidR="00AE2719" w:rsidRDefault="00AE2719" w:rsidP="004E2EE6">
      <w:pPr>
        <w:tabs>
          <w:tab w:val="left" w:pos="851"/>
          <w:tab w:val="left" w:pos="993"/>
          <w:tab w:val="left" w:pos="1134"/>
        </w:tabs>
        <w:autoSpaceDE w:val="0"/>
        <w:autoSpaceDN w:val="0"/>
        <w:adjustRightInd w:val="0"/>
        <w:ind w:left="720"/>
        <w:jc w:val="center"/>
        <w:rPr>
          <w:rFonts w:ascii="Arial" w:hAnsi="Arial" w:cs="Arial"/>
          <w:b/>
          <w:u w:val="single"/>
          <w:lang w:val="es-MX"/>
        </w:rPr>
      </w:pPr>
    </w:p>
    <w:p w14:paraId="505B21EB" w14:textId="77777777" w:rsidR="00AE2719" w:rsidRDefault="00AE2719" w:rsidP="004E2EE6">
      <w:pPr>
        <w:tabs>
          <w:tab w:val="left" w:pos="851"/>
          <w:tab w:val="left" w:pos="993"/>
          <w:tab w:val="left" w:pos="1134"/>
        </w:tabs>
        <w:autoSpaceDE w:val="0"/>
        <w:autoSpaceDN w:val="0"/>
        <w:adjustRightInd w:val="0"/>
        <w:ind w:left="720"/>
        <w:jc w:val="center"/>
        <w:rPr>
          <w:rFonts w:ascii="Arial" w:hAnsi="Arial" w:cs="Arial"/>
          <w:b/>
          <w:u w:val="single"/>
          <w:lang w:val="es-MX"/>
        </w:rPr>
      </w:pPr>
    </w:p>
    <w:p w14:paraId="2734D2D0" w14:textId="5B75C6DE" w:rsidR="004E2EE6" w:rsidRPr="00AD79C0" w:rsidRDefault="004E2EE6" w:rsidP="004E2EE6">
      <w:pPr>
        <w:tabs>
          <w:tab w:val="left" w:pos="851"/>
          <w:tab w:val="left" w:pos="993"/>
          <w:tab w:val="left" w:pos="1134"/>
        </w:tabs>
        <w:autoSpaceDE w:val="0"/>
        <w:autoSpaceDN w:val="0"/>
        <w:adjustRightInd w:val="0"/>
        <w:ind w:left="720"/>
        <w:jc w:val="center"/>
        <w:rPr>
          <w:rFonts w:ascii="Arial" w:hAnsi="Arial" w:cs="Arial"/>
          <w:b/>
          <w:u w:val="single"/>
          <w:lang w:val="es-MX"/>
        </w:rPr>
      </w:pPr>
      <w:r w:rsidRPr="00AD79C0">
        <w:rPr>
          <w:rFonts w:ascii="Arial" w:hAnsi="Arial" w:cs="Arial"/>
          <w:b/>
          <w:u w:val="single"/>
          <w:lang w:val="es-MX"/>
        </w:rPr>
        <w:lastRenderedPageBreak/>
        <w:t>DESARROLLO</w:t>
      </w:r>
    </w:p>
    <w:p w14:paraId="30884E21" w14:textId="77777777" w:rsidR="004E2EE6" w:rsidRPr="00AD79C0" w:rsidRDefault="004E2EE6" w:rsidP="004E2EE6">
      <w:pPr>
        <w:tabs>
          <w:tab w:val="left" w:pos="851"/>
          <w:tab w:val="left" w:pos="993"/>
          <w:tab w:val="left" w:pos="1134"/>
        </w:tabs>
        <w:autoSpaceDE w:val="0"/>
        <w:autoSpaceDN w:val="0"/>
        <w:adjustRightInd w:val="0"/>
        <w:ind w:left="720"/>
        <w:jc w:val="center"/>
        <w:rPr>
          <w:rFonts w:ascii="Arial" w:hAnsi="Arial" w:cs="Arial"/>
          <w:b/>
          <w:u w:val="single"/>
          <w:lang w:val="es-MX"/>
        </w:rPr>
      </w:pPr>
    </w:p>
    <w:p w14:paraId="782A1649" w14:textId="77777777" w:rsidR="004E2EE6" w:rsidRPr="00AD79C0" w:rsidRDefault="0032668B" w:rsidP="004E2EE6">
      <w:pPr>
        <w:numPr>
          <w:ilvl w:val="0"/>
          <w:numId w:val="9"/>
        </w:numPr>
        <w:tabs>
          <w:tab w:val="left" w:pos="426"/>
        </w:tabs>
        <w:contextualSpacing/>
        <w:jc w:val="both"/>
        <w:rPr>
          <w:rFonts w:ascii="Arial" w:hAnsi="Arial" w:cs="Arial"/>
        </w:rPr>
      </w:pPr>
      <w:r>
        <w:rPr>
          <w:rFonts w:ascii="Arial" w:hAnsi="Arial" w:cs="Arial"/>
          <w:b/>
          <w:snapToGrid w:val="0"/>
        </w:rPr>
        <w:t>COMPROBACIÓN DE QUÓ</w:t>
      </w:r>
      <w:r w:rsidR="004E2EE6" w:rsidRPr="00AD79C0">
        <w:rPr>
          <w:rFonts w:ascii="Arial" w:hAnsi="Arial" w:cs="Arial"/>
          <w:b/>
          <w:snapToGrid w:val="0"/>
        </w:rPr>
        <w:t xml:space="preserve">RUM. </w:t>
      </w:r>
      <w:r w:rsidR="004E2EE6" w:rsidRPr="00AD79C0">
        <w:rPr>
          <w:rFonts w:ascii="Arial" w:hAnsi="Arial" w:cs="Arial"/>
        </w:rPr>
        <w:t xml:space="preserve">De conformidad con el Art. 15 de la Ley del FSV se comprobó el quórum. </w:t>
      </w:r>
    </w:p>
    <w:p w14:paraId="01A5E79C" w14:textId="77777777" w:rsidR="004E2EE6" w:rsidRPr="00AD79C0" w:rsidRDefault="004E2EE6" w:rsidP="004E2EE6">
      <w:pPr>
        <w:tabs>
          <w:tab w:val="left" w:pos="426"/>
        </w:tabs>
        <w:rPr>
          <w:rFonts w:ascii="Arial" w:hAnsi="Arial" w:cs="Arial"/>
        </w:rPr>
      </w:pPr>
    </w:p>
    <w:p w14:paraId="54B2ED2A" w14:textId="77777777" w:rsidR="004E2EE6" w:rsidRPr="00AD79C0" w:rsidRDefault="0032668B" w:rsidP="004E2EE6">
      <w:pPr>
        <w:numPr>
          <w:ilvl w:val="0"/>
          <w:numId w:val="9"/>
        </w:numPr>
        <w:tabs>
          <w:tab w:val="left" w:pos="426"/>
        </w:tabs>
        <w:contextualSpacing/>
        <w:jc w:val="both"/>
        <w:rPr>
          <w:rFonts w:ascii="Arial" w:hAnsi="Arial" w:cs="Arial"/>
          <w:b/>
          <w:snapToGrid w:val="0"/>
        </w:rPr>
      </w:pPr>
      <w:r>
        <w:rPr>
          <w:rFonts w:ascii="Arial" w:hAnsi="Arial" w:cs="Arial"/>
          <w:b/>
          <w:snapToGrid w:val="0"/>
        </w:rPr>
        <w:t>APROBACIÓ</w:t>
      </w:r>
      <w:r w:rsidR="004E2EE6" w:rsidRPr="00AD79C0">
        <w:rPr>
          <w:rFonts w:ascii="Arial" w:hAnsi="Arial" w:cs="Arial"/>
          <w:b/>
          <w:snapToGrid w:val="0"/>
        </w:rPr>
        <w:t xml:space="preserve">N DE AGENDA. </w:t>
      </w:r>
      <w:r w:rsidR="004E2EE6" w:rsidRPr="00AD79C0">
        <w:rPr>
          <w:rFonts w:ascii="Arial" w:hAnsi="Arial" w:cs="Arial"/>
        </w:rPr>
        <w:t>Fue aprobada.</w:t>
      </w:r>
    </w:p>
    <w:p w14:paraId="6F414583" w14:textId="77777777" w:rsidR="004E2EE6" w:rsidRPr="00AD79C0" w:rsidRDefault="004E2EE6" w:rsidP="004E2EE6">
      <w:pPr>
        <w:ind w:left="720"/>
        <w:contextualSpacing/>
        <w:rPr>
          <w:rFonts w:ascii="Arial" w:hAnsi="Arial" w:cs="Arial"/>
          <w:snapToGrid w:val="0"/>
        </w:rPr>
      </w:pPr>
    </w:p>
    <w:p w14:paraId="3614B56A" w14:textId="77777777" w:rsidR="004E2EE6" w:rsidRPr="00AE3C63" w:rsidRDefault="0032668B" w:rsidP="004E2EE6">
      <w:pPr>
        <w:keepNext/>
        <w:numPr>
          <w:ilvl w:val="0"/>
          <w:numId w:val="9"/>
        </w:numPr>
        <w:tabs>
          <w:tab w:val="left" w:pos="426"/>
        </w:tabs>
        <w:contextualSpacing/>
        <w:jc w:val="both"/>
        <w:outlineLvl w:val="0"/>
        <w:rPr>
          <w:rFonts w:ascii="Arial" w:hAnsi="Arial" w:cs="Arial"/>
          <w:b/>
          <w:snapToGrid w:val="0"/>
          <w:lang w:val="pt-BR"/>
        </w:rPr>
      </w:pPr>
      <w:r>
        <w:rPr>
          <w:rFonts w:ascii="Arial" w:hAnsi="Arial" w:cs="Arial"/>
          <w:b/>
          <w:snapToGrid w:val="0"/>
        </w:rPr>
        <w:t>APROBACIÓ</w:t>
      </w:r>
      <w:r w:rsidR="004E2EE6" w:rsidRPr="00AE3C63">
        <w:rPr>
          <w:rFonts w:ascii="Arial" w:hAnsi="Arial" w:cs="Arial"/>
          <w:b/>
          <w:snapToGrid w:val="0"/>
        </w:rPr>
        <w:t>N DE ACTA ANTERIOR.</w:t>
      </w:r>
      <w:r w:rsidR="004E2EE6" w:rsidRPr="00AE3C63">
        <w:rPr>
          <w:rFonts w:ascii="Arial" w:hAnsi="Arial" w:cs="Arial"/>
          <w:snapToGrid w:val="0"/>
        </w:rPr>
        <w:t xml:space="preserve"> </w:t>
      </w:r>
      <w:r w:rsidR="004E2EE6" w:rsidRPr="00AE3C63">
        <w:rPr>
          <w:rFonts w:ascii="Arial" w:hAnsi="Arial" w:cs="Arial"/>
        </w:rPr>
        <w:t>Se leyó el Acta de la sesión anterior, N° AG-16</w:t>
      </w:r>
      <w:r w:rsidR="002D72EB">
        <w:rPr>
          <w:rFonts w:ascii="Arial" w:hAnsi="Arial" w:cs="Arial"/>
        </w:rPr>
        <w:t>3</w:t>
      </w:r>
      <w:r w:rsidR="004E2EE6" w:rsidRPr="00AE3C63">
        <w:rPr>
          <w:rFonts w:ascii="Arial" w:hAnsi="Arial" w:cs="Arial"/>
        </w:rPr>
        <w:t xml:space="preserve"> del </w:t>
      </w:r>
      <w:r w:rsidR="002D72EB">
        <w:rPr>
          <w:rFonts w:ascii="Arial" w:hAnsi="Arial" w:cs="Arial"/>
        </w:rPr>
        <w:t>veinti</w:t>
      </w:r>
      <w:r w:rsidR="004E2EE6" w:rsidRPr="00AE3C63">
        <w:rPr>
          <w:rFonts w:ascii="Arial" w:hAnsi="Arial" w:cs="Arial"/>
        </w:rPr>
        <w:t xml:space="preserve">ocho de </w:t>
      </w:r>
      <w:r w:rsidR="002D72EB">
        <w:rPr>
          <w:rFonts w:ascii="Arial" w:hAnsi="Arial" w:cs="Arial"/>
        </w:rPr>
        <w:t>agost</w:t>
      </w:r>
      <w:r w:rsidR="004E2EE6" w:rsidRPr="00AE3C63">
        <w:rPr>
          <w:rFonts w:ascii="Arial" w:hAnsi="Arial" w:cs="Arial"/>
        </w:rPr>
        <w:t>o de dos mil diecinueve, la cual fue aprobada.</w:t>
      </w:r>
    </w:p>
    <w:p w14:paraId="5380830A" w14:textId="77777777" w:rsidR="004E2EE6" w:rsidRDefault="004E2EE6" w:rsidP="004E2EE6">
      <w:pPr>
        <w:pStyle w:val="Textoindependiente"/>
        <w:spacing w:line="240" w:lineRule="auto"/>
        <w:ind w:left="360"/>
        <w:jc w:val="both"/>
        <w:rPr>
          <w:rFonts w:ascii="Arial" w:hAnsi="Arial" w:cs="Arial"/>
          <w:b/>
          <w:snapToGrid w:val="0"/>
          <w:sz w:val="24"/>
          <w:szCs w:val="24"/>
          <w:lang w:val="pt-BR"/>
        </w:rPr>
      </w:pPr>
    </w:p>
    <w:p w14:paraId="0430072E" w14:textId="77777777" w:rsidR="003D5F12" w:rsidRPr="003D5F12" w:rsidRDefault="003D5F12" w:rsidP="003D5F12">
      <w:pPr>
        <w:pStyle w:val="Textoindependiente"/>
        <w:spacing w:line="240" w:lineRule="auto"/>
        <w:jc w:val="both"/>
        <w:rPr>
          <w:rFonts w:ascii="Arial" w:hAnsi="Arial" w:cs="Arial"/>
          <w:sz w:val="24"/>
          <w:szCs w:val="24"/>
        </w:rPr>
      </w:pPr>
      <w:r w:rsidRPr="003D5F12">
        <w:rPr>
          <w:rFonts w:ascii="Arial" w:hAnsi="Arial" w:cs="Arial"/>
          <w:b/>
          <w:snapToGrid w:val="0"/>
          <w:sz w:val="24"/>
          <w:szCs w:val="24"/>
          <w:lang w:val="pt-BR"/>
        </w:rPr>
        <w:t xml:space="preserve">4) SOLICITUD DE SUSPENSIÓN TEMPORAL DE CUOTA DE AMORTIZACIÓN A LOS AFECTADOS POR LA CÁRCAVA EN RESIDENCIAL SANTA LUCÍA. </w:t>
      </w:r>
      <w:r w:rsidRPr="003D5F12">
        <w:rPr>
          <w:rFonts w:ascii="Arial" w:hAnsi="Arial" w:cs="Arial"/>
          <w:sz w:val="24"/>
          <w:szCs w:val="24"/>
        </w:rPr>
        <w:t>El Presidente de la Asamblea, sometió</w:t>
      </w:r>
      <w:r w:rsidRPr="003D5F12">
        <w:rPr>
          <w:rFonts w:ascii="Arial" w:hAnsi="Arial" w:cs="Arial"/>
          <w:sz w:val="24"/>
          <w:szCs w:val="24"/>
          <w:lang w:val="es-MX"/>
        </w:rPr>
        <w:t xml:space="preserve"> a consideración de los Gobernadores, la solicitud de </w:t>
      </w:r>
      <w:r w:rsidRPr="003D5F12">
        <w:rPr>
          <w:rFonts w:ascii="Arial" w:hAnsi="Arial" w:cs="Arial"/>
          <w:snapToGrid w:val="0"/>
          <w:sz w:val="24"/>
          <w:szCs w:val="24"/>
          <w:lang w:val="pt-BR"/>
        </w:rPr>
        <w:t xml:space="preserve">suspensión temporal de cuota de amortización a los afectados por la cárcava en Residencial Santa Lucía. </w:t>
      </w:r>
      <w:r w:rsidRPr="003D5F12">
        <w:rPr>
          <w:rFonts w:ascii="Arial" w:hAnsi="Arial" w:cs="Arial"/>
          <w:sz w:val="24"/>
          <w:szCs w:val="24"/>
        </w:rPr>
        <w:t xml:space="preserve">Para su presentación invitó al Ingeniero Luis Gilberto Barahona, Gerente de </w:t>
      </w:r>
      <w:r w:rsidRPr="003D5F12">
        <w:rPr>
          <w:rFonts w:ascii="Arial" w:hAnsi="Arial" w:cs="Arial"/>
          <w:sz w:val="24"/>
          <w:szCs w:val="24"/>
          <w:lang w:val="es-MX"/>
        </w:rPr>
        <w:t>Créditos</w:t>
      </w:r>
      <w:r w:rsidRPr="003D5F12">
        <w:rPr>
          <w:rFonts w:ascii="Arial" w:hAnsi="Arial" w:cs="Arial"/>
          <w:sz w:val="24"/>
          <w:szCs w:val="24"/>
        </w:rPr>
        <w:t xml:space="preserve">, acompañado del </w:t>
      </w:r>
      <w:r w:rsidRPr="003D5F12">
        <w:rPr>
          <w:rFonts w:ascii="Arial" w:hAnsi="Arial" w:cs="Arial"/>
          <w:sz w:val="24"/>
          <w:szCs w:val="24"/>
          <w:lang w:val="es-MX"/>
        </w:rPr>
        <w:t xml:space="preserve">Licenciado René Cuéllar Marenco, Gerente de Finanzas y del Ingeniero Carlos Mario Rivas Granados, Gerente Técnico. El Ingeniero Barahona explicó que, la </w:t>
      </w:r>
      <w:r w:rsidRPr="003D5F12">
        <w:rPr>
          <w:rFonts w:ascii="Arial" w:hAnsi="Arial" w:cs="Arial"/>
          <w:sz w:val="24"/>
          <w:szCs w:val="24"/>
        </w:rPr>
        <w:t>Dirección General de Protección Civil, Prevención y Mitigación de Desastres, dependencia del Ministerio de Gobernación y Desarrollo Territorial</w:t>
      </w:r>
      <w:r w:rsidRPr="003D5F12">
        <w:rPr>
          <w:rFonts w:ascii="Arial" w:hAnsi="Arial" w:cs="Arial"/>
          <w:sz w:val="24"/>
          <w:szCs w:val="24"/>
          <w:lang w:val="es-MX"/>
        </w:rPr>
        <w:t xml:space="preserve">, emitió, con fecha 15 de octubre de 2019, la </w:t>
      </w:r>
      <w:r w:rsidRPr="003D5F12">
        <w:rPr>
          <w:rFonts w:ascii="Arial" w:hAnsi="Arial" w:cs="Arial"/>
          <w:sz w:val="24"/>
          <w:szCs w:val="24"/>
        </w:rPr>
        <w:t>DECLARATORIA DE “ÁREA PELIGROSA” EN LA ZONA DE LA CÁRCAVA ESTABLECIDA COMO PERIMETRO DE SEGURIDAD UBICADA EN LA INTERSECCIÓN DE LA CALLE PRINCIPAL Y AVENIDA SANTA LUCÍA, RESIDENCIAL SANTA LUCÍA, MUNICIPIO DE ILOPANGO</w:t>
      </w:r>
      <w:r w:rsidRPr="003D5F12">
        <w:rPr>
          <w:rFonts w:ascii="Arial" w:hAnsi="Arial" w:cs="Arial"/>
          <w:sz w:val="24"/>
          <w:szCs w:val="24"/>
          <w:lang w:val="es-MX"/>
        </w:rPr>
        <w:t xml:space="preserve">, en el marco de alerta roja en dicha área afectada por cárcava existente y acentuada por las lluvias tipo temporal ocurridas en el territorio nacional. El FSV para proporcionar atención oportuna a los clientes afectados con dicha problemática, ha identificado inicialmente a través del Área de Seguros 68 préstamos vigentes de inmuebles ubicados en la Residencial Santa Lucía, por lo que la Gerencia Técnica ha realizado un análisis de la situación de las garantías que respaldan los préstamos, mediante el establecimiento de un </w:t>
      </w:r>
      <w:r w:rsidRPr="003D5F12">
        <w:rPr>
          <w:rFonts w:ascii="Arial" w:hAnsi="Arial" w:cs="Arial"/>
          <w:sz w:val="24"/>
          <w:szCs w:val="24"/>
        </w:rPr>
        <w:t xml:space="preserve">radio de afectación de la cárcava; </w:t>
      </w:r>
      <w:r w:rsidRPr="003D5F12">
        <w:rPr>
          <w:rFonts w:ascii="Arial" w:hAnsi="Arial" w:cs="Arial"/>
          <w:sz w:val="24"/>
          <w:szCs w:val="24"/>
          <w:lang w:val="es-MX"/>
        </w:rPr>
        <w:t>y la Gerencia de Créditos ha establecido el impacto financiero a través de la propuesta de “</w:t>
      </w:r>
      <w:r w:rsidRPr="003D5F12">
        <w:rPr>
          <w:rFonts w:ascii="Arial" w:hAnsi="Arial" w:cs="Arial"/>
          <w:sz w:val="24"/>
          <w:szCs w:val="24"/>
          <w:lang w:val="pt-BR"/>
        </w:rPr>
        <w:t>SUSPENSION TEMPORAL DE PAGO DE CUOTAS DE AMORTIZACIÓN DE PRÉSTAMOS A AFECTADOS POR CÁRCAVA DE RESIDENCIAL SANTA LUCIA</w:t>
      </w:r>
      <w:r w:rsidRPr="003D5F12">
        <w:rPr>
          <w:rFonts w:ascii="Arial" w:hAnsi="Arial" w:cs="Arial"/>
          <w:sz w:val="24"/>
          <w:szCs w:val="24"/>
          <w:lang w:val="es-MX"/>
        </w:rPr>
        <w:t xml:space="preserve">, MUNICIPIO DE ILOPANGO”. Ésta consiste en la suspensión temporal del pago de capital, intereses, primas de seguro de daños y de deuda e IVA de dichas primas, por un período máximo de 12 meses, mediante la figura de reestructuración del crédito basada en la prolongación del plazo de pago de la obligación sin que se emita un nuevo documento contractual y sin que exista cambio de referencia del crédito (NCB-022, Art. 19 de las Normas para clasificar los activos de riesgo crediticio y constituir las reservas de saneamiento). Esta medida es </w:t>
      </w:r>
      <w:r w:rsidRPr="003D5F12">
        <w:rPr>
          <w:rFonts w:ascii="Arial" w:hAnsi="Arial" w:cs="Arial"/>
          <w:sz w:val="24"/>
          <w:szCs w:val="24"/>
        </w:rPr>
        <w:t xml:space="preserve">aplicable para los casos que los mutuos hipotecarios lo permitan, que corresponden a los créditos otorgados a partir del 21 de febrero de 2006. Para los mutuos hipotecarios anteriores, formalizados antes de esa fecha, la Gerencia Legal del FSV podrá brindar asesoría a los afectados, para la modificación de los mutuos hipotecarios, para que la medida también les sea aplicable. Indicó que, los valores correspondientes a las primas de seguros de daño y deuda e IVA de dichas primas correspondientes a esas cuotas que no se van a percibir temporalmente, serán pagados por el FSV y abonadas a cada préstamo mediante la cuenta “Reserva para cubrir deducibles y otros quebrantos” (81203003). Asimismo, se solicitó ampliar la cobertura con fondos de esta cuenta contable, para cubrir el complemento de alquileres emergentes para los deudores del FSV que han resultado afectados por la cárcava de la </w:t>
      </w:r>
      <w:r w:rsidRPr="003D5F12">
        <w:rPr>
          <w:rFonts w:ascii="Arial" w:hAnsi="Arial" w:cs="Arial"/>
          <w:sz w:val="24"/>
          <w:szCs w:val="24"/>
        </w:rPr>
        <w:lastRenderedPageBreak/>
        <w:t xml:space="preserve">mencionada residencial, hasta por un período de 12 meses. Expuso fotografías de la situación de la cárcava en Residencial Santa Lucía, Ilopango, señalándose que la Gerencia Técnica ha establecido un radio de afectación de la cárcava de 120 mts., afectando inicialmente entre 68 a 74 inmuebles con préstamos vigentes en el FSV; pero por las condiciones climatológicas generaría la posibilidad que aumente el número de casas afectadas gravadas con el FSV. Detalló las direcciones exactas de los 68 inmuebles afectados, y del radio de afectación de la cárcava, de conformidad con lo señalado en el documento que se anexa a la presente acta. Asimismo, presentó las CONDICIONES PARA APLICAR A LA SUSPENSIÓN TEMPORAL DE CUOTAS DE PAGO, así: </w:t>
      </w:r>
    </w:p>
    <w:p w14:paraId="41901C72" w14:textId="77777777" w:rsidR="003D5F12" w:rsidRPr="003D5F12" w:rsidRDefault="003D5F12" w:rsidP="003D5F12">
      <w:pPr>
        <w:numPr>
          <w:ilvl w:val="0"/>
          <w:numId w:val="6"/>
        </w:numPr>
        <w:jc w:val="both"/>
        <w:rPr>
          <w:rFonts w:ascii="Arial" w:hAnsi="Arial" w:cs="Arial"/>
        </w:rPr>
      </w:pPr>
      <w:r w:rsidRPr="003D5F12">
        <w:rPr>
          <w:rFonts w:ascii="Arial" w:hAnsi="Arial" w:cs="Arial"/>
        </w:rPr>
        <w:t xml:space="preserve">Exclusivo para deudores del FSV cuyos inmuebles estén ubicados dentro del radio de afectación de la cárcava, en la intersección de la Calle Principal y Avenida Santa Lucía, en Residencial Santa Lucía, Municipio de Ilopango. </w:t>
      </w:r>
    </w:p>
    <w:p w14:paraId="50A005BF" w14:textId="77777777" w:rsidR="003D5F12" w:rsidRPr="003D5F12" w:rsidRDefault="003D5F12" w:rsidP="003D5F12">
      <w:pPr>
        <w:numPr>
          <w:ilvl w:val="0"/>
          <w:numId w:val="6"/>
        </w:numPr>
        <w:jc w:val="both"/>
        <w:rPr>
          <w:rFonts w:ascii="Arial" w:hAnsi="Arial" w:cs="Arial"/>
        </w:rPr>
      </w:pPr>
      <w:r w:rsidRPr="003D5F12">
        <w:rPr>
          <w:rFonts w:ascii="Arial" w:hAnsi="Arial" w:cs="Arial"/>
        </w:rPr>
        <w:t>Solicitud firmada por parte del titular del préstamo hipotecario con el FSV o de su representante debidamente acreditado, manifestando el interés de aplicar a la medida. El FSV podrá brindar asesoría legal a afectados a través de la Gerencia Legal, cuando así lo soliciten.</w:t>
      </w:r>
    </w:p>
    <w:p w14:paraId="26096367" w14:textId="77777777" w:rsidR="003D5F12" w:rsidRPr="003D5F12" w:rsidRDefault="003D5F12" w:rsidP="003D5F12">
      <w:pPr>
        <w:numPr>
          <w:ilvl w:val="0"/>
          <w:numId w:val="6"/>
        </w:numPr>
        <w:jc w:val="both"/>
        <w:rPr>
          <w:rFonts w:ascii="Arial" w:hAnsi="Arial" w:cs="Arial"/>
        </w:rPr>
      </w:pPr>
      <w:r w:rsidRPr="003D5F12">
        <w:rPr>
          <w:rFonts w:ascii="Arial" w:hAnsi="Arial" w:cs="Arial"/>
        </w:rPr>
        <w:t>Para los casos que lo requieran, se suspenderá la Orden Irrevocable de Descuento (OID) por un período máximo de hasta 12 meses sin exceder del 31 de diciembre de 2020, con la fecha de vigencia de la suspensión y se deberá solicitar a las respectivas pagadurías la no aceptación de otras ordenes de descuento que afecten la disponibilidad de pago del deudor afectado.</w:t>
      </w:r>
    </w:p>
    <w:p w14:paraId="5137394A" w14:textId="77777777" w:rsidR="003D5F12" w:rsidRPr="003D5F12" w:rsidRDefault="003D5F12" w:rsidP="003D5F12">
      <w:pPr>
        <w:numPr>
          <w:ilvl w:val="0"/>
          <w:numId w:val="6"/>
        </w:numPr>
        <w:jc w:val="both"/>
        <w:rPr>
          <w:rFonts w:ascii="Arial" w:hAnsi="Arial" w:cs="Arial"/>
        </w:rPr>
      </w:pPr>
      <w:r w:rsidRPr="003D5F12">
        <w:rPr>
          <w:rFonts w:ascii="Arial" w:hAnsi="Arial" w:cs="Arial"/>
        </w:rPr>
        <w:t xml:space="preserve">Al finalizar el período de gracia de pago de capital e intereses, el deudor deberá continuar amortizando el préstamo en condiciones normales, y los pagos diferidos serán amortizados al final del plazo del préstamo, según Orden Irrevocable de Descuento original. </w:t>
      </w:r>
    </w:p>
    <w:p w14:paraId="4E9DA1AD" w14:textId="77777777" w:rsidR="003D5F12" w:rsidRPr="003D5F12" w:rsidRDefault="003D5F12" w:rsidP="003D5F12">
      <w:pPr>
        <w:numPr>
          <w:ilvl w:val="0"/>
          <w:numId w:val="6"/>
        </w:numPr>
        <w:jc w:val="both"/>
        <w:rPr>
          <w:rFonts w:ascii="Arial" w:hAnsi="Arial" w:cs="Arial"/>
        </w:rPr>
      </w:pPr>
      <w:r w:rsidRPr="003D5F12">
        <w:rPr>
          <w:rFonts w:ascii="Arial" w:hAnsi="Arial" w:cs="Arial"/>
        </w:rPr>
        <w:t xml:space="preserve">Los valores correspondientes a las primas de seguros de daño y deuda </w:t>
      </w:r>
      <w:r w:rsidRPr="003D5F12">
        <w:rPr>
          <w:rFonts w:ascii="Arial" w:hAnsi="Arial" w:cs="Arial"/>
          <w:lang w:val="es-MX"/>
        </w:rPr>
        <w:t xml:space="preserve">e IVA de dichas primas </w:t>
      </w:r>
      <w:r w:rsidRPr="003D5F12">
        <w:rPr>
          <w:rFonts w:ascii="Arial" w:hAnsi="Arial" w:cs="Arial"/>
        </w:rPr>
        <w:t>de las respectivas cuotas, se pagarán de la “Reserva para cubrir deducibles y otros quebrantos” (cuenta 81203003). Esta medida tiene validez para un solo período de gracia de pago de capital e intereses de hasta 12 meses.</w:t>
      </w:r>
    </w:p>
    <w:p w14:paraId="105042DE" w14:textId="77777777" w:rsidR="003D5F12" w:rsidRPr="003D5F12" w:rsidRDefault="003D5F12" w:rsidP="003D5F12">
      <w:pPr>
        <w:numPr>
          <w:ilvl w:val="0"/>
          <w:numId w:val="6"/>
        </w:numPr>
        <w:jc w:val="both"/>
        <w:rPr>
          <w:rFonts w:ascii="Arial" w:hAnsi="Arial" w:cs="Arial"/>
        </w:rPr>
      </w:pPr>
      <w:r w:rsidRPr="003D5F12">
        <w:rPr>
          <w:rFonts w:ascii="Arial" w:hAnsi="Arial" w:cs="Arial"/>
        </w:rPr>
        <w:t>El FSV podrá otorgarles un nuevo financiamiento para adquisición de vivienda en condiciones favorables de acuerdo a lo estipulado en la Política Crediticia y la normativa vigente.</w:t>
      </w:r>
    </w:p>
    <w:p w14:paraId="7221EA07" w14:textId="77777777" w:rsidR="003D5F12" w:rsidRPr="003D5F12" w:rsidRDefault="003D5F12" w:rsidP="003D5F12">
      <w:pPr>
        <w:numPr>
          <w:ilvl w:val="0"/>
          <w:numId w:val="6"/>
        </w:numPr>
        <w:jc w:val="both"/>
        <w:rPr>
          <w:rFonts w:ascii="Arial" w:hAnsi="Arial" w:cs="Arial"/>
        </w:rPr>
      </w:pPr>
      <w:r w:rsidRPr="003D5F12">
        <w:rPr>
          <w:rFonts w:ascii="Arial" w:hAnsi="Arial" w:cs="Arial"/>
        </w:rPr>
        <w:t xml:space="preserve">La propuesta de la </w:t>
      </w:r>
      <w:r w:rsidRPr="003D5F12">
        <w:rPr>
          <w:rFonts w:ascii="Arial" w:hAnsi="Arial" w:cs="Arial"/>
          <w:lang w:val="es-MX"/>
        </w:rPr>
        <w:t xml:space="preserve">“Suspensión Temporal de pago de capital, intereses y </w:t>
      </w:r>
      <w:r w:rsidRPr="003D5F12">
        <w:rPr>
          <w:rFonts w:ascii="Arial" w:hAnsi="Arial" w:cs="Arial"/>
        </w:rPr>
        <w:t xml:space="preserve">primas de seguros de daño y deuda </w:t>
      </w:r>
      <w:r w:rsidRPr="003D5F12">
        <w:rPr>
          <w:rFonts w:ascii="Arial" w:hAnsi="Arial" w:cs="Arial"/>
          <w:lang w:val="es-MX"/>
        </w:rPr>
        <w:t>e IVA de dichas primas”, tendrá vigencia desde su aprobación hasta un período máximo de doce meses sin exceder del 31 de diciembre de 2020</w:t>
      </w:r>
      <w:r w:rsidRPr="003D5F12">
        <w:rPr>
          <w:rFonts w:ascii="Arial" w:hAnsi="Arial" w:cs="Arial"/>
        </w:rPr>
        <w:t>, esta seguirá siendo aplicable en los casos que los mutuos hipotecarios lo permitan y que correspondan a los créditos otorgados a partir del año 2006 y los anteriores quedará sujetos a revisión por parte de la Gerencia Legal.</w:t>
      </w:r>
    </w:p>
    <w:p w14:paraId="1A1C1544" w14:textId="77777777" w:rsidR="003D5F12" w:rsidRPr="003D5F12" w:rsidRDefault="003D5F12" w:rsidP="003D5F12">
      <w:pPr>
        <w:jc w:val="both"/>
        <w:rPr>
          <w:rFonts w:ascii="Arial" w:hAnsi="Arial" w:cs="Arial"/>
        </w:rPr>
      </w:pPr>
      <w:r w:rsidRPr="003D5F12">
        <w:rPr>
          <w:rFonts w:ascii="Arial" w:hAnsi="Arial" w:cs="Arial"/>
          <w:bCs/>
        </w:rPr>
        <w:t>Además, listó las acciones realizadas por el Área de Seguros del FSV, según el siguiente detalle:</w:t>
      </w:r>
    </w:p>
    <w:p w14:paraId="42689BF5" w14:textId="77777777" w:rsidR="003D5F12" w:rsidRPr="003D5F12" w:rsidRDefault="003D5F12" w:rsidP="003D5F12">
      <w:pPr>
        <w:numPr>
          <w:ilvl w:val="0"/>
          <w:numId w:val="7"/>
        </w:numPr>
        <w:jc w:val="both"/>
        <w:rPr>
          <w:rFonts w:ascii="Arial" w:hAnsi="Arial" w:cs="Arial"/>
        </w:rPr>
      </w:pPr>
      <w:r w:rsidRPr="003D5F12">
        <w:rPr>
          <w:rFonts w:ascii="Arial" w:hAnsi="Arial" w:cs="Arial"/>
        </w:rPr>
        <w:t>Se están efectuando inspecciones diarias de la zona afectada.</w:t>
      </w:r>
    </w:p>
    <w:p w14:paraId="4233E011" w14:textId="77777777" w:rsidR="003D5F12" w:rsidRPr="003D5F12" w:rsidRDefault="003D5F12" w:rsidP="003D5F12">
      <w:pPr>
        <w:numPr>
          <w:ilvl w:val="0"/>
          <w:numId w:val="7"/>
        </w:numPr>
        <w:jc w:val="both"/>
        <w:rPr>
          <w:rFonts w:ascii="Arial" w:hAnsi="Arial" w:cs="Arial"/>
        </w:rPr>
      </w:pPr>
      <w:r w:rsidRPr="003D5F12">
        <w:rPr>
          <w:rFonts w:ascii="Arial" w:hAnsi="Arial" w:cs="Arial"/>
        </w:rPr>
        <w:t>Con la Declaratoria de Emergencia emitida por la Dirección General de Protección Civil, Prevención y Mitigación de Desastres, se identifican y presentan los reclamos de los inmuebles afectados a la compañía aseguradora MAPFRE Seguros El Salvador.</w:t>
      </w:r>
    </w:p>
    <w:p w14:paraId="5B27D2C0" w14:textId="77777777" w:rsidR="003D5F12" w:rsidRPr="003D5F12" w:rsidRDefault="003D5F12" w:rsidP="003D5F12">
      <w:pPr>
        <w:numPr>
          <w:ilvl w:val="0"/>
          <w:numId w:val="7"/>
        </w:numPr>
        <w:jc w:val="both"/>
        <w:rPr>
          <w:rFonts w:ascii="Arial" w:hAnsi="Arial" w:cs="Arial"/>
        </w:rPr>
      </w:pPr>
      <w:r w:rsidRPr="003D5F12">
        <w:rPr>
          <w:rFonts w:ascii="Arial" w:hAnsi="Arial" w:cs="Arial"/>
        </w:rPr>
        <w:t>Los beneficios que se estarían gestionando con la aseguradora, como parte de las soluciones a los clientes afectados son:</w:t>
      </w:r>
    </w:p>
    <w:p w14:paraId="21CD0324" w14:textId="77777777" w:rsidR="003D5F12" w:rsidRPr="003D5F12" w:rsidRDefault="003D5F12" w:rsidP="003D5F12">
      <w:pPr>
        <w:numPr>
          <w:ilvl w:val="1"/>
          <w:numId w:val="4"/>
        </w:numPr>
        <w:jc w:val="both"/>
        <w:rPr>
          <w:rFonts w:ascii="Arial" w:hAnsi="Arial" w:cs="Arial"/>
        </w:rPr>
      </w:pPr>
      <w:r w:rsidRPr="003D5F12">
        <w:rPr>
          <w:rFonts w:ascii="Arial" w:hAnsi="Arial" w:cs="Arial"/>
        </w:rPr>
        <w:lastRenderedPageBreak/>
        <w:t>Pago en concepto de alquiler emergente por un período máximo de 6 meses, cuyo monto es de acuerdo a la cuota del préstamo y un monto fijo de $60.00 en concepto de menaje (transporte) para el desalojo del inmueble.</w:t>
      </w:r>
    </w:p>
    <w:p w14:paraId="50FE4B6D" w14:textId="77777777" w:rsidR="003D5F12" w:rsidRPr="003D5F12" w:rsidRDefault="003D5F12" w:rsidP="003D5F12">
      <w:pPr>
        <w:numPr>
          <w:ilvl w:val="1"/>
          <w:numId w:val="4"/>
        </w:numPr>
        <w:jc w:val="both"/>
        <w:rPr>
          <w:rFonts w:ascii="Arial" w:hAnsi="Arial" w:cs="Arial"/>
        </w:rPr>
      </w:pPr>
      <w:r w:rsidRPr="003D5F12">
        <w:rPr>
          <w:rFonts w:ascii="Arial" w:hAnsi="Arial" w:cs="Arial"/>
        </w:rPr>
        <w:t>En caso de pérdida total, la compañía de seguros pagará el valor de la construcción de la vivienda; luego se procede por parte del Área de Seguros a promover la dación en pago en caso el préstamo resulte con saldos pendientes de pago.</w:t>
      </w:r>
    </w:p>
    <w:p w14:paraId="46A07C26" w14:textId="77777777" w:rsidR="003D5F12" w:rsidRPr="003D5F12" w:rsidRDefault="003D5F12" w:rsidP="003D5F12">
      <w:pPr>
        <w:numPr>
          <w:ilvl w:val="1"/>
          <w:numId w:val="4"/>
        </w:numPr>
        <w:jc w:val="both"/>
        <w:rPr>
          <w:rFonts w:ascii="Arial" w:hAnsi="Arial" w:cs="Arial"/>
        </w:rPr>
      </w:pPr>
      <w:r w:rsidRPr="003D5F12">
        <w:rPr>
          <w:rFonts w:ascii="Arial" w:hAnsi="Arial" w:cs="Arial"/>
        </w:rPr>
        <w:t>Las viviendas dañadas que no sean declaradas como pérdida total la compañía de seguros, pagara los daños y de ser necesario se pagara alquiler emergente hasta 6 meses.</w:t>
      </w:r>
    </w:p>
    <w:p w14:paraId="15C798B2" w14:textId="77777777" w:rsidR="003D5F12" w:rsidRPr="003D5F12" w:rsidRDefault="003D5F12" w:rsidP="003D5F12">
      <w:pPr>
        <w:jc w:val="both"/>
        <w:rPr>
          <w:rFonts w:ascii="Arial" w:hAnsi="Arial" w:cs="Arial"/>
        </w:rPr>
      </w:pPr>
      <w:r w:rsidRPr="003D5F12">
        <w:rPr>
          <w:rFonts w:ascii="Arial" w:hAnsi="Arial" w:cs="Arial"/>
          <w:bCs/>
        </w:rPr>
        <w:t>Sobre la situación de la cartera al 30 de septiembre de 2019, de los préstamos con garantía, ubicadas en la Residencial Santa Lucia, Ilopango, señaló que</w:t>
      </w:r>
      <w:r w:rsidRPr="003D5F12">
        <w:rPr>
          <w:rFonts w:ascii="Arial" w:hAnsi="Arial" w:cs="Arial"/>
        </w:rPr>
        <w:t xml:space="preserve">, </w:t>
      </w:r>
      <w:r w:rsidRPr="003D5F12">
        <w:rPr>
          <w:rFonts w:ascii="Arial" w:hAnsi="Arial" w:cs="Arial"/>
          <w:u w:val="single"/>
        </w:rPr>
        <w:t>inicialmente</w:t>
      </w:r>
      <w:r w:rsidRPr="003D5F12">
        <w:rPr>
          <w:rFonts w:ascii="Arial" w:hAnsi="Arial" w:cs="Arial"/>
        </w:rPr>
        <w:t xml:space="preserve"> han sido afectados por la cárcava, 68 viviendas, por un monto de $664,089.05, según presentó en detalle.</w:t>
      </w:r>
    </w:p>
    <w:p w14:paraId="5FFEBC08" w14:textId="77777777" w:rsidR="00AE2719" w:rsidRDefault="003D5F12" w:rsidP="003D5F12">
      <w:pPr>
        <w:jc w:val="both"/>
        <w:rPr>
          <w:rFonts w:ascii="Arial" w:hAnsi="Arial" w:cs="Arial"/>
        </w:rPr>
      </w:pPr>
      <w:r w:rsidRPr="003D5F12">
        <w:rPr>
          <w:rFonts w:ascii="Arial" w:hAnsi="Arial" w:cs="Arial"/>
        </w:rPr>
        <w:t>El Licenciado René Cuéllar Marenco, Gerente de Finanzas,</w:t>
      </w:r>
    </w:p>
    <w:p w14:paraId="3B070FF8" w14:textId="68903FBB" w:rsidR="00AE2719" w:rsidRDefault="00AE2719" w:rsidP="003D5F12">
      <w:pPr>
        <w:jc w:val="both"/>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14:anchorId="00E9DD27" wp14:editId="572B5A6B">
                <wp:simplePos x="0" y="0"/>
                <wp:positionH relativeFrom="column">
                  <wp:posOffset>1838325</wp:posOffset>
                </wp:positionH>
                <wp:positionV relativeFrom="paragraph">
                  <wp:posOffset>130810</wp:posOffset>
                </wp:positionV>
                <wp:extent cx="2705100" cy="370522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2705100" cy="3705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463E01"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44.75pt,10.3pt" to="357.75pt,30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" strokecolor="#5b9bd5 [3204]" strokeweight=".5pt">
                <v:stroke joinstyle="miter"/>
              </v:line>
            </w:pict>
          </mc:Fallback>
        </mc:AlternateContent>
      </w:r>
    </w:p>
    <w:p w14:paraId="2945F6AB" w14:textId="77777777" w:rsidR="00AE2719" w:rsidRDefault="00AE2719" w:rsidP="003D5F12">
      <w:pPr>
        <w:jc w:val="both"/>
        <w:rPr>
          <w:rFonts w:ascii="Arial" w:hAnsi="Arial" w:cs="Arial"/>
        </w:rPr>
      </w:pPr>
    </w:p>
    <w:p w14:paraId="45AB15AE" w14:textId="77777777" w:rsidR="00AE2719" w:rsidRDefault="00AE2719" w:rsidP="003D5F12">
      <w:pPr>
        <w:jc w:val="both"/>
        <w:rPr>
          <w:rFonts w:ascii="Arial" w:hAnsi="Arial" w:cs="Arial"/>
        </w:rPr>
      </w:pPr>
    </w:p>
    <w:p w14:paraId="6A3B7127" w14:textId="77777777" w:rsidR="00AE2719" w:rsidRDefault="00AE2719" w:rsidP="003D5F12">
      <w:pPr>
        <w:jc w:val="both"/>
        <w:rPr>
          <w:rFonts w:ascii="Arial" w:hAnsi="Arial" w:cs="Arial"/>
        </w:rPr>
      </w:pPr>
    </w:p>
    <w:p w14:paraId="5681062B" w14:textId="77777777" w:rsidR="00AE2719" w:rsidRDefault="00AE2719" w:rsidP="003D5F12">
      <w:pPr>
        <w:jc w:val="both"/>
        <w:rPr>
          <w:rFonts w:ascii="Arial" w:hAnsi="Arial" w:cs="Arial"/>
        </w:rPr>
      </w:pPr>
    </w:p>
    <w:p w14:paraId="73C80381" w14:textId="77777777" w:rsidR="00AE2719" w:rsidRDefault="00AE2719" w:rsidP="003D5F12">
      <w:pPr>
        <w:jc w:val="both"/>
        <w:rPr>
          <w:rFonts w:ascii="Arial" w:hAnsi="Arial" w:cs="Arial"/>
        </w:rPr>
      </w:pPr>
    </w:p>
    <w:p w14:paraId="0F51F516" w14:textId="77777777" w:rsidR="00AE2719" w:rsidRDefault="00AE2719" w:rsidP="003D5F12">
      <w:pPr>
        <w:jc w:val="both"/>
        <w:rPr>
          <w:rFonts w:ascii="Arial" w:hAnsi="Arial" w:cs="Arial"/>
        </w:rPr>
      </w:pPr>
    </w:p>
    <w:p w14:paraId="22733F3E" w14:textId="77777777" w:rsidR="00AE2719" w:rsidRDefault="00AE2719" w:rsidP="003D5F12">
      <w:pPr>
        <w:jc w:val="both"/>
        <w:rPr>
          <w:rFonts w:ascii="Arial" w:hAnsi="Arial" w:cs="Arial"/>
        </w:rPr>
      </w:pPr>
    </w:p>
    <w:p w14:paraId="5E0771C2" w14:textId="77777777" w:rsidR="00AE2719" w:rsidRDefault="00AE2719" w:rsidP="003D5F12">
      <w:pPr>
        <w:jc w:val="both"/>
        <w:rPr>
          <w:rFonts w:ascii="Arial" w:hAnsi="Arial" w:cs="Arial"/>
        </w:rPr>
      </w:pPr>
    </w:p>
    <w:p w14:paraId="55E2301A" w14:textId="77777777" w:rsidR="00AE2719" w:rsidRDefault="00AE2719" w:rsidP="003D5F12">
      <w:pPr>
        <w:jc w:val="both"/>
        <w:rPr>
          <w:rFonts w:ascii="Arial" w:hAnsi="Arial" w:cs="Arial"/>
        </w:rPr>
      </w:pPr>
    </w:p>
    <w:p w14:paraId="2AD65AF1" w14:textId="77777777" w:rsidR="00AE2719" w:rsidRDefault="00AE2719" w:rsidP="003D5F12">
      <w:pPr>
        <w:jc w:val="both"/>
        <w:rPr>
          <w:rFonts w:ascii="Arial" w:hAnsi="Arial" w:cs="Arial"/>
        </w:rPr>
      </w:pPr>
    </w:p>
    <w:p w14:paraId="4499C930" w14:textId="77777777" w:rsidR="00AE2719" w:rsidRDefault="00AE2719" w:rsidP="003D5F12">
      <w:pPr>
        <w:jc w:val="both"/>
        <w:rPr>
          <w:rFonts w:ascii="Arial" w:hAnsi="Arial" w:cs="Arial"/>
        </w:rPr>
      </w:pPr>
    </w:p>
    <w:p w14:paraId="48254577" w14:textId="77777777" w:rsidR="00AE2719" w:rsidRDefault="00AE2719" w:rsidP="003D5F12">
      <w:pPr>
        <w:jc w:val="both"/>
        <w:rPr>
          <w:rFonts w:ascii="Arial" w:hAnsi="Arial" w:cs="Arial"/>
        </w:rPr>
      </w:pPr>
    </w:p>
    <w:p w14:paraId="275204FD" w14:textId="77777777" w:rsidR="00AE2719" w:rsidRDefault="00AE2719" w:rsidP="003D5F12">
      <w:pPr>
        <w:jc w:val="both"/>
        <w:rPr>
          <w:rFonts w:ascii="Arial" w:hAnsi="Arial" w:cs="Arial"/>
        </w:rPr>
      </w:pPr>
    </w:p>
    <w:p w14:paraId="6BC92ABC" w14:textId="77777777" w:rsidR="00AE2719" w:rsidRDefault="00AE2719" w:rsidP="003D5F12">
      <w:pPr>
        <w:jc w:val="both"/>
        <w:rPr>
          <w:rFonts w:ascii="Arial" w:hAnsi="Arial" w:cs="Arial"/>
        </w:rPr>
      </w:pPr>
    </w:p>
    <w:p w14:paraId="0BDF6C4F" w14:textId="77777777" w:rsidR="00AE2719" w:rsidRDefault="00AE2719" w:rsidP="003D5F12">
      <w:pPr>
        <w:jc w:val="both"/>
        <w:rPr>
          <w:rFonts w:ascii="Arial" w:hAnsi="Arial" w:cs="Arial"/>
        </w:rPr>
      </w:pPr>
    </w:p>
    <w:p w14:paraId="710BD93B" w14:textId="77777777" w:rsidR="00AE2719" w:rsidRDefault="00AE2719" w:rsidP="003D5F12">
      <w:pPr>
        <w:jc w:val="both"/>
        <w:rPr>
          <w:rFonts w:ascii="Arial" w:hAnsi="Arial" w:cs="Arial"/>
        </w:rPr>
      </w:pPr>
    </w:p>
    <w:p w14:paraId="1894DA22" w14:textId="77777777" w:rsidR="00AE2719" w:rsidRDefault="00AE2719" w:rsidP="003D5F12">
      <w:pPr>
        <w:jc w:val="both"/>
        <w:rPr>
          <w:rFonts w:ascii="Arial" w:hAnsi="Arial" w:cs="Arial"/>
        </w:rPr>
      </w:pPr>
    </w:p>
    <w:p w14:paraId="700BD7DA" w14:textId="77777777" w:rsidR="00AE2719" w:rsidRDefault="00AE2719" w:rsidP="003D5F12">
      <w:pPr>
        <w:jc w:val="both"/>
        <w:rPr>
          <w:rFonts w:ascii="Arial" w:hAnsi="Arial" w:cs="Arial"/>
        </w:rPr>
      </w:pPr>
    </w:p>
    <w:p w14:paraId="618C4F44" w14:textId="77777777" w:rsidR="00AE2719" w:rsidRDefault="00AE2719" w:rsidP="003D5F12">
      <w:pPr>
        <w:jc w:val="both"/>
        <w:rPr>
          <w:rFonts w:ascii="Arial" w:hAnsi="Arial" w:cs="Arial"/>
        </w:rPr>
      </w:pPr>
    </w:p>
    <w:p w14:paraId="462983FF" w14:textId="77777777" w:rsidR="00AE2719" w:rsidRDefault="00AE2719" w:rsidP="003D5F12">
      <w:pPr>
        <w:jc w:val="both"/>
        <w:rPr>
          <w:rFonts w:ascii="Arial" w:hAnsi="Arial" w:cs="Arial"/>
        </w:rPr>
      </w:pPr>
      <w:r>
        <w:rPr>
          <w:rFonts w:ascii="Arial" w:hAnsi="Arial" w:cs="Arial"/>
        </w:rPr>
        <w:t xml:space="preserve">                       </w:t>
      </w:r>
    </w:p>
    <w:p w14:paraId="0B99D6A4" w14:textId="77777777" w:rsidR="00AE2719" w:rsidRDefault="00AE2719" w:rsidP="003D5F12">
      <w:pPr>
        <w:jc w:val="both"/>
        <w:rPr>
          <w:rFonts w:ascii="Arial" w:hAnsi="Arial" w:cs="Arial"/>
        </w:rPr>
      </w:pPr>
    </w:p>
    <w:p w14:paraId="5949977D" w14:textId="77777777" w:rsidR="00AE2719" w:rsidRDefault="00AE2719" w:rsidP="003D5F12">
      <w:pPr>
        <w:jc w:val="both"/>
        <w:rPr>
          <w:rFonts w:ascii="Arial" w:hAnsi="Arial" w:cs="Arial"/>
        </w:rPr>
      </w:pPr>
    </w:p>
    <w:p w14:paraId="2539A4CE" w14:textId="180096AD" w:rsidR="003D5F12" w:rsidRPr="003D5F12" w:rsidRDefault="00AE2719" w:rsidP="003D5F12">
      <w:pPr>
        <w:jc w:val="both"/>
        <w:rPr>
          <w:rFonts w:ascii="Arial" w:hAnsi="Arial" w:cs="Arial"/>
          <w:b/>
        </w:rPr>
      </w:pPr>
      <w:r>
        <w:rPr>
          <w:rFonts w:ascii="Arial" w:hAnsi="Arial" w:cs="Arial"/>
        </w:rPr>
        <w:t xml:space="preserve">                                     </w:t>
      </w:r>
      <w:r w:rsidR="003D5F12" w:rsidRPr="003D5F12">
        <w:rPr>
          <w:rFonts w:ascii="Arial" w:hAnsi="Arial" w:cs="Arial"/>
        </w:rPr>
        <w:t xml:space="preserve"> Luego de la exposición sobre el caso de los afectados de la Residencial Santa Lucia, Ilopango, se solicita a Junta Directiva, autorizar la propuesta, de conformidad con lo indicado en el documento que se anexa a la presente acta. La Asamblea</w:t>
      </w:r>
      <w:r w:rsidR="003D5F12" w:rsidRPr="003D5F12">
        <w:rPr>
          <w:rFonts w:ascii="Arial" w:hAnsi="Arial" w:cs="Arial"/>
          <w:lang w:val="es-MX"/>
        </w:rPr>
        <w:t xml:space="preserve"> de Gobernadores</w:t>
      </w:r>
      <w:r w:rsidR="003D5F12" w:rsidRPr="003D5F12">
        <w:rPr>
          <w:rFonts w:ascii="Arial" w:hAnsi="Arial" w:cs="Arial"/>
        </w:rPr>
        <w:t xml:space="preserve">, luego de conocer la solicitud presentada por el Ingeniero Luis Gilberto Barahona, Gerente de </w:t>
      </w:r>
      <w:r w:rsidR="003D5F12" w:rsidRPr="003D5F12">
        <w:rPr>
          <w:rFonts w:ascii="Arial" w:hAnsi="Arial" w:cs="Arial"/>
          <w:lang w:val="es-MX"/>
        </w:rPr>
        <w:t>Créditos</w:t>
      </w:r>
      <w:r w:rsidR="003D5F12" w:rsidRPr="003D5F12">
        <w:rPr>
          <w:rFonts w:ascii="Arial" w:hAnsi="Arial" w:cs="Arial"/>
        </w:rPr>
        <w:t xml:space="preserve">, acompañado del </w:t>
      </w:r>
      <w:r w:rsidR="003D5F12" w:rsidRPr="003D5F12">
        <w:rPr>
          <w:rFonts w:ascii="Arial" w:hAnsi="Arial" w:cs="Arial"/>
          <w:lang w:val="es-MX"/>
        </w:rPr>
        <w:t>Licenciado René Cuéllar Marenco, Gerente de Finanzas y del Ingeniero Carlos Mario Rivas Granados, Gerente Técnico</w:t>
      </w:r>
      <w:r w:rsidR="003D5F12" w:rsidRPr="003D5F12">
        <w:rPr>
          <w:rFonts w:ascii="Arial" w:hAnsi="Arial" w:cs="Arial"/>
        </w:rPr>
        <w:t xml:space="preserve">, por unanimidad </w:t>
      </w:r>
      <w:r w:rsidR="003D5F12" w:rsidRPr="003D5F12">
        <w:rPr>
          <w:rFonts w:ascii="Arial" w:hAnsi="Arial" w:cs="Arial"/>
          <w:b/>
        </w:rPr>
        <w:t>ACUERDA:</w:t>
      </w:r>
    </w:p>
    <w:p w14:paraId="2F7438E5" w14:textId="77777777" w:rsidR="003D5F12" w:rsidRPr="003D5F12" w:rsidRDefault="003D5F12" w:rsidP="003D5F12">
      <w:pPr>
        <w:tabs>
          <w:tab w:val="left" w:pos="851"/>
        </w:tabs>
        <w:jc w:val="both"/>
        <w:textAlignment w:val="baseline"/>
        <w:rPr>
          <w:rFonts w:ascii="Arial" w:hAnsi="Arial" w:cs="Arial"/>
          <w:b/>
        </w:rPr>
      </w:pPr>
    </w:p>
    <w:p w14:paraId="18B77CAA" w14:textId="77777777" w:rsidR="003D5F12" w:rsidRPr="003D5F12" w:rsidRDefault="003D5F12" w:rsidP="003D5F12">
      <w:pPr>
        <w:numPr>
          <w:ilvl w:val="0"/>
          <w:numId w:val="5"/>
        </w:numPr>
        <w:tabs>
          <w:tab w:val="left" w:pos="698"/>
        </w:tabs>
        <w:jc w:val="both"/>
        <w:rPr>
          <w:rFonts w:ascii="Arial" w:hAnsi="Arial" w:cs="Arial"/>
        </w:rPr>
      </w:pPr>
      <w:r w:rsidRPr="003D5F12">
        <w:rPr>
          <w:rFonts w:ascii="Arial" w:hAnsi="Arial" w:cs="Arial"/>
        </w:rPr>
        <w:t xml:space="preserve">Autorizar la propuesta de </w:t>
      </w:r>
      <w:r w:rsidRPr="003D5F12">
        <w:rPr>
          <w:rFonts w:ascii="Arial" w:hAnsi="Arial" w:cs="Arial"/>
          <w:lang w:val="es-MX"/>
        </w:rPr>
        <w:t>“</w:t>
      </w:r>
      <w:r w:rsidRPr="003D5F12">
        <w:rPr>
          <w:rFonts w:ascii="Arial" w:hAnsi="Arial" w:cs="Arial"/>
          <w:lang w:val="pt-BR"/>
        </w:rPr>
        <w:t>SUSPENSION TEMPORAL DE PAGO DE CUOTAS DE AMORTIZACIÓN DE PRÉSTAMOS A AFECTADOS POR CÁRCAVA DE RESIDENCIAL SANTA LUCIA</w:t>
      </w:r>
      <w:r w:rsidRPr="003D5F12">
        <w:rPr>
          <w:rFonts w:ascii="Arial" w:hAnsi="Arial" w:cs="Arial"/>
          <w:lang w:val="es-MX"/>
        </w:rPr>
        <w:t xml:space="preserve">, MUNICIPIO DE ILOPANGO”, </w:t>
      </w:r>
      <w:r w:rsidRPr="003D5F12">
        <w:rPr>
          <w:rFonts w:ascii="Arial" w:hAnsi="Arial" w:cs="Arial"/>
        </w:rPr>
        <w:t xml:space="preserve">en los términos y condiciones expuestos en esta presentación, atendiendo </w:t>
      </w:r>
      <w:r w:rsidRPr="003D5F12">
        <w:rPr>
          <w:rFonts w:ascii="Arial" w:hAnsi="Arial" w:cs="Arial"/>
          <w:u w:val="single"/>
        </w:rPr>
        <w:t>inicialmente</w:t>
      </w:r>
      <w:r w:rsidRPr="003D5F12">
        <w:rPr>
          <w:rFonts w:ascii="Arial" w:hAnsi="Arial" w:cs="Arial"/>
        </w:rPr>
        <w:t xml:space="preserve"> de 68 a 74 propietarios de inmuebles con </w:t>
      </w:r>
      <w:r w:rsidRPr="003D5F12">
        <w:rPr>
          <w:rFonts w:ascii="Arial" w:hAnsi="Arial" w:cs="Arial"/>
        </w:rPr>
        <w:lastRenderedPageBreak/>
        <w:t>préstamos vigentes en el FSV; los cuales podrán variar de acuerdo a actualización del radio de afectación establecido por la Gerencia Técnica del FSV o por parte de otros organismos competentes.</w:t>
      </w:r>
    </w:p>
    <w:p w14:paraId="52364692" w14:textId="77777777" w:rsidR="003D5F12" w:rsidRPr="003D5F12" w:rsidRDefault="003D5F12" w:rsidP="003D5F12">
      <w:pPr>
        <w:tabs>
          <w:tab w:val="left" w:pos="698"/>
        </w:tabs>
        <w:ind w:left="360"/>
        <w:jc w:val="both"/>
        <w:rPr>
          <w:rFonts w:ascii="Arial" w:hAnsi="Arial" w:cs="Arial"/>
        </w:rPr>
      </w:pPr>
    </w:p>
    <w:p w14:paraId="073E2D74" w14:textId="77777777" w:rsidR="003D5F12" w:rsidRPr="003D5F12" w:rsidRDefault="003D5F12" w:rsidP="003D5F12">
      <w:pPr>
        <w:numPr>
          <w:ilvl w:val="0"/>
          <w:numId w:val="5"/>
        </w:numPr>
        <w:tabs>
          <w:tab w:val="left" w:pos="698"/>
        </w:tabs>
        <w:jc w:val="both"/>
        <w:rPr>
          <w:rFonts w:ascii="Arial" w:hAnsi="Arial" w:cs="Arial"/>
        </w:rPr>
      </w:pPr>
      <w:r w:rsidRPr="003D5F12">
        <w:rPr>
          <w:rFonts w:ascii="Arial" w:hAnsi="Arial" w:cs="Arial"/>
        </w:rPr>
        <w:t xml:space="preserve">Autorizar que la medida señalada en el literal A) del presente acuerdo, entre en vigencia, </w:t>
      </w:r>
      <w:r w:rsidRPr="003D5F12">
        <w:rPr>
          <w:rFonts w:ascii="Arial" w:hAnsi="Arial" w:cs="Arial"/>
          <w:lang w:val="es-MX"/>
        </w:rPr>
        <w:t>desde el 18 de octubre de 2019 hasta por un período máximo de doce meses, sin exceder del 31 de diciembre de 2020</w:t>
      </w:r>
      <w:r w:rsidRPr="003D5F12">
        <w:rPr>
          <w:rFonts w:ascii="Arial" w:hAnsi="Arial" w:cs="Arial"/>
        </w:rPr>
        <w:t>.</w:t>
      </w:r>
    </w:p>
    <w:p w14:paraId="77626985" w14:textId="77777777" w:rsidR="003D5F12" w:rsidRPr="003D5F12" w:rsidRDefault="003D5F12" w:rsidP="003D5F12">
      <w:pPr>
        <w:tabs>
          <w:tab w:val="left" w:pos="698"/>
        </w:tabs>
        <w:ind w:left="360"/>
        <w:jc w:val="both"/>
        <w:rPr>
          <w:rFonts w:ascii="Arial" w:hAnsi="Arial" w:cs="Arial"/>
        </w:rPr>
      </w:pPr>
    </w:p>
    <w:p w14:paraId="1576FDDE" w14:textId="0A023E52" w:rsidR="003D5F12" w:rsidRPr="003D5F12" w:rsidRDefault="003D5F12" w:rsidP="003D5F12">
      <w:pPr>
        <w:numPr>
          <w:ilvl w:val="0"/>
          <w:numId w:val="5"/>
        </w:numPr>
        <w:tabs>
          <w:tab w:val="left" w:pos="698"/>
        </w:tabs>
        <w:jc w:val="both"/>
        <w:rPr>
          <w:rFonts w:ascii="Arial" w:hAnsi="Arial" w:cs="Arial"/>
        </w:rPr>
      </w:pPr>
      <w:r w:rsidRPr="003D5F12">
        <w:rPr>
          <w:rFonts w:ascii="Arial" w:hAnsi="Arial" w:cs="Arial"/>
        </w:rPr>
        <w:t xml:space="preserve">Autorizar que los valores correspondientes a las primas de seguros de daño y deuda </w:t>
      </w:r>
      <w:r w:rsidRPr="003D5F12">
        <w:rPr>
          <w:rFonts w:ascii="Arial" w:hAnsi="Arial" w:cs="Arial"/>
          <w:lang w:val="es-MX"/>
        </w:rPr>
        <w:t xml:space="preserve">e IVA de dichas primas </w:t>
      </w:r>
      <w:r w:rsidRPr="003D5F12">
        <w:rPr>
          <w:rFonts w:ascii="Arial" w:hAnsi="Arial" w:cs="Arial"/>
        </w:rPr>
        <w:t xml:space="preserve">de las respectivas cuotas, se paguen de la “Reserva para cubrir deducibles y otros quebrantos” (cuenta </w:t>
      </w:r>
      <w:r w:rsidR="00AE2719">
        <w:rPr>
          <w:rFonts w:ascii="Arial" w:hAnsi="Arial" w:cs="Arial"/>
        </w:rPr>
        <w:t>____________________</w:t>
      </w:r>
      <w:r w:rsidRPr="003D5F12">
        <w:rPr>
          <w:rFonts w:ascii="Arial" w:hAnsi="Arial" w:cs="Arial"/>
        </w:rPr>
        <w:t>) con validez hasta el 31 de diciembre de 2020.</w:t>
      </w:r>
    </w:p>
    <w:p w14:paraId="10F5EC84" w14:textId="77777777" w:rsidR="003D5F12" w:rsidRPr="003D5F12" w:rsidRDefault="003D5F12" w:rsidP="003D5F12">
      <w:pPr>
        <w:tabs>
          <w:tab w:val="left" w:pos="698"/>
        </w:tabs>
        <w:ind w:left="360"/>
        <w:jc w:val="both"/>
        <w:rPr>
          <w:rFonts w:ascii="Arial" w:hAnsi="Arial" w:cs="Arial"/>
        </w:rPr>
      </w:pPr>
    </w:p>
    <w:p w14:paraId="457F46A4" w14:textId="17DB2F76" w:rsidR="003D5F12" w:rsidRPr="003D5F12" w:rsidRDefault="003D5F12" w:rsidP="003D5F12">
      <w:pPr>
        <w:numPr>
          <w:ilvl w:val="0"/>
          <w:numId w:val="5"/>
        </w:numPr>
        <w:tabs>
          <w:tab w:val="left" w:pos="698"/>
        </w:tabs>
        <w:jc w:val="both"/>
        <w:rPr>
          <w:rFonts w:ascii="Arial" w:hAnsi="Arial" w:cs="Arial"/>
        </w:rPr>
      </w:pPr>
      <w:r w:rsidRPr="003D5F12">
        <w:rPr>
          <w:rFonts w:ascii="Arial" w:hAnsi="Arial" w:cs="Arial"/>
        </w:rPr>
        <w:t xml:space="preserve">Autorizar que la Gerencia de Finanzas pueda emitir pagos de alquileres emergentes por adelantado, debidamente justificados y registrarlos en la cuenta </w:t>
      </w:r>
      <w:r w:rsidR="00AE2719">
        <w:rPr>
          <w:rFonts w:ascii="Arial" w:hAnsi="Arial" w:cs="Arial"/>
        </w:rPr>
        <w:t>________________________________________________________________________</w:t>
      </w:r>
    </w:p>
    <w:p w14:paraId="3EC5CE61" w14:textId="77777777" w:rsidR="003D5F12" w:rsidRPr="003D5F12" w:rsidRDefault="003D5F12" w:rsidP="003D5F12">
      <w:pPr>
        <w:pStyle w:val="Prrafodelista"/>
        <w:rPr>
          <w:rFonts w:ascii="Arial" w:hAnsi="Arial" w:cs="Arial"/>
        </w:rPr>
      </w:pPr>
    </w:p>
    <w:p w14:paraId="458B400C" w14:textId="77777777" w:rsidR="003D5F12" w:rsidRPr="003D5F12" w:rsidRDefault="003D5F12" w:rsidP="003D5F12">
      <w:pPr>
        <w:numPr>
          <w:ilvl w:val="0"/>
          <w:numId w:val="5"/>
        </w:numPr>
        <w:tabs>
          <w:tab w:val="left" w:pos="698"/>
        </w:tabs>
        <w:jc w:val="both"/>
        <w:rPr>
          <w:rFonts w:ascii="Arial" w:hAnsi="Arial" w:cs="Arial"/>
        </w:rPr>
      </w:pPr>
      <w:r w:rsidRPr="003D5F12">
        <w:rPr>
          <w:rFonts w:ascii="Arial" w:hAnsi="Arial" w:cs="Arial"/>
        </w:rPr>
        <w:t>Ampliar el Acuerdo A) del Punto 8) de la sesión de Asamblea de Gobernadores AG-158 del 7 de noviembre de 2018 que también se pueda cubrir con esta cuenta los egresos por apoyo a los alquileres complementarios cuando haya desastres naturales o casos fortuitos u otras causas de similar naturaleza.</w:t>
      </w:r>
    </w:p>
    <w:p w14:paraId="0A24D9EA" w14:textId="77777777" w:rsidR="003D5F12" w:rsidRPr="003D5F12" w:rsidRDefault="003D5F12" w:rsidP="003D5F12">
      <w:pPr>
        <w:pStyle w:val="Prrafodelista"/>
        <w:rPr>
          <w:rFonts w:ascii="Arial" w:hAnsi="Arial" w:cs="Arial"/>
        </w:rPr>
      </w:pPr>
    </w:p>
    <w:p w14:paraId="42C89969" w14:textId="77777777" w:rsidR="003D5F12" w:rsidRPr="003D5F12" w:rsidRDefault="003D5F12" w:rsidP="003D5F12">
      <w:pPr>
        <w:numPr>
          <w:ilvl w:val="0"/>
          <w:numId w:val="5"/>
        </w:numPr>
        <w:tabs>
          <w:tab w:val="left" w:pos="698"/>
        </w:tabs>
        <w:jc w:val="both"/>
        <w:rPr>
          <w:rFonts w:ascii="Arial" w:hAnsi="Arial" w:cs="Arial"/>
        </w:rPr>
      </w:pPr>
      <w:r w:rsidRPr="003D5F12">
        <w:rPr>
          <w:rFonts w:ascii="Arial" w:hAnsi="Arial" w:cs="Arial"/>
        </w:rPr>
        <w:t>Autorizar a la Gerencia de Finanzas para que de manera complementaria pueda realizar erogaciones adicionales en apoyo a los alquileres que cubre la compañía de Seguros, en el caso que haya desastres naturales o casos fortuitos u otras causas de similar naturaleza, para el caso específico de los afectados de la Residencial Santa Lucia, Ilopango.”</w:t>
      </w:r>
    </w:p>
    <w:p w14:paraId="24B21BDA" w14:textId="1368F7D3" w:rsidR="003D5F12" w:rsidRPr="004D74A9" w:rsidRDefault="004D74A9" w:rsidP="004D74A9">
      <w:pPr>
        <w:pStyle w:val="Prrafodelista"/>
        <w:spacing w:line="360" w:lineRule="auto"/>
        <w:ind w:left="360"/>
        <w:rPr>
          <w:rFonts w:ascii="Arial" w:hAnsi="Arial" w:cs="Arial"/>
          <w:b/>
          <w:color w:val="FF0000"/>
          <w:sz w:val="22"/>
          <w:szCs w:val="22"/>
        </w:rPr>
      </w:pPr>
      <w:bookmarkStart w:id="0" w:name="_Hlk31384192"/>
      <w:r w:rsidRPr="004D74A9">
        <w:rPr>
          <w:rFonts w:ascii="Arial" w:hAnsi="Arial" w:cs="Arial"/>
          <w:b/>
          <w:color w:val="FF0000"/>
          <w:sz w:val="22"/>
          <w:szCs w:val="22"/>
        </w:rPr>
        <w:t xml:space="preserve">Supresión de información confidencial, conforme a lo dispuesto en el art. 24 lit. d) LAIP. </w:t>
      </w:r>
      <w:bookmarkEnd w:id="0"/>
    </w:p>
    <w:p w14:paraId="5FE33157" w14:textId="77777777" w:rsidR="002F19A3" w:rsidRDefault="002F19A3" w:rsidP="00426D07">
      <w:pPr>
        <w:pStyle w:val="Textoindependiente"/>
        <w:spacing w:line="240" w:lineRule="auto"/>
        <w:jc w:val="both"/>
        <w:rPr>
          <w:rFonts w:ascii="Arial" w:hAnsi="Arial" w:cs="Arial"/>
          <w:b/>
          <w:snapToGrid w:val="0"/>
          <w:sz w:val="24"/>
          <w:szCs w:val="24"/>
          <w:lang w:val="pt-BR"/>
        </w:rPr>
      </w:pPr>
    </w:p>
    <w:p w14:paraId="29E8CAD2" w14:textId="77777777" w:rsidR="00145B73" w:rsidRPr="00FE1AC3" w:rsidRDefault="00D87CFA" w:rsidP="00145B73">
      <w:pPr>
        <w:jc w:val="both"/>
        <w:rPr>
          <w:rFonts w:ascii="Arial" w:hAnsi="Arial" w:cs="Arial"/>
          <w:b/>
        </w:rPr>
      </w:pPr>
      <w:r w:rsidRPr="00FE1AC3">
        <w:rPr>
          <w:rFonts w:ascii="Arial" w:hAnsi="Arial" w:cs="Arial"/>
          <w:b/>
        </w:rPr>
        <w:t>5) PLAN ANUAL OPERATIVO 2020.</w:t>
      </w:r>
      <w:r w:rsidR="003D5F12">
        <w:rPr>
          <w:rFonts w:ascii="Arial" w:hAnsi="Arial" w:cs="Arial"/>
          <w:b/>
        </w:rPr>
        <w:t xml:space="preserve"> </w:t>
      </w:r>
      <w:r w:rsidR="00CF471B" w:rsidRPr="00FE1AC3">
        <w:rPr>
          <w:rFonts w:ascii="Arial" w:hAnsi="Arial" w:cs="Arial"/>
          <w:snapToGrid w:val="0"/>
          <w:lang w:val="es-SV"/>
        </w:rPr>
        <w:t>El Presidente de la Asamblea sometió a consideración de los Gobernadores</w:t>
      </w:r>
      <w:r w:rsidR="00CF471B" w:rsidRPr="00FE1AC3">
        <w:rPr>
          <w:rFonts w:ascii="Arial" w:hAnsi="Arial" w:cs="Arial"/>
          <w:snapToGrid w:val="0"/>
        </w:rPr>
        <w:t xml:space="preserve"> el PLAN ANUAL OPERATIVO 20</w:t>
      </w:r>
      <w:r w:rsidR="00FE3A2F" w:rsidRPr="00FE1AC3">
        <w:rPr>
          <w:rFonts w:ascii="Arial" w:hAnsi="Arial" w:cs="Arial"/>
          <w:snapToGrid w:val="0"/>
        </w:rPr>
        <w:t>20</w:t>
      </w:r>
      <w:r w:rsidR="00CF471B" w:rsidRPr="00FE1AC3">
        <w:rPr>
          <w:rFonts w:ascii="Arial" w:hAnsi="Arial" w:cs="Arial"/>
          <w:snapToGrid w:val="0"/>
        </w:rPr>
        <w:t xml:space="preserve"> (PAO). Para exponer el tema invitó al </w:t>
      </w:r>
      <w:r w:rsidR="00CF471B" w:rsidRPr="00FE1AC3">
        <w:rPr>
          <w:rFonts w:ascii="Arial" w:hAnsi="Arial" w:cs="Arial"/>
          <w:snapToGrid w:val="0"/>
          <w:lang w:val="es-MX"/>
        </w:rPr>
        <w:t>Licenciado Luis Josué Ventura Hernández, Gerente de Planificación, quien i</w:t>
      </w:r>
      <w:r w:rsidR="00CF471B" w:rsidRPr="00FE1AC3">
        <w:rPr>
          <w:rFonts w:ascii="Arial" w:hAnsi="Arial" w:cs="Arial"/>
          <w:snapToGrid w:val="0"/>
        </w:rPr>
        <w:t xml:space="preserve">ndicó que se presenta este documento, en cumplimiento al Art. 16 letra d) y Art. 26 letra d) de la Ley del FSV. Señaló que </w:t>
      </w:r>
      <w:r w:rsidRPr="00FE1AC3">
        <w:rPr>
          <w:rFonts w:ascii="Arial" w:hAnsi="Arial" w:cs="Arial"/>
        </w:rPr>
        <w:t>el PAO 2020</w:t>
      </w:r>
      <w:r w:rsidR="00BD361F">
        <w:rPr>
          <w:rFonts w:ascii="Arial" w:hAnsi="Arial" w:cs="Arial"/>
        </w:rPr>
        <w:t xml:space="preserve"> </w:t>
      </w:r>
      <w:r w:rsidRPr="00FE1AC3">
        <w:rPr>
          <w:rFonts w:ascii="Arial" w:hAnsi="Arial" w:cs="Arial"/>
          <w:lang w:val="es-MX"/>
        </w:rPr>
        <w:t xml:space="preserve">es la </w:t>
      </w:r>
      <w:r w:rsidR="00BD361F">
        <w:rPr>
          <w:rFonts w:ascii="Arial" w:hAnsi="Arial" w:cs="Arial"/>
          <w:lang w:val="es-MX"/>
        </w:rPr>
        <w:t>ejecución del primer año</w:t>
      </w:r>
      <w:r w:rsidRPr="00FE1AC3">
        <w:rPr>
          <w:rFonts w:ascii="Arial" w:hAnsi="Arial" w:cs="Arial"/>
          <w:lang w:val="es-MX"/>
        </w:rPr>
        <w:t xml:space="preserve"> del Plan Estratégico Institucional (PEI) 2020-2024 y es resultado de un </w:t>
      </w:r>
      <w:r w:rsidRPr="00FE1AC3">
        <w:rPr>
          <w:rFonts w:ascii="Arial" w:hAnsi="Arial" w:cs="Arial"/>
          <w:b/>
          <w:bCs/>
          <w:lang w:val="es-MX"/>
        </w:rPr>
        <w:t xml:space="preserve">proceso participativo </w:t>
      </w:r>
      <w:r w:rsidRPr="00FE1AC3">
        <w:rPr>
          <w:rFonts w:ascii="Arial" w:hAnsi="Arial" w:cs="Arial"/>
          <w:lang w:val="es-MX"/>
        </w:rPr>
        <w:t xml:space="preserve">ejecutado con las diferentes Gerencias y Unidades organizativas, que retoma en </w:t>
      </w:r>
      <w:r w:rsidR="00BD361F">
        <w:rPr>
          <w:rFonts w:ascii="Arial" w:hAnsi="Arial" w:cs="Arial"/>
          <w:lang w:val="es-MX"/>
        </w:rPr>
        <w:t xml:space="preserve">la </w:t>
      </w:r>
      <w:r w:rsidRPr="00FE1AC3">
        <w:rPr>
          <w:rFonts w:ascii="Arial" w:hAnsi="Arial" w:cs="Arial"/>
          <w:b/>
          <w:bCs/>
          <w:lang w:val="es-MX"/>
        </w:rPr>
        <w:t xml:space="preserve">Jornada Anual de Planeamiento Institucional </w:t>
      </w:r>
      <w:r w:rsidRPr="00FE1AC3">
        <w:rPr>
          <w:rFonts w:ascii="Arial" w:hAnsi="Arial" w:cs="Arial"/>
          <w:lang w:val="es-MX"/>
        </w:rPr>
        <w:t>los lineamientos estratégicos definidos, los resultados del año en curso (2019) y de años anteriores, el análisis de contexto, entre otros</w:t>
      </w:r>
      <w:r w:rsidRPr="00FE1AC3">
        <w:rPr>
          <w:rFonts w:ascii="Arial" w:hAnsi="Arial" w:cs="Arial"/>
        </w:rPr>
        <w:t>.  El Plan Anual Operativo 2020 presenta los objetivos y proyectos institucionales de carácter estratégico, agrupados en 5 Áreas Estratégicas: Acceso a soluciones habitacionales, Gestión crediticia, Servicio al cliente, Fortalecimiento financiero y Procesos y desarrollo Institucional; todo con el objeto de cumplir con la misión y visión institucional mediante el cumplimiento de los objetivos y metas establecidos. El PAO 2020 también presenta el detalle del Plan de Inv</w:t>
      </w:r>
      <w:r w:rsidR="003D50EF">
        <w:rPr>
          <w:rFonts w:ascii="Arial" w:hAnsi="Arial" w:cs="Arial"/>
        </w:rPr>
        <w:t>ersión 2020 y las Proyecciones f</w:t>
      </w:r>
      <w:r w:rsidRPr="00FE1AC3">
        <w:rPr>
          <w:rFonts w:ascii="Arial" w:hAnsi="Arial" w:cs="Arial"/>
        </w:rPr>
        <w:t>inancieras en que se sustenta, siendo las mismas de importancia fundamental para la Institución, puesto que se requiere de sostenibilidad financiera para garantizar el logro en el mediano y largo plazo de los resultados que contribuyan a reducir el déficit habitacional.</w:t>
      </w:r>
      <w:r w:rsidR="003D50EF">
        <w:rPr>
          <w:rFonts w:ascii="Arial" w:hAnsi="Arial" w:cs="Arial"/>
        </w:rPr>
        <w:t xml:space="preserve"> </w:t>
      </w:r>
      <w:r w:rsidRPr="00FE1AC3">
        <w:rPr>
          <w:rFonts w:ascii="Arial" w:hAnsi="Arial" w:cs="Arial"/>
        </w:rPr>
        <w:t>Explicó el contenido del docu</w:t>
      </w:r>
      <w:r w:rsidR="003D50EF">
        <w:rPr>
          <w:rFonts w:ascii="Arial" w:hAnsi="Arial" w:cs="Arial"/>
        </w:rPr>
        <w:t>mento estructurado, así: Marco g</w:t>
      </w:r>
      <w:r w:rsidRPr="00FE1AC3">
        <w:rPr>
          <w:rFonts w:ascii="Arial" w:hAnsi="Arial" w:cs="Arial"/>
        </w:rPr>
        <w:t>eneral, Marco conceptual, Alcance y objetivos del PAO 2020, Objetivo</w:t>
      </w:r>
      <w:r w:rsidR="003D50EF">
        <w:rPr>
          <w:rFonts w:ascii="Arial" w:hAnsi="Arial" w:cs="Arial"/>
        </w:rPr>
        <w:t>s, proyectos e i</w:t>
      </w:r>
      <w:r w:rsidRPr="00FE1AC3">
        <w:rPr>
          <w:rFonts w:ascii="Arial" w:hAnsi="Arial" w:cs="Arial"/>
        </w:rPr>
        <w:t>ndicadores</w:t>
      </w:r>
      <w:r w:rsidR="003C26E2">
        <w:rPr>
          <w:rFonts w:ascii="Arial" w:hAnsi="Arial" w:cs="Arial"/>
        </w:rPr>
        <w:t xml:space="preserve"> por área estratégica, Plan de i</w:t>
      </w:r>
      <w:r w:rsidRPr="00FE1AC3">
        <w:rPr>
          <w:rFonts w:ascii="Arial" w:hAnsi="Arial" w:cs="Arial"/>
        </w:rPr>
        <w:t xml:space="preserve">nversión 2020, Proyecciones </w:t>
      </w:r>
      <w:r w:rsidR="003C26E2">
        <w:rPr>
          <w:rFonts w:ascii="Arial" w:hAnsi="Arial" w:cs="Arial"/>
        </w:rPr>
        <w:lastRenderedPageBreak/>
        <w:t>f</w:t>
      </w:r>
      <w:r w:rsidRPr="00FE1AC3">
        <w:rPr>
          <w:rFonts w:ascii="Arial" w:hAnsi="Arial" w:cs="Arial"/>
        </w:rPr>
        <w:t>inancieras, Anexos. El PAO 2020 contiene 13 objetivos con 22 indicadores relacionados y 26 proyectos con 29 indicadores relacionados, resaltando que todos los objetivos y proyectos incluidos en el Plan, cuentan con la asignación de recursos correspondiente en el Presupuesto 2020 en caso lo ameriten. Se destaca que dentro del Plan de Inversión 2020, se proyecta otorgar 7,000 créditos por $117.89 millones de los cuales 1,460 por $11.7</w:t>
      </w:r>
      <w:r w:rsidR="003C26E2">
        <w:rPr>
          <w:rFonts w:ascii="Arial" w:hAnsi="Arial" w:cs="Arial"/>
        </w:rPr>
        <w:t>2</w:t>
      </w:r>
      <w:r w:rsidRPr="00FE1AC3">
        <w:rPr>
          <w:rFonts w:ascii="Arial" w:hAnsi="Arial" w:cs="Arial"/>
        </w:rPr>
        <w:t xml:space="preserve"> millones no implican desembolsos. </w:t>
      </w:r>
      <w:r w:rsidR="00145B73" w:rsidRPr="00FE1AC3">
        <w:rPr>
          <w:rFonts w:ascii="Arial" w:hAnsi="Arial" w:cs="Arial"/>
        </w:rPr>
        <w:t xml:space="preserve">Indicó que este Plan fue conocido por Junta Directiva, según el </w:t>
      </w:r>
      <w:r w:rsidR="002043EB" w:rsidRPr="00FE1AC3">
        <w:rPr>
          <w:rFonts w:ascii="Arial" w:hAnsi="Arial" w:cs="Arial"/>
          <w:lang w:val="es-MX"/>
        </w:rPr>
        <w:t>Punto IV) del Acta de sesión de Junta Directiva N° JD-176/2019 del 3 de octubre de 2019</w:t>
      </w:r>
      <w:r w:rsidR="00145B73" w:rsidRPr="00FE1AC3">
        <w:rPr>
          <w:rFonts w:ascii="Arial" w:hAnsi="Arial" w:cs="Arial"/>
          <w:lang w:val="es-MX"/>
        </w:rPr>
        <w:t xml:space="preserve">, quien instruyó a la Administración para su presentación a la Asamblea de Gobernadores </w:t>
      </w:r>
      <w:r w:rsidR="00145B73" w:rsidRPr="00FE1AC3">
        <w:rPr>
          <w:rFonts w:ascii="Arial" w:hAnsi="Arial" w:cs="Arial"/>
        </w:rPr>
        <w:t>para su aprobación</w:t>
      </w:r>
      <w:r w:rsidR="00145B73" w:rsidRPr="00FE1AC3">
        <w:rPr>
          <w:rFonts w:ascii="Arial" w:hAnsi="Arial" w:cs="Arial"/>
          <w:lang w:val="es-MX"/>
        </w:rPr>
        <w:t xml:space="preserve">. </w:t>
      </w:r>
      <w:r w:rsidR="00145B73" w:rsidRPr="00FE1AC3">
        <w:rPr>
          <w:rFonts w:ascii="Arial" w:hAnsi="Arial" w:cs="Arial"/>
          <w:bCs/>
          <w:lang w:val="es-MX"/>
        </w:rPr>
        <w:t>En base a lo expuesto, s</w:t>
      </w:r>
      <w:r w:rsidR="00145B73" w:rsidRPr="00FE1AC3">
        <w:rPr>
          <w:rFonts w:ascii="Arial" w:hAnsi="Arial" w:cs="Arial"/>
        </w:rPr>
        <w:t>e solicita a la Asamblea de Gobernadores, autorizar el PLAN ANUAL OPERATIVO 20</w:t>
      </w:r>
      <w:r w:rsidR="002043EB" w:rsidRPr="00FE1AC3">
        <w:rPr>
          <w:rFonts w:ascii="Arial" w:hAnsi="Arial" w:cs="Arial"/>
        </w:rPr>
        <w:t>20</w:t>
      </w:r>
      <w:r w:rsidR="00145B73" w:rsidRPr="00FE1AC3">
        <w:rPr>
          <w:rFonts w:ascii="Arial" w:hAnsi="Arial" w:cs="Arial"/>
        </w:rPr>
        <w:t>, de conformidad al documento expuesto</w:t>
      </w:r>
      <w:r w:rsidR="00145B73" w:rsidRPr="00FE1AC3">
        <w:rPr>
          <w:rFonts w:ascii="Arial" w:hAnsi="Arial" w:cs="Arial"/>
          <w:lang w:val="es-MX"/>
        </w:rPr>
        <w:t>.</w:t>
      </w:r>
      <w:r w:rsidR="00145B73" w:rsidRPr="00FE1AC3">
        <w:rPr>
          <w:rFonts w:ascii="Arial" w:hAnsi="Arial" w:cs="Arial"/>
        </w:rPr>
        <w:t xml:space="preserve"> La Asamblea de Gobernadores, luego del análisis del documento expuesto por el </w:t>
      </w:r>
      <w:r w:rsidR="00145B73" w:rsidRPr="00FE1AC3">
        <w:rPr>
          <w:rFonts w:ascii="Arial" w:hAnsi="Arial" w:cs="Arial"/>
          <w:lang w:val="es-MX"/>
        </w:rPr>
        <w:t>Licenciado Luis Josué Ventura Hernández, Gerente de Planificación</w:t>
      </w:r>
      <w:r w:rsidR="00145B73" w:rsidRPr="00FE1AC3">
        <w:rPr>
          <w:rFonts w:ascii="Arial" w:hAnsi="Arial" w:cs="Arial"/>
        </w:rPr>
        <w:t xml:space="preserve">, por unanimidad </w:t>
      </w:r>
      <w:r w:rsidR="00145B73" w:rsidRPr="00FE1AC3">
        <w:rPr>
          <w:rFonts w:ascii="Arial" w:hAnsi="Arial" w:cs="Arial"/>
          <w:b/>
        </w:rPr>
        <w:t>ACUERDA:</w:t>
      </w:r>
    </w:p>
    <w:p w14:paraId="62B9A990" w14:textId="77777777" w:rsidR="00145B73" w:rsidRPr="00FE1AC3" w:rsidRDefault="00145B73" w:rsidP="00145B73">
      <w:pPr>
        <w:jc w:val="both"/>
        <w:rPr>
          <w:rFonts w:ascii="Arial" w:hAnsi="Arial" w:cs="Arial"/>
        </w:rPr>
      </w:pPr>
    </w:p>
    <w:p w14:paraId="07AAD9E6" w14:textId="77777777" w:rsidR="00145B73" w:rsidRPr="00FE1AC3" w:rsidRDefault="00145B73" w:rsidP="00145B73">
      <w:pPr>
        <w:numPr>
          <w:ilvl w:val="0"/>
          <w:numId w:val="3"/>
        </w:numPr>
        <w:rPr>
          <w:rFonts w:ascii="Arial" w:hAnsi="Arial" w:cs="Arial"/>
          <w:bCs/>
          <w:lang w:val="es-SV"/>
        </w:rPr>
      </w:pPr>
      <w:r w:rsidRPr="00FE1AC3">
        <w:rPr>
          <w:rFonts w:ascii="Arial" w:hAnsi="Arial" w:cs="Arial"/>
          <w:bCs/>
          <w:lang w:val="es-SV"/>
        </w:rPr>
        <w:t>Aprobar el “PLAN ANUAL OPERATIVO 20</w:t>
      </w:r>
      <w:r w:rsidR="002043EB" w:rsidRPr="00FE1AC3">
        <w:rPr>
          <w:rFonts w:ascii="Arial" w:hAnsi="Arial" w:cs="Arial"/>
          <w:bCs/>
          <w:lang w:val="es-SV"/>
        </w:rPr>
        <w:t>20</w:t>
      </w:r>
      <w:r w:rsidRPr="00FE1AC3">
        <w:rPr>
          <w:rFonts w:ascii="Arial" w:hAnsi="Arial" w:cs="Arial"/>
          <w:bCs/>
          <w:lang w:val="es-SV"/>
        </w:rPr>
        <w:t>”.</w:t>
      </w:r>
    </w:p>
    <w:p w14:paraId="40760533" w14:textId="77777777" w:rsidR="00145B73" w:rsidRPr="00FE1AC3" w:rsidRDefault="00145B73" w:rsidP="00145B73">
      <w:pPr>
        <w:ind w:left="360"/>
        <w:rPr>
          <w:rFonts w:ascii="Arial" w:hAnsi="Arial" w:cs="Arial"/>
          <w:bCs/>
          <w:lang w:val="es-SV"/>
        </w:rPr>
      </w:pPr>
    </w:p>
    <w:p w14:paraId="0AB25BA8" w14:textId="77777777" w:rsidR="00145B73" w:rsidRPr="00FE1AC3" w:rsidRDefault="00145B73" w:rsidP="00145B73">
      <w:pPr>
        <w:numPr>
          <w:ilvl w:val="0"/>
          <w:numId w:val="3"/>
        </w:numPr>
        <w:jc w:val="both"/>
        <w:rPr>
          <w:rFonts w:ascii="Arial" w:hAnsi="Arial" w:cs="Arial"/>
          <w:bCs/>
          <w:lang w:val="es-SV"/>
        </w:rPr>
      </w:pPr>
      <w:r w:rsidRPr="00FE1AC3">
        <w:rPr>
          <w:rFonts w:ascii="Arial" w:hAnsi="Arial" w:cs="Arial"/>
          <w:bCs/>
          <w:lang w:val="es-SV"/>
        </w:rPr>
        <w:t>Instruir a Junta Directiva para que dé seguimiento periódico al presente Plan y autorice los ajustes necesarios que estén debidamente justificados.</w:t>
      </w:r>
    </w:p>
    <w:p w14:paraId="7773059C" w14:textId="77777777" w:rsidR="00145B73" w:rsidRPr="00FE1AC3" w:rsidRDefault="00145B73" w:rsidP="00145B73">
      <w:pPr>
        <w:ind w:left="708"/>
        <w:rPr>
          <w:rFonts w:ascii="Arial" w:hAnsi="Arial" w:cs="Arial"/>
          <w:bCs/>
          <w:lang w:val="es-SV"/>
        </w:rPr>
      </w:pPr>
    </w:p>
    <w:p w14:paraId="12AB19C0" w14:textId="77777777" w:rsidR="00145B73" w:rsidRPr="00FE1AC3" w:rsidRDefault="00145B73" w:rsidP="00145B73">
      <w:pPr>
        <w:numPr>
          <w:ilvl w:val="0"/>
          <w:numId w:val="3"/>
        </w:numPr>
        <w:jc w:val="both"/>
        <w:rPr>
          <w:rFonts w:ascii="Arial" w:hAnsi="Arial" w:cs="Arial"/>
          <w:bCs/>
          <w:lang w:val="es-SV"/>
        </w:rPr>
      </w:pPr>
      <w:r w:rsidRPr="00FE1AC3">
        <w:rPr>
          <w:rFonts w:ascii="Arial" w:hAnsi="Arial" w:cs="Arial"/>
          <w:bCs/>
          <w:lang w:val="es-SV"/>
        </w:rPr>
        <w:t>Autorizar las modificaciones en el Plan Estratégico Institucional (PEI) vigente que se originen</w:t>
      </w:r>
      <w:r w:rsidR="002043EB" w:rsidRPr="00FE1AC3">
        <w:rPr>
          <w:rFonts w:ascii="Arial" w:hAnsi="Arial" w:cs="Arial"/>
          <w:bCs/>
          <w:lang w:val="es-SV"/>
        </w:rPr>
        <w:t xml:space="preserve"> por la ejecución del PAO 2020.</w:t>
      </w:r>
    </w:p>
    <w:p w14:paraId="490799C4" w14:textId="77777777" w:rsidR="00426D07" w:rsidRPr="00D654D0" w:rsidRDefault="00426D07" w:rsidP="00426D07">
      <w:pPr>
        <w:pStyle w:val="Textoindependiente"/>
        <w:spacing w:line="240" w:lineRule="auto"/>
        <w:jc w:val="both"/>
        <w:rPr>
          <w:rFonts w:ascii="Arial" w:hAnsi="Arial" w:cs="Arial"/>
          <w:b/>
          <w:snapToGrid w:val="0"/>
          <w:sz w:val="24"/>
          <w:szCs w:val="24"/>
          <w:lang w:val="pt-BR"/>
        </w:rPr>
      </w:pPr>
    </w:p>
    <w:p w14:paraId="43A2C4D3" w14:textId="77777777" w:rsidR="00FE1AC3" w:rsidRDefault="00FE1AC3"/>
    <w:p w14:paraId="4399AAC7" w14:textId="77777777" w:rsidR="001C7B49" w:rsidRDefault="003D5F12" w:rsidP="003D5F12">
      <w:pPr>
        <w:jc w:val="both"/>
        <w:rPr>
          <w:rFonts w:ascii="Arial" w:hAnsi="Arial" w:cs="Arial"/>
          <w:bCs/>
        </w:rPr>
      </w:pPr>
      <w:r w:rsidRPr="003D5F12">
        <w:rPr>
          <w:rFonts w:ascii="Arial" w:hAnsi="Arial" w:cs="Arial"/>
          <w:b/>
          <w:snapToGrid w:val="0"/>
          <w:lang w:val="pt-BR"/>
        </w:rPr>
        <w:t xml:space="preserve">6) PRESUPUESTO DE INGRESOS Y EGRESOS 2020. </w:t>
      </w:r>
      <w:r w:rsidRPr="003D5F12">
        <w:rPr>
          <w:rFonts w:ascii="Arial" w:hAnsi="Arial" w:cs="Arial"/>
          <w:lang w:val="es-MX"/>
        </w:rPr>
        <w:t xml:space="preserve">El Presidente de la Asamblea sometió a consideración de los Gobernadores, </w:t>
      </w:r>
      <w:r w:rsidRPr="003D5F12">
        <w:rPr>
          <w:rFonts w:ascii="Arial" w:hAnsi="Arial" w:cs="Arial"/>
          <w:bCs/>
        </w:rPr>
        <w:t xml:space="preserve">el Proyecto de Presupuesto Institucional de Ingresos y Egresos 2020, de conformidad con el Art. 16 letra c) de la Ley del FSV. </w:t>
      </w:r>
      <w:r w:rsidRPr="003D5F12">
        <w:rPr>
          <w:rFonts w:ascii="Arial" w:hAnsi="Arial" w:cs="Arial"/>
        </w:rPr>
        <w:t xml:space="preserve">Invitó para exponerlo al Licenciado René Cuéllar Marenco, Gerente de Finanzas, quien indicó que el proyecto de Presupuesto Institucional, se ha elaborado en base a prioridades, objetivos y metas establecidas en el Plan Anual Operativo 2020. La presentación comprende los siguientes apartados: </w:t>
      </w:r>
      <w:r w:rsidRPr="003D5F12">
        <w:rPr>
          <w:rFonts w:ascii="Arial" w:hAnsi="Arial" w:cs="Arial"/>
          <w:b/>
        </w:rPr>
        <w:t>I.Disposiciones Generales</w:t>
      </w:r>
      <w:r w:rsidRPr="003D5F12">
        <w:rPr>
          <w:rFonts w:ascii="Arial" w:hAnsi="Arial" w:cs="Arial"/>
        </w:rPr>
        <w:t xml:space="preserve">, dentro de las que señala las siguientes: 1) El presente Presupuesto deberá ejecutarse estrictamente a base de Caja en cuanto a los ingresos y a base de competencia en cuanto a los egresos. 2) La Junta Directiva aprobará la forma en que se ejecutará anualmente este Presupuesto. 3) La Junta Directiva podrá autorizar la ampliación de sus asignaciones presupuestarias, tanto por el lado de los ingresos como el de gastos, con los montos que perciban en exceso sobre lo aprobado en las diferentes fuentes específicas de Ingresos. En ningún caso, los excedentes de ingresos de capital serán utilizados para reforzar gastos corrientes. 4) No será indispensable que la Junta Directiva autorice la utilización de la totalidad de los excedentes indicados; podrán autorizarse por cantidades menores según las necesidades presupuestarias, los cuales en ningún caso deben sobrepasar el monto de los excedentes establecidos en el Acuerdo Institucional. 5) Las modificaciones autorizadas por la Asamblea de Gobernadores, relacionadas con cambios en la Estructura Presupuestaria aprobada en la Ley de Presupuesto Especial del Fondo Social para la Vivienda, que impliquen incremento o disminución en el Crédito Presupuestario, deberán ser solicitadas al Ministerio de Hacienda, quien emitirá su opinión y gestionará su aprobación mediante Decreto Ejecutivo ante la Presidencia de la República. 6) La Estructura Organizativa de la Institución, su administración y demás aspectos operativos, serán regulados de conformidad a la Ley del Fondo Social para la Vivienda y su respectivo Reglamento Básico. 7) </w:t>
      </w:r>
      <w:r w:rsidRPr="003D5F12">
        <w:rPr>
          <w:rFonts w:ascii="Arial" w:hAnsi="Arial" w:cs="Arial"/>
          <w:bCs/>
        </w:rPr>
        <w:t xml:space="preserve">Las transferencias entre Unidades Presupuestarias, por solicitudes recibidas serán autorizadas de acuerdo a la escala siguiente: </w:t>
      </w:r>
      <w:r w:rsidRPr="003D5F12">
        <w:rPr>
          <w:rFonts w:ascii="Arial" w:hAnsi="Arial" w:cs="Arial"/>
          <w:bCs/>
        </w:rPr>
        <w:lastRenderedPageBreak/>
        <w:t xml:space="preserve">a) Hasta $50,000.00 será aprobado por el Gerente General. b) De $50,000.01 hasta $100,000.00 deberá ser aprobado por Presidencia y Dirección Ejecutiva. c) Más de $100,000.00 deberá ser aprobado por Junta Directiva. Deberán presentarse trimestralmente resúmenes a la Junta Directiva de las transferencias autorizadas por los dos primeros niveles. En ningún caso se harán transferencias del Presupuesto de Egresos destinados a inversión, para gastos corrientes. 8) </w:t>
      </w:r>
      <w:r w:rsidRPr="003D5F12">
        <w:rPr>
          <w:rFonts w:ascii="Arial" w:hAnsi="Arial" w:cs="Arial"/>
        </w:rPr>
        <w:t xml:space="preserve">El Fondo Social para la Vivienda mantendrá un Fondo Circulante por la cuantía que determine la Junta Directiva y uno por cada Agencia Regional. 9) Se autoriza al Fondo Social para la Vivienda para establecer las tarifas por los servicios que requiere subcontratar para el cumplimiento de sus objetivos. 10) </w:t>
      </w:r>
      <w:r w:rsidRPr="003D5F12">
        <w:rPr>
          <w:rFonts w:ascii="Arial" w:hAnsi="Arial" w:cs="Arial"/>
          <w:bCs/>
        </w:rPr>
        <w:t xml:space="preserve">Si al cierre del presente ejercicio fiscal, no se hubiere aprobado el presupuesto del ejercicio fiscal entrante, se iniciará con las asignaciones presupuestarias vigentes en el ejercicio corriente, una vez se apruebe la nueva Ley, se harán los ajustes correspondientes, de acuerdo a la ejecución ya realizada. </w:t>
      </w:r>
      <w:r w:rsidRPr="003D5F12">
        <w:rPr>
          <w:rFonts w:ascii="Arial" w:hAnsi="Arial" w:cs="Arial"/>
          <w:b/>
          <w:bCs/>
        </w:rPr>
        <w:t>II. Principales Supuestos</w:t>
      </w:r>
      <w:r w:rsidRPr="003D5F12">
        <w:rPr>
          <w:rFonts w:ascii="Arial" w:hAnsi="Arial" w:cs="Arial"/>
          <w:bCs/>
        </w:rPr>
        <w:t xml:space="preserve">: </w:t>
      </w:r>
    </w:p>
    <w:p w14:paraId="28EA1B0E" w14:textId="77777777" w:rsidR="001C7B49" w:rsidRDefault="001C7B49" w:rsidP="003D5F12">
      <w:pPr>
        <w:jc w:val="both"/>
        <w:rPr>
          <w:rFonts w:ascii="Arial" w:hAnsi="Arial" w:cs="Arial"/>
          <w:bCs/>
        </w:rPr>
      </w:pPr>
    </w:p>
    <w:p w14:paraId="3F1257C2" w14:textId="0B0A54F2" w:rsidR="001C7B49" w:rsidRDefault="001C7B49" w:rsidP="003D5F12">
      <w:pPr>
        <w:jc w:val="both"/>
        <w:rPr>
          <w:rFonts w:ascii="Arial" w:hAnsi="Arial" w:cs="Arial"/>
          <w:bCs/>
        </w:rPr>
      </w:pPr>
      <w:r>
        <w:rPr>
          <w:rFonts w:ascii="Arial" w:hAnsi="Arial" w:cs="Arial"/>
          <w:bCs/>
          <w:noProof/>
        </w:rPr>
        <mc:AlternateContent>
          <mc:Choice Requires="wps">
            <w:drawing>
              <wp:anchor distT="0" distB="0" distL="114300" distR="114300" simplePos="0" relativeHeight="251660288" behindDoc="0" locked="0" layoutInCell="1" allowOverlap="1" wp14:anchorId="266975B2" wp14:editId="73D7574B">
                <wp:simplePos x="0" y="0"/>
                <wp:positionH relativeFrom="column">
                  <wp:posOffset>1816735</wp:posOffset>
                </wp:positionH>
                <wp:positionV relativeFrom="paragraph">
                  <wp:posOffset>12700</wp:posOffset>
                </wp:positionV>
                <wp:extent cx="2514600" cy="3686175"/>
                <wp:effectExtent l="0" t="0" r="19050" b="28575"/>
                <wp:wrapNone/>
                <wp:docPr id="2" name="Conector recto 2"/>
                <wp:cNvGraphicFramePr/>
                <a:graphic xmlns:a="http://schemas.openxmlformats.org/drawingml/2006/main">
                  <a:graphicData uri="http://schemas.microsoft.com/office/word/2010/wordprocessingShape">
                    <wps:wsp>
                      <wps:cNvCnPr/>
                      <wps:spPr>
                        <a:xfrm flipV="1">
                          <a:off x="0" y="0"/>
                          <a:ext cx="2514600" cy="3686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5D2613"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43.05pt,1pt" to="341.05pt,2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" strokecolor="#5b9bd5 [3204]" strokeweight=".5pt">
                <v:stroke joinstyle="miter"/>
              </v:line>
            </w:pict>
          </mc:Fallback>
        </mc:AlternateContent>
      </w:r>
    </w:p>
    <w:p w14:paraId="2953933D" w14:textId="77777777" w:rsidR="001C7B49" w:rsidRDefault="001C7B49" w:rsidP="003D5F12">
      <w:pPr>
        <w:jc w:val="both"/>
        <w:rPr>
          <w:rFonts w:ascii="Arial" w:hAnsi="Arial" w:cs="Arial"/>
          <w:bCs/>
        </w:rPr>
      </w:pPr>
    </w:p>
    <w:p w14:paraId="083CCA2D" w14:textId="77777777" w:rsidR="001C7B49" w:rsidRDefault="001C7B49" w:rsidP="003D5F12">
      <w:pPr>
        <w:jc w:val="both"/>
        <w:rPr>
          <w:rFonts w:ascii="Arial" w:hAnsi="Arial" w:cs="Arial"/>
          <w:bCs/>
        </w:rPr>
      </w:pPr>
    </w:p>
    <w:p w14:paraId="642108D6" w14:textId="77777777" w:rsidR="001C7B49" w:rsidRDefault="001C7B49" w:rsidP="003D5F12">
      <w:pPr>
        <w:jc w:val="both"/>
        <w:rPr>
          <w:rFonts w:ascii="Arial" w:hAnsi="Arial" w:cs="Arial"/>
          <w:bCs/>
        </w:rPr>
      </w:pPr>
    </w:p>
    <w:p w14:paraId="23AE4D6F" w14:textId="77777777" w:rsidR="001C7B49" w:rsidRDefault="001C7B49" w:rsidP="003D5F12">
      <w:pPr>
        <w:jc w:val="both"/>
        <w:rPr>
          <w:rFonts w:ascii="Arial" w:hAnsi="Arial" w:cs="Arial"/>
          <w:bCs/>
        </w:rPr>
      </w:pPr>
    </w:p>
    <w:p w14:paraId="772A48DD" w14:textId="77777777" w:rsidR="001C7B49" w:rsidRDefault="001C7B49" w:rsidP="003D5F12">
      <w:pPr>
        <w:jc w:val="both"/>
        <w:rPr>
          <w:rFonts w:ascii="Arial" w:hAnsi="Arial" w:cs="Arial"/>
          <w:bCs/>
        </w:rPr>
      </w:pPr>
    </w:p>
    <w:p w14:paraId="50B511EB" w14:textId="77777777" w:rsidR="001C7B49" w:rsidRDefault="001C7B49" w:rsidP="003D5F12">
      <w:pPr>
        <w:jc w:val="both"/>
        <w:rPr>
          <w:rFonts w:ascii="Arial" w:hAnsi="Arial" w:cs="Arial"/>
          <w:bCs/>
        </w:rPr>
      </w:pPr>
    </w:p>
    <w:p w14:paraId="59388A3E" w14:textId="77777777" w:rsidR="001C7B49" w:rsidRDefault="001C7B49" w:rsidP="003D5F12">
      <w:pPr>
        <w:jc w:val="both"/>
        <w:rPr>
          <w:rFonts w:ascii="Arial" w:hAnsi="Arial" w:cs="Arial"/>
          <w:bCs/>
        </w:rPr>
      </w:pPr>
    </w:p>
    <w:p w14:paraId="015BDA91" w14:textId="77777777" w:rsidR="001C7B49" w:rsidRDefault="001C7B49" w:rsidP="003D5F12">
      <w:pPr>
        <w:jc w:val="both"/>
        <w:rPr>
          <w:rFonts w:ascii="Arial" w:hAnsi="Arial" w:cs="Arial"/>
          <w:bCs/>
        </w:rPr>
      </w:pPr>
    </w:p>
    <w:p w14:paraId="1A46665A" w14:textId="77777777" w:rsidR="001C7B49" w:rsidRDefault="001C7B49" w:rsidP="003D5F12">
      <w:pPr>
        <w:jc w:val="both"/>
        <w:rPr>
          <w:rFonts w:ascii="Arial" w:hAnsi="Arial" w:cs="Arial"/>
          <w:bCs/>
        </w:rPr>
      </w:pPr>
    </w:p>
    <w:p w14:paraId="0D84160E" w14:textId="77777777" w:rsidR="001C7B49" w:rsidRDefault="001C7B49" w:rsidP="003D5F12">
      <w:pPr>
        <w:jc w:val="both"/>
        <w:rPr>
          <w:rFonts w:ascii="Arial" w:hAnsi="Arial" w:cs="Arial"/>
          <w:bCs/>
        </w:rPr>
      </w:pPr>
    </w:p>
    <w:p w14:paraId="2B1FDA9C" w14:textId="77777777" w:rsidR="001C7B49" w:rsidRDefault="001C7B49" w:rsidP="003D5F12">
      <w:pPr>
        <w:jc w:val="both"/>
        <w:rPr>
          <w:rFonts w:ascii="Arial" w:hAnsi="Arial" w:cs="Arial"/>
          <w:bCs/>
        </w:rPr>
      </w:pPr>
    </w:p>
    <w:p w14:paraId="5ABA9337" w14:textId="77777777" w:rsidR="001C7B49" w:rsidRDefault="001C7B49" w:rsidP="003D5F12">
      <w:pPr>
        <w:jc w:val="both"/>
        <w:rPr>
          <w:rFonts w:ascii="Arial" w:hAnsi="Arial" w:cs="Arial"/>
          <w:bCs/>
        </w:rPr>
      </w:pPr>
    </w:p>
    <w:p w14:paraId="3A69A76D" w14:textId="77777777" w:rsidR="001C7B49" w:rsidRDefault="001C7B49" w:rsidP="003D5F12">
      <w:pPr>
        <w:jc w:val="both"/>
        <w:rPr>
          <w:rFonts w:ascii="Arial" w:hAnsi="Arial" w:cs="Arial"/>
          <w:bCs/>
        </w:rPr>
      </w:pPr>
    </w:p>
    <w:p w14:paraId="41273E64" w14:textId="77777777" w:rsidR="001C7B49" w:rsidRDefault="001C7B49" w:rsidP="003D5F12">
      <w:pPr>
        <w:jc w:val="both"/>
        <w:rPr>
          <w:rFonts w:ascii="Arial" w:hAnsi="Arial" w:cs="Arial"/>
          <w:bCs/>
        </w:rPr>
      </w:pPr>
    </w:p>
    <w:p w14:paraId="7AC2ECB0" w14:textId="77777777" w:rsidR="001C7B49" w:rsidRDefault="001C7B49" w:rsidP="003D5F12">
      <w:pPr>
        <w:jc w:val="both"/>
        <w:rPr>
          <w:rFonts w:ascii="Arial" w:hAnsi="Arial" w:cs="Arial"/>
          <w:bCs/>
        </w:rPr>
      </w:pPr>
    </w:p>
    <w:p w14:paraId="2CEDA52C" w14:textId="77777777" w:rsidR="001C7B49" w:rsidRDefault="001C7B49" w:rsidP="003D5F12">
      <w:pPr>
        <w:jc w:val="both"/>
        <w:rPr>
          <w:rFonts w:ascii="Arial" w:hAnsi="Arial" w:cs="Arial"/>
          <w:bCs/>
        </w:rPr>
      </w:pPr>
    </w:p>
    <w:p w14:paraId="275EB65A" w14:textId="77777777" w:rsidR="001C7B49" w:rsidRDefault="001C7B49" w:rsidP="003D5F12">
      <w:pPr>
        <w:jc w:val="both"/>
        <w:rPr>
          <w:rFonts w:ascii="Arial" w:hAnsi="Arial" w:cs="Arial"/>
          <w:bCs/>
        </w:rPr>
      </w:pPr>
    </w:p>
    <w:p w14:paraId="7C11DEDC" w14:textId="77777777" w:rsidR="001C7B49" w:rsidRDefault="001C7B49" w:rsidP="003D5F12">
      <w:pPr>
        <w:jc w:val="both"/>
        <w:rPr>
          <w:rFonts w:ascii="Arial" w:hAnsi="Arial" w:cs="Arial"/>
          <w:bCs/>
        </w:rPr>
      </w:pPr>
    </w:p>
    <w:p w14:paraId="0B7EF7FF" w14:textId="77777777" w:rsidR="001C7B49" w:rsidRDefault="001C7B49" w:rsidP="003D5F12">
      <w:pPr>
        <w:jc w:val="both"/>
        <w:rPr>
          <w:rFonts w:ascii="Arial" w:hAnsi="Arial" w:cs="Arial"/>
          <w:bCs/>
        </w:rPr>
      </w:pPr>
    </w:p>
    <w:p w14:paraId="15B64DF6" w14:textId="77777777" w:rsidR="001C7B49" w:rsidRDefault="001C7B49" w:rsidP="003D5F12">
      <w:pPr>
        <w:jc w:val="both"/>
        <w:rPr>
          <w:rFonts w:ascii="Arial" w:hAnsi="Arial" w:cs="Arial"/>
          <w:bCs/>
        </w:rPr>
      </w:pPr>
    </w:p>
    <w:p w14:paraId="70C8AFC3" w14:textId="77777777" w:rsidR="001C7B49" w:rsidRDefault="001C7B49" w:rsidP="003D5F12">
      <w:pPr>
        <w:jc w:val="both"/>
        <w:rPr>
          <w:rFonts w:ascii="Arial" w:hAnsi="Arial" w:cs="Arial"/>
          <w:bCs/>
        </w:rPr>
      </w:pPr>
    </w:p>
    <w:p w14:paraId="5665BD93" w14:textId="4A4DE385" w:rsidR="003D5F12" w:rsidRPr="003D5F12" w:rsidRDefault="001C7B49" w:rsidP="003D5F12">
      <w:pPr>
        <w:jc w:val="both"/>
        <w:rPr>
          <w:rFonts w:ascii="Arial" w:hAnsi="Arial" w:cs="Arial"/>
          <w:b/>
        </w:rPr>
      </w:pPr>
      <w:r>
        <w:rPr>
          <w:rFonts w:ascii="Arial" w:hAnsi="Arial" w:cs="Arial"/>
          <w:bCs/>
        </w:rPr>
        <w:t xml:space="preserve">                                                                                                    </w:t>
      </w:r>
      <w:r w:rsidR="003D5F12" w:rsidRPr="003D5F12">
        <w:rPr>
          <w:rFonts w:ascii="Arial" w:hAnsi="Arial" w:cs="Arial"/>
          <w:b/>
          <w:bCs/>
        </w:rPr>
        <w:t>V. Solicitud a la Asamblea de Gobernadores</w:t>
      </w:r>
      <w:r w:rsidR="003D5F12" w:rsidRPr="003D5F12">
        <w:rPr>
          <w:rFonts w:ascii="Arial" w:hAnsi="Arial" w:cs="Arial"/>
          <w:bCs/>
        </w:rPr>
        <w:t xml:space="preserve"> de autorizar el Presupuesto de Ingresos y Egresos 2020</w:t>
      </w:r>
      <w:r w:rsidR="003D5F12" w:rsidRPr="003D5F12">
        <w:rPr>
          <w:rFonts w:ascii="Arial" w:hAnsi="Arial" w:cs="Arial"/>
        </w:rPr>
        <w:t xml:space="preserve">. </w:t>
      </w:r>
      <w:r w:rsidR="003D5F12" w:rsidRPr="003D5F12">
        <w:rPr>
          <w:rFonts w:ascii="Arial" w:hAnsi="Arial" w:cs="Arial"/>
          <w:bCs/>
        </w:rPr>
        <w:t>También indicó</w:t>
      </w:r>
      <w:r w:rsidR="003D5F12" w:rsidRPr="003D5F12">
        <w:rPr>
          <w:rFonts w:ascii="Arial" w:eastAsia="Calibri" w:hAnsi="Arial" w:cs="Arial"/>
          <w:bCs/>
          <w:lang w:eastAsia="ar-SA"/>
        </w:rPr>
        <w:t xml:space="preserve"> que Junta Directiva conoció esta solicitud, según el </w:t>
      </w:r>
      <w:r w:rsidR="003D5F12" w:rsidRPr="003D5F12">
        <w:rPr>
          <w:rFonts w:ascii="Arial" w:hAnsi="Arial" w:cs="Arial"/>
          <w:lang w:val="es-MX"/>
        </w:rPr>
        <w:t>Punto V) del Acta de sesión de Junta Directiva N° JD-176/2019, del 3 de octubre de 2019</w:t>
      </w:r>
      <w:r w:rsidR="003D5F12" w:rsidRPr="003D5F12">
        <w:rPr>
          <w:rFonts w:ascii="Arial" w:eastAsia="Calibri" w:hAnsi="Arial" w:cs="Arial"/>
          <w:lang w:val="es-MX" w:eastAsia="ar-SA"/>
        </w:rPr>
        <w:t>, instruyendo que se sometiera a la aprobación de Asamblea de Gobernadores. Por tanto, l</w:t>
      </w:r>
      <w:r w:rsidR="003D5F12" w:rsidRPr="003D5F12">
        <w:rPr>
          <w:rFonts w:ascii="Arial" w:hAnsi="Arial" w:cs="Arial"/>
        </w:rPr>
        <w:t xml:space="preserve">uego de la exposición realizada por el Licenciado René Cuéllar Marenco, Gerente de Finanzas, se solicita autorizar el proyecto de Presupuesto de ingresos y egresos del FSV para el año 2020 para enviarlo a la Dirección General de Presupuesto del Ministerio de Hacienda para que siga el trámite de aprobación correspondiente. La Asamblea de Gobernadores, luego de analizar detalladamente el documento presentado con anterioridad, por el Licenciado René Cuéllar Marenco, Gerente de </w:t>
      </w:r>
      <w:r w:rsidR="003D5F12" w:rsidRPr="003D5F12">
        <w:rPr>
          <w:rFonts w:ascii="Arial" w:hAnsi="Arial" w:cs="Arial"/>
        </w:rPr>
        <w:lastRenderedPageBreak/>
        <w:t xml:space="preserve">Finanzas y realizar algunos comentarios y observaciones sobre el mismo, por unanimidad </w:t>
      </w:r>
      <w:r w:rsidR="003D5F12" w:rsidRPr="003D5F12">
        <w:rPr>
          <w:rFonts w:ascii="Arial" w:hAnsi="Arial" w:cs="Arial"/>
          <w:b/>
        </w:rPr>
        <w:t xml:space="preserve">ACUERDA: </w:t>
      </w:r>
    </w:p>
    <w:p w14:paraId="182691F6" w14:textId="77777777" w:rsidR="003D5F12" w:rsidRPr="003D5F12" w:rsidRDefault="003D5F12" w:rsidP="003D5F12">
      <w:pPr>
        <w:pStyle w:val="Textoindependiente"/>
        <w:spacing w:line="240" w:lineRule="auto"/>
        <w:jc w:val="both"/>
        <w:rPr>
          <w:rFonts w:ascii="Arial" w:hAnsi="Arial" w:cs="Arial"/>
          <w:b/>
          <w:sz w:val="24"/>
          <w:szCs w:val="24"/>
        </w:rPr>
      </w:pPr>
    </w:p>
    <w:p w14:paraId="1ABA50E1" w14:textId="7972C3D1" w:rsidR="003D5F12" w:rsidRPr="003D5F12" w:rsidRDefault="003D5F12" w:rsidP="003D5F12">
      <w:pPr>
        <w:pStyle w:val="Textoindependiente"/>
        <w:numPr>
          <w:ilvl w:val="0"/>
          <w:numId w:val="8"/>
        </w:numPr>
        <w:spacing w:line="240" w:lineRule="auto"/>
        <w:ind w:left="360"/>
        <w:jc w:val="both"/>
        <w:rPr>
          <w:rFonts w:ascii="Arial" w:hAnsi="Arial" w:cs="Arial"/>
          <w:sz w:val="24"/>
          <w:szCs w:val="24"/>
        </w:rPr>
      </w:pPr>
      <w:r w:rsidRPr="003D5F12">
        <w:rPr>
          <w:rFonts w:ascii="Arial" w:hAnsi="Arial" w:cs="Arial"/>
          <w:sz w:val="24"/>
          <w:szCs w:val="24"/>
        </w:rPr>
        <w:t xml:space="preserve">Aprobar el Presupuesto de Ingresos y Egresos del FSV para 2020, </w:t>
      </w:r>
      <w:r w:rsidRPr="003D5F12">
        <w:rPr>
          <w:rFonts w:ascii="Arial" w:hAnsi="Arial" w:cs="Arial"/>
          <w:bCs/>
          <w:sz w:val="24"/>
          <w:szCs w:val="24"/>
        </w:rPr>
        <w:t xml:space="preserve">por un monto de </w:t>
      </w:r>
      <w:r w:rsidR="001C7B49">
        <w:rPr>
          <w:rFonts w:ascii="Arial" w:hAnsi="Arial" w:cs="Arial"/>
          <w:bCs/>
          <w:sz w:val="24"/>
          <w:szCs w:val="24"/>
        </w:rPr>
        <w:t>__________________________________________</w:t>
      </w:r>
    </w:p>
    <w:p w14:paraId="78BD784A" w14:textId="77777777" w:rsidR="003D5F12" w:rsidRPr="003D5F12" w:rsidRDefault="003D5F12" w:rsidP="003D5F12">
      <w:pPr>
        <w:pStyle w:val="Textoindependiente"/>
        <w:spacing w:line="240" w:lineRule="auto"/>
        <w:jc w:val="both"/>
        <w:rPr>
          <w:rFonts w:ascii="Arial" w:hAnsi="Arial" w:cs="Arial"/>
          <w:sz w:val="24"/>
          <w:szCs w:val="24"/>
        </w:rPr>
      </w:pPr>
    </w:p>
    <w:p w14:paraId="17BCA3B3" w14:textId="77777777" w:rsidR="003D5F12" w:rsidRPr="003D5F12" w:rsidRDefault="003D5F12" w:rsidP="003D5F12">
      <w:pPr>
        <w:pStyle w:val="Textoindependiente"/>
        <w:numPr>
          <w:ilvl w:val="0"/>
          <w:numId w:val="8"/>
        </w:numPr>
        <w:spacing w:line="240" w:lineRule="auto"/>
        <w:ind w:left="360"/>
        <w:jc w:val="both"/>
        <w:rPr>
          <w:rFonts w:ascii="Arial" w:hAnsi="Arial" w:cs="Arial"/>
          <w:sz w:val="24"/>
          <w:szCs w:val="24"/>
        </w:rPr>
      </w:pPr>
      <w:r w:rsidRPr="003D5F12">
        <w:rPr>
          <w:rFonts w:ascii="Arial" w:hAnsi="Arial" w:cs="Arial"/>
          <w:sz w:val="24"/>
          <w:szCs w:val="24"/>
        </w:rPr>
        <w:t>Autorizar el envío definitivo a la Dirección General de Presupuesto del Ministerio de Hacienda.</w:t>
      </w:r>
    </w:p>
    <w:p w14:paraId="1FE57A3A" w14:textId="030AF709" w:rsidR="001C7B49" w:rsidRPr="001C7B49" w:rsidRDefault="001C7B49" w:rsidP="001C7B49">
      <w:pPr>
        <w:spacing w:line="360" w:lineRule="auto"/>
        <w:jc w:val="both"/>
        <w:rPr>
          <w:rFonts w:ascii="Arial" w:hAnsi="Arial" w:cs="Arial"/>
          <w:b/>
          <w:color w:val="FF0000"/>
          <w:sz w:val="22"/>
          <w:szCs w:val="22"/>
        </w:rPr>
      </w:pPr>
      <w:r w:rsidRPr="001C7B49">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g</w:t>
      </w:r>
      <w:r w:rsidRPr="001C7B49">
        <w:rPr>
          <w:rFonts w:ascii="Arial" w:hAnsi="Arial" w:cs="Arial"/>
          <w:b/>
          <w:color w:val="FF0000"/>
          <w:sz w:val="22"/>
          <w:szCs w:val="22"/>
        </w:rPr>
        <w:t xml:space="preserve">) LAIP, para el plazo de </w:t>
      </w:r>
      <w:r>
        <w:rPr>
          <w:rFonts w:ascii="Arial" w:hAnsi="Arial" w:cs="Arial"/>
          <w:b/>
          <w:color w:val="FF0000"/>
          <w:sz w:val="22"/>
          <w:szCs w:val="22"/>
        </w:rPr>
        <w:t>SEIS MESES</w:t>
      </w:r>
      <w:r w:rsidRPr="001C7B49">
        <w:rPr>
          <w:rFonts w:ascii="Arial" w:hAnsi="Arial" w:cs="Arial"/>
          <w:b/>
          <w:color w:val="FF0000"/>
          <w:sz w:val="22"/>
          <w:szCs w:val="22"/>
        </w:rPr>
        <w:t xml:space="preserve">. Declaratoria de Reserva N° </w:t>
      </w:r>
      <w:r>
        <w:rPr>
          <w:rFonts w:ascii="Arial" w:hAnsi="Arial" w:cs="Arial"/>
          <w:b/>
          <w:color w:val="FF0000"/>
          <w:sz w:val="22"/>
          <w:szCs w:val="22"/>
        </w:rPr>
        <w:t>AG/2019/</w:t>
      </w:r>
      <w:r w:rsidR="008C501B">
        <w:rPr>
          <w:rFonts w:ascii="Arial" w:hAnsi="Arial" w:cs="Arial"/>
          <w:b/>
          <w:color w:val="FF0000"/>
          <w:sz w:val="22"/>
          <w:szCs w:val="22"/>
        </w:rPr>
        <w:t>1578</w:t>
      </w:r>
      <w:r w:rsidRPr="001C7B49">
        <w:rPr>
          <w:rFonts w:ascii="Arial" w:hAnsi="Arial" w:cs="Arial"/>
          <w:b/>
          <w:color w:val="FF0000"/>
          <w:sz w:val="22"/>
          <w:szCs w:val="22"/>
        </w:rPr>
        <w:t>.</w:t>
      </w:r>
    </w:p>
    <w:p w14:paraId="3AE0C466" w14:textId="77777777" w:rsidR="003D5F12" w:rsidRDefault="003D5F12"/>
    <w:p w14:paraId="5BDB43A3" w14:textId="77777777" w:rsidR="003D5F12" w:rsidRDefault="003D5F12"/>
    <w:p w14:paraId="05BEA21B" w14:textId="77777777" w:rsidR="003D5F12" w:rsidRPr="009E2A18" w:rsidRDefault="003D5F12" w:rsidP="003D5F12">
      <w:pPr>
        <w:jc w:val="both"/>
        <w:rPr>
          <w:rFonts w:ascii="Arial" w:hAnsi="Arial" w:cs="Arial"/>
          <w:b/>
          <w:bCs/>
          <w:lang w:val="es-MX"/>
        </w:rPr>
      </w:pPr>
      <w:r>
        <w:rPr>
          <w:rFonts w:ascii="Arial" w:hAnsi="Arial" w:cs="Arial"/>
          <w:b/>
          <w:bCs/>
          <w:lang w:val="es-MX"/>
        </w:rPr>
        <w:t xml:space="preserve">7) </w:t>
      </w:r>
      <w:r w:rsidRPr="006563B4">
        <w:rPr>
          <w:rFonts w:ascii="Arial" w:hAnsi="Arial" w:cs="Arial"/>
          <w:b/>
          <w:bCs/>
          <w:lang w:val="es-MX"/>
        </w:rPr>
        <w:t>NOMBRAMIENTO DE DIRECTORES DEL SECTOR P</w:t>
      </w:r>
      <w:r>
        <w:rPr>
          <w:rFonts w:ascii="Arial" w:hAnsi="Arial" w:cs="Arial"/>
          <w:b/>
          <w:bCs/>
          <w:lang w:val="es-MX"/>
        </w:rPr>
        <w:t>ATRONAL</w:t>
      </w:r>
      <w:r w:rsidRPr="006563B4">
        <w:rPr>
          <w:rFonts w:ascii="Arial" w:hAnsi="Arial" w:cs="Arial"/>
          <w:b/>
          <w:bCs/>
          <w:lang w:val="es-MX"/>
        </w:rPr>
        <w:t xml:space="preserve">. </w:t>
      </w:r>
      <w:r w:rsidRPr="00FB4A9E">
        <w:rPr>
          <w:rFonts w:ascii="Arial" w:hAnsi="Arial" w:cs="Arial"/>
        </w:rPr>
        <w:t>El Presidente de la Asamblea de Gobernadores solicitó a los señores Gobernadores del Sector Patronal, la presentación de propuesta para nombrar a los Directores</w:t>
      </w:r>
      <w:r>
        <w:rPr>
          <w:rFonts w:ascii="Arial" w:hAnsi="Arial" w:cs="Arial"/>
        </w:rPr>
        <w:t>,</w:t>
      </w:r>
      <w:r w:rsidRPr="00FB4A9E">
        <w:rPr>
          <w:rFonts w:ascii="Arial" w:hAnsi="Arial" w:cs="Arial"/>
        </w:rPr>
        <w:t xml:space="preserve"> </w:t>
      </w:r>
      <w:r>
        <w:rPr>
          <w:rFonts w:ascii="Arial" w:hAnsi="Arial" w:cs="Arial"/>
        </w:rPr>
        <w:t>representantes de dicho s</w:t>
      </w:r>
      <w:r w:rsidRPr="00FB4A9E">
        <w:rPr>
          <w:rFonts w:ascii="Arial" w:hAnsi="Arial" w:cs="Arial"/>
        </w:rPr>
        <w:t xml:space="preserve">ector ante la Junta Directiva del FSV, </w:t>
      </w:r>
      <w:r>
        <w:rPr>
          <w:rFonts w:ascii="Arial" w:hAnsi="Arial" w:cs="Arial"/>
        </w:rPr>
        <w:t>dado</w:t>
      </w:r>
      <w:r w:rsidRPr="00FB4A9E">
        <w:rPr>
          <w:rFonts w:ascii="Arial" w:hAnsi="Arial" w:cs="Arial"/>
        </w:rPr>
        <w:t xml:space="preserve"> el vencimiento del período de los actuales</w:t>
      </w:r>
      <w:r>
        <w:rPr>
          <w:rFonts w:ascii="Arial" w:hAnsi="Arial" w:cs="Arial"/>
        </w:rPr>
        <w:t xml:space="preserve"> miembros</w:t>
      </w:r>
      <w:r w:rsidRPr="00FB4A9E">
        <w:rPr>
          <w:rFonts w:ascii="Arial" w:hAnsi="Arial" w:cs="Arial"/>
        </w:rPr>
        <w:t xml:space="preserve">. </w:t>
      </w:r>
      <w:r>
        <w:rPr>
          <w:rFonts w:ascii="Arial" w:hAnsi="Arial" w:cs="Arial"/>
        </w:rPr>
        <w:t xml:space="preserve">El </w:t>
      </w:r>
      <w:r w:rsidRPr="00FB4A9E">
        <w:rPr>
          <w:rFonts w:ascii="Arial" w:hAnsi="Arial" w:cs="Arial"/>
        </w:rPr>
        <w:t xml:space="preserve">Gobernador representante del sector patronal, </w:t>
      </w:r>
      <w:r>
        <w:rPr>
          <w:rFonts w:ascii="Arial" w:hAnsi="Arial" w:cs="Arial"/>
        </w:rPr>
        <w:t xml:space="preserve">presente en esta sesión, </w:t>
      </w:r>
      <w:r w:rsidRPr="00FB4A9E">
        <w:rPr>
          <w:rFonts w:ascii="Arial" w:hAnsi="Arial" w:cs="Arial"/>
        </w:rPr>
        <w:t>de conformidad con el Artículo 17 letra a),</w:t>
      </w:r>
      <w:r>
        <w:rPr>
          <w:rFonts w:ascii="Arial" w:hAnsi="Arial" w:cs="Arial"/>
        </w:rPr>
        <w:t xml:space="preserve"> de la Ley </w:t>
      </w:r>
      <w:r w:rsidRPr="00FB4A9E">
        <w:rPr>
          <w:rFonts w:ascii="Arial" w:hAnsi="Arial" w:cs="Arial"/>
        </w:rPr>
        <w:t>del Fondo Social para la V</w:t>
      </w:r>
      <w:r>
        <w:rPr>
          <w:rFonts w:ascii="Arial" w:hAnsi="Arial" w:cs="Arial"/>
        </w:rPr>
        <w:t>ivienda,</w:t>
      </w:r>
      <w:r w:rsidRPr="00FB4A9E">
        <w:rPr>
          <w:rFonts w:ascii="Arial" w:hAnsi="Arial" w:cs="Arial"/>
        </w:rPr>
        <w:t xml:space="preserve"> propus</w:t>
      </w:r>
      <w:r>
        <w:rPr>
          <w:rFonts w:ascii="Arial" w:hAnsi="Arial" w:cs="Arial"/>
        </w:rPr>
        <w:t>o</w:t>
      </w:r>
      <w:r w:rsidRPr="00FB4A9E">
        <w:rPr>
          <w:rFonts w:ascii="Arial" w:hAnsi="Arial" w:cs="Arial"/>
        </w:rPr>
        <w:t xml:space="preserve"> como miembros de la Junta Directiva del Fondo Social para la V</w:t>
      </w:r>
      <w:r>
        <w:rPr>
          <w:rFonts w:ascii="Arial" w:hAnsi="Arial" w:cs="Arial"/>
        </w:rPr>
        <w:t xml:space="preserve">ivienda, por el Sector Patronal, </w:t>
      </w:r>
      <w:r w:rsidRPr="00FB4A9E">
        <w:rPr>
          <w:rFonts w:ascii="Arial" w:hAnsi="Arial" w:cs="Arial"/>
        </w:rPr>
        <w:t xml:space="preserve">a los señores: </w:t>
      </w:r>
      <w:r>
        <w:rPr>
          <w:rFonts w:ascii="Arial" w:hAnsi="Arial" w:cs="Arial"/>
        </w:rPr>
        <w:t>Ingeniero José Ernesto Escobar Canales</w:t>
      </w:r>
      <w:r w:rsidRPr="00FB4A9E">
        <w:rPr>
          <w:rFonts w:ascii="Arial" w:hAnsi="Arial" w:cs="Arial"/>
        </w:rPr>
        <w:t xml:space="preserve">, como Director Propietario; y </w:t>
      </w:r>
      <w:r>
        <w:rPr>
          <w:rFonts w:ascii="Arial" w:hAnsi="Arial" w:cs="Arial"/>
        </w:rPr>
        <w:t>a la Licenciada Angela Lelany Bigueur González</w:t>
      </w:r>
      <w:r w:rsidRPr="00FB4A9E">
        <w:rPr>
          <w:rFonts w:ascii="Arial" w:hAnsi="Arial" w:cs="Arial"/>
        </w:rPr>
        <w:t>, como Director</w:t>
      </w:r>
      <w:r>
        <w:rPr>
          <w:rFonts w:ascii="Arial" w:hAnsi="Arial" w:cs="Arial"/>
        </w:rPr>
        <w:t>a</w:t>
      </w:r>
      <w:r w:rsidRPr="00FB4A9E">
        <w:rPr>
          <w:rFonts w:ascii="Arial" w:hAnsi="Arial" w:cs="Arial"/>
        </w:rPr>
        <w:t xml:space="preserve"> Suplente</w:t>
      </w:r>
      <w:r>
        <w:rPr>
          <w:rFonts w:ascii="Arial" w:hAnsi="Arial" w:cs="Arial"/>
        </w:rPr>
        <w:t>, habiendo presentado, además, el currículum vitae de ambos candidatos</w:t>
      </w:r>
      <w:r w:rsidRPr="00FB4A9E">
        <w:rPr>
          <w:rFonts w:ascii="Arial" w:hAnsi="Arial" w:cs="Arial"/>
        </w:rPr>
        <w:t>. La Asamblea de Gobernadores por unanimidad</w:t>
      </w:r>
      <w:r w:rsidRPr="00FB4A9E">
        <w:rPr>
          <w:rFonts w:ascii="Arial" w:hAnsi="Arial" w:cs="Arial"/>
          <w:b/>
        </w:rPr>
        <w:t xml:space="preserve"> ACUERDA:</w:t>
      </w:r>
    </w:p>
    <w:p w14:paraId="7D5D89C5" w14:textId="77777777" w:rsidR="003D5F12" w:rsidRPr="00FB4A9E" w:rsidRDefault="003D5F12" w:rsidP="003D5F12">
      <w:pPr>
        <w:jc w:val="both"/>
        <w:rPr>
          <w:rFonts w:ascii="Arial" w:hAnsi="Arial" w:cs="Arial"/>
        </w:rPr>
      </w:pPr>
    </w:p>
    <w:p w14:paraId="087B51F7" w14:textId="77777777" w:rsidR="003D5F12" w:rsidRPr="00FB4A9E" w:rsidRDefault="003D5F12" w:rsidP="003D5F12">
      <w:pPr>
        <w:jc w:val="both"/>
        <w:rPr>
          <w:rFonts w:ascii="Arial" w:hAnsi="Arial" w:cs="Arial"/>
        </w:rPr>
      </w:pPr>
      <w:r w:rsidRPr="00FB4A9E">
        <w:rPr>
          <w:rFonts w:ascii="Arial" w:hAnsi="Arial" w:cs="Arial"/>
        </w:rPr>
        <w:t>Nombrar como miembros de la junta directiva del Fondo Social para la Vivienda, por el Sector Patronal a los señores:</w:t>
      </w:r>
      <w:r>
        <w:rPr>
          <w:rFonts w:ascii="Arial" w:hAnsi="Arial" w:cs="Arial"/>
        </w:rPr>
        <w:t xml:space="preserve"> </w:t>
      </w:r>
      <w:r w:rsidRPr="00840AB1">
        <w:rPr>
          <w:rFonts w:ascii="Arial" w:hAnsi="Arial" w:cs="Arial"/>
          <w:b/>
        </w:rPr>
        <w:t>INGENIERO JOSÉ ERNESTO ESCOBAR CANALES</w:t>
      </w:r>
      <w:r w:rsidRPr="00FB4A9E">
        <w:rPr>
          <w:rFonts w:ascii="Arial" w:hAnsi="Arial" w:cs="Arial"/>
          <w:b/>
        </w:rPr>
        <w:t>, DIRECTOR PROPIETARIO</w:t>
      </w:r>
      <w:r>
        <w:rPr>
          <w:rFonts w:ascii="Arial" w:hAnsi="Arial" w:cs="Arial"/>
          <w:b/>
        </w:rPr>
        <w:t xml:space="preserve">, y </w:t>
      </w:r>
      <w:r w:rsidRPr="00840AB1">
        <w:rPr>
          <w:rFonts w:ascii="Arial" w:hAnsi="Arial" w:cs="Arial"/>
          <w:b/>
        </w:rPr>
        <w:t>LIC</w:t>
      </w:r>
      <w:r>
        <w:rPr>
          <w:rFonts w:ascii="Arial" w:hAnsi="Arial" w:cs="Arial"/>
          <w:b/>
        </w:rPr>
        <w:t>ENCIADA</w:t>
      </w:r>
      <w:r w:rsidRPr="00840AB1">
        <w:rPr>
          <w:rFonts w:ascii="Arial" w:hAnsi="Arial" w:cs="Arial"/>
          <w:b/>
        </w:rPr>
        <w:t xml:space="preserve"> ANGELA LELAN</w:t>
      </w:r>
      <w:r>
        <w:rPr>
          <w:rFonts w:ascii="Arial" w:hAnsi="Arial" w:cs="Arial"/>
          <w:b/>
        </w:rPr>
        <w:t>Y</w:t>
      </w:r>
      <w:r w:rsidRPr="00840AB1">
        <w:rPr>
          <w:rFonts w:ascii="Arial" w:hAnsi="Arial" w:cs="Arial"/>
          <w:b/>
        </w:rPr>
        <w:t xml:space="preserve"> BIG</w:t>
      </w:r>
      <w:r>
        <w:rPr>
          <w:rFonts w:ascii="Arial" w:hAnsi="Arial" w:cs="Arial"/>
          <w:b/>
        </w:rPr>
        <w:t>UEU</w:t>
      </w:r>
      <w:r w:rsidRPr="00840AB1">
        <w:rPr>
          <w:rFonts w:ascii="Arial" w:hAnsi="Arial" w:cs="Arial"/>
          <w:b/>
        </w:rPr>
        <w:t>R GONZÁLEZ</w:t>
      </w:r>
      <w:r w:rsidRPr="00FB4A9E">
        <w:rPr>
          <w:rFonts w:ascii="Arial" w:hAnsi="Arial" w:cs="Arial"/>
          <w:b/>
        </w:rPr>
        <w:t>, DIRECTOR</w:t>
      </w:r>
      <w:r>
        <w:rPr>
          <w:rFonts w:ascii="Arial" w:hAnsi="Arial" w:cs="Arial"/>
          <w:b/>
        </w:rPr>
        <w:t>A</w:t>
      </w:r>
      <w:r w:rsidRPr="00FB4A9E">
        <w:rPr>
          <w:rFonts w:ascii="Arial" w:hAnsi="Arial" w:cs="Arial"/>
          <w:b/>
        </w:rPr>
        <w:t xml:space="preserve"> SUPLENTE,</w:t>
      </w:r>
      <w:r w:rsidRPr="00FB4A9E">
        <w:rPr>
          <w:rFonts w:ascii="Arial" w:hAnsi="Arial" w:cs="Arial"/>
        </w:rPr>
        <w:t xml:space="preserve"> por un perío</w:t>
      </w:r>
      <w:r>
        <w:rPr>
          <w:rFonts w:ascii="Arial" w:hAnsi="Arial" w:cs="Arial"/>
        </w:rPr>
        <w:t>do de tres años, a partir del 18 de octubre de 2019.</w:t>
      </w:r>
    </w:p>
    <w:p w14:paraId="7E042CE5" w14:textId="77777777" w:rsidR="003D5F12" w:rsidRDefault="003D5F12"/>
    <w:p w14:paraId="013B47EE" w14:textId="77777777" w:rsidR="003D5F12" w:rsidRDefault="003D5F12"/>
    <w:p w14:paraId="4A977578" w14:textId="329BE41F" w:rsidR="001F769F" w:rsidRDefault="001F769F" w:rsidP="00FE1AC3">
      <w:pPr>
        <w:jc w:val="both"/>
        <w:rPr>
          <w:rFonts w:ascii="Arial" w:hAnsi="Arial" w:cs="Arial"/>
          <w:lang w:val="es-SV"/>
        </w:rPr>
      </w:pPr>
      <w:r>
        <w:rPr>
          <w:rFonts w:ascii="Arial" w:hAnsi="Arial" w:cs="Arial"/>
          <w:b/>
          <w:noProof/>
        </w:rPr>
        <mc:AlternateContent>
          <mc:Choice Requires="wps">
            <w:drawing>
              <wp:anchor distT="0" distB="0" distL="114300" distR="114300" simplePos="0" relativeHeight="251661312" behindDoc="0" locked="0" layoutInCell="1" allowOverlap="1" wp14:anchorId="218B4757" wp14:editId="611E87FE">
                <wp:simplePos x="0" y="0"/>
                <wp:positionH relativeFrom="column">
                  <wp:posOffset>2476499</wp:posOffset>
                </wp:positionH>
                <wp:positionV relativeFrom="paragraph">
                  <wp:posOffset>1392555</wp:posOffset>
                </wp:positionV>
                <wp:extent cx="1038225" cy="1038225"/>
                <wp:effectExtent l="0" t="0" r="28575" b="28575"/>
                <wp:wrapNone/>
                <wp:docPr id="3" name="Conector recto 3"/>
                <wp:cNvGraphicFramePr/>
                <a:graphic xmlns:a="http://schemas.openxmlformats.org/drawingml/2006/main">
                  <a:graphicData uri="http://schemas.microsoft.com/office/word/2010/wordprocessingShape">
                    <wps:wsp>
                      <wps:cNvCnPr/>
                      <wps:spPr>
                        <a:xfrm flipV="1">
                          <a:off x="0" y="0"/>
                          <a:ext cx="1038225" cy="1038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3B565E"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95pt,109.65pt" to="276.75pt,1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" strokecolor="#5b9bd5 [3204]" strokeweight=".5pt">
                <v:stroke joinstyle="miter"/>
              </v:line>
            </w:pict>
          </mc:Fallback>
        </mc:AlternateContent>
      </w:r>
      <w:r w:rsidR="00FE1AC3">
        <w:rPr>
          <w:rFonts w:ascii="Arial" w:hAnsi="Arial" w:cs="Arial"/>
          <w:b/>
        </w:rPr>
        <w:t>8</w:t>
      </w:r>
      <w:r w:rsidR="00FE1AC3" w:rsidRPr="00077AAA">
        <w:rPr>
          <w:rFonts w:ascii="Arial" w:hAnsi="Arial" w:cs="Arial"/>
          <w:b/>
        </w:rPr>
        <w:t xml:space="preserve">) SEGUIMIENTO DE ACUERDOS. </w:t>
      </w:r>
      <w:r w:rsidR="005918CA" w:rsidRPr="005918CA">
        <w:rPr>
          <w:rFonts w:ascii="Arial" w:hAnsi="Arial" w:cs="Arial"/>
        </w:rPr>
        <w:t>Se hace constar que a partir de</w:t>
      </w:r>
      <w:r w:rsidR="005918CA">
        <w:rPr>
          <w:rFonts w:ascii="Arial" w:hAnsi="Arial" w:cs="Arial"/>
        </w:rPr>
        <w:t xml:space="preserve"> este punto en adelante</w:t>
      </w:r>
      <w:r w:rsidR="005918CA" w:rsidRPr="005918CA">
        <w:rPr>
          <w:rFonts w:ascii="Arial" w:hAnsi="Arial" w:cs="Arial"/>
        </w:rPr>
        <w:t xml:space="preserve"> </w:t>
      </w:r>
      <w:r w:rsidR="005918CA">
        <w:rPr>
          <w:rFonts w:ascii="Arial" w:hAnsi="Arial" w:cs="Arial"/>
        </w:rPr>
        <w:t xml:space="preserve">se retiró de la sesión el Presidente </w:t>
      </w:r>
      <w:r w:rsidR="00FE1AC3">
        <w:rPr>
          <w:rFonts w:ascii="Arial" w:hAnsi="Arial" w:cs="Arial"/>
        </w:rPr>
        <w:t>de la Asamblea de Gobernadores</w:t>
      </w:r>
      <w:r w:rsidR="005918CA">
        <w:rPr>
          <w:rFonts w:ascii="Arial" w:hAnsi="Arial" w:cs="Arial"/>
        </w:rPr>
        <w:t>, quedando</w:t>
      </w:r>
      <w:r w:rsidR="00FE1AC3">
        <w:rPr>
          <w:rFonts w:ascii="Arial" w:hAnsi="Arial" w:cs="Arial"/>
        </w:rPr>
        <w:t xml:space="preserve"> en Funciones</w:t>
      </w:r>
      <w:r w:rsidR="003F3993">
        <w:rPr>
          <w:rFonts w:ascii="Arial" w:hAnsi="Arial" w:cs="Arial"/>
        </w:rPr>
        <w:t xml:space="preserve"> la señora Viceministra de Trabajo, de conformidad con lo establecido en el Art. 11 de la Ley del FSV. La Presidenta de la Asamblea de Gobernadores en Funciones </w:t>
      </w:r>
      <w:r w:rsidR="00FE1AC3" w:rsidRPr="00077AAA">
        <w:rPr>
          <w:rFonts w:ascii="Arial" w:hAnsi="Arial" w:cs="Arial"/>
        </w:rPr>
        <w:t>somet</w:t>
      </w:r>
      <w:r w:rsidR="00FE1AC3">
        <w:rPr>
          <w:rFonts w:ascii="Arial" w:hAnsi="Arial" w:cs="Arial"/>
        </w:rPr>
        <w:t>ió</w:t>
      </w:r>
      <w:r w:rsidR="00FE1AC3" w:rsidRPr="00077AAA">
        <w:rPr>
          <w:rFonts w:ascii="Arial" w:hAnsi="Arial" w:cs="Arial"/>
        </w:rPr>
        <w:t xml:space="preserve"> a consideración de los Gobernadores el informe sobre el seguimiento de acuerdos de sesiones de Asamblea de Gobernadores. Se invitó para su exposición al Licenciado Luis Josué Ventura Hernández, Gerente de Planificación,</w:t>
      </w:r>
      <w:r w:rsidR="00A41B2A">
        <w:rPr>
          <w:rFonts w:ascii="Arial" w:hAnsi="Arial" w:cs="Arial"/>
        </w:rPr>
        <w:t xml:space="preserve"> </w:t>
      </w:r>
      <w:r w:rsidR="00FE1AC3" w:rsidRPr="00077AAA">
        <w:rPr>
          <w:rFonts w:ascii="Arial" w:hAnsi="Arial" w:cs="Arial"/>
        </w:rPr>
        <w:t>quien indicó que este informe comprende los acuerdos correspondientes a las Sesiones</w:t>
      </w:r>
      <w:r w:rsidR="00FE1AC3" w:rsidRPr="00077AAA">
        <w:rPr>
          <w:rFonts w:ascii="Arial" w:hAnsi="Arial" w:cs="Arial"/>
          <w:lang w:val="es-SV"/>
        </w:rPr>
        <w:t xml:space="preserve"> </w:t>
      </w:r>
    </w:p>
    <w:p w14:paraId="377CA383" w14:textId="77777777" w:rsidR="001F769F" w:rsidRDefault="001F769F" w:rsidP="00FE1AC3">
      <w:pPr>
        <w:jc w:val="both"/>
        <w:rPr>
          <w:rFonts w:ascii="Arial" w:hAnsi="Arial" w:cs="Arial"/>
          <w:lang w:val="es-SV"/>
        </w:rPr>
      </w:pPr>
    </w:p>
    <w:p w14:paraId="7A1FBA7A" w14:textId="77777777" w:rsidR="001F769F" w:rsidRDefault="001F769F" w:rsidP="00FE1AC3">
      <w:pPr>
        <w:jc w:val="both"/>
        <w:rPr>
          <w:rFonts w:ascii="Arial" w:hAnsi="Arial" w:cs="Arial"/>
          <w:lang w:val="es-SV"/>
        </w:rPr>
      </w:pPr>
    </w:p>
    <w:p w14:paraId="2BAEC35D" w14:textId="77777777" w:rsidR="001F769F" w:rsidRDefault="001F769F" w:rsidP="00FE1AC3">
      <w:pPr>
        <w:jc w:val="both"/>
        <w:rPr>
          <w:rFonts w:ascii="Arial" w:hAnsi="Arial" w:cs="Arial"/>
          <w:lang w:val="es-SV"/>
        </w:rPr>
      </w:pPr>
    </w:p>
    <w:p w14:paraId="3BEF96CA" w14:textId="77777777" w:rsidR="001F769F" w:rsidRDefault="001F769F" w:rsidP="00FE1AC3">
      <w:pPr>
        <w:jc w:val="both"/>
        <w:rPr>
          <w:rFonts w:ascii="Arial" w:hAnsi="Arial" w:cs="Arial"/>
          <w:lang w:val="es-SV"/>
        </w:rPr>
      </w:pPr>
    </w:p>
    <w:p w14:paraId="3BE3BD7E" w14:textId="77777777" w:rsidR="001F769F" w:rsidRDefault="001F769F" w:rsidP="00FE1AC3">
      <w:pPr>
        <w:jc w:val="both"/>
        <w:rPr>
          <w:rFonts w:ascii="Arial" w:hAnsi="Arial" w:cs="Arial"/>
          <w:lang w:val="es-SV"/>
        </w:rPr>
      </w:pPr>
    </w:p>
    <w:p w14:paraId="5389D1F4" w14:textId="77777777" w:rsidR="001F769F" w:rsidRDefault="001F769F" w:rsidP="00FE1AC3">
      <w:pPr>
        <w:jc w:val="both"/>
        <w:rPr>
          <w:rFonts w:ascii="Arial" w:hAnsi="Arial" w:cs="Arial"/>
          <w:lang w:val="es-SV"/>
        </w:rPr>
      </w:pPr>
    </w:p>
    <w:p w14:paraId="5A4316F4" w14:textId="4A98FDB0" w:rsidR="00FE1AC3" w:rsidRPr="00077AAA" w:rsidRDefault="001F769F" w:rsidP="00FE1AC3">
      <w:pPr>
        <w:jc w:val="both"/>
        <w:rPr>
          <w:rFonts w:ascii="Arial" w:hAnsi="Arial" w:cs="Arial"/>
          <w:b/>
        </w:rPr>
      </w:pPr>
      <w:r>
        <w:rPr>
          <w:rFonts w:ascii="Arial" w:hAnsi="Arial" w:cs="Arial"/>
          <w:lang w:val="es-SV"/>
        </w:rPr>
        <w:t xml:space="preserve">                                                                      </w:t>
      </w:r>
      <w:r w:rsidR="00FE1AC3" w:rsidRPr="00077AAA">
        <w:rPr>
          <w:rFonts w:ascii="Arial" w:hAnsi="Arial" w:cs="Arial"/>
        </w:rPr>
        <w:t xml:space="preserve">Luego de la exposición realizada, contenida en el documento que se anexa a la presente acta, se solicita dar por recibido el seguimiento de los </w:t>
      </w:r>
      <w:r w:rsidR="00FE1AC3" w:rsidRPr="00077AAA">
        <w:rPr>
          <w:rFonts w:ascii="Arial" w:hAnsi="Arial" w:cs="Arial"/>
        </w:rPr>
        <w:lastRenderedPageBreak/>
        <w:t xml:space="preserve">acuerdos antes indicados. </w:t>
      </w:r>
      <w:r w:rsidR="00FE1AC3" w:rsidRPr="00077AAA">
        <w:rPr>
          <w:rFonts w:ascii="Arial" w:hAnsi="Arial" w:cs="Arial"/>
          <w:lang w:val="es-MX"/>
        </w:rPr>
        <w:t xml:space="preserve">La Asamblea de Gobernadores, luego de conocer el informe presentado por el </w:t>
      </w:r>
      <w:r w:rsidR="00FE1AC3" w:rsidRPr="00077AAA">
        <w:rPr>
          <w:rFonts w:ascii="Arial" w:hAnsi="Arial" w:cs="Arial"/>
        </w:rPr>
        <w:t xml:space="preserve">Licenciado Luis Josué Ventura Hernández, Gerente de Planificación, por unanimidad </w:t>
      </w:r>
      <w:r w:rsidR="00FE1AC3" w:rsidRPr="00077AAA">
        <w:rPr>
          <w:rFonts w:ascii="Arial" w:hAnsi="Arial" w:cs="Arial"/>
          <w:b/>
        </w:rPr>
        <w:t>ACUERDA:</w:t>
      </w:r>
    </w:p>
    <w:p w14:paraId="5AD46FE6" w14:textId="77777777" w:rsidR="00FE1AC3" w:rsidRPr="00077AAA" w:rsidRDefault="00FE1AC3" w:rsidP="00FE1AC3">
      <w:pPr>
        <w:keepNext/>
        <w:spacing w:before="240" w:after="60"/>
        <w:contextualSpacing/>
        <w:jc w:val="both"/>
        <w:outlineLvl w:val="0"/>
        <w:rPr>
          <w:rFonts w:ascii="Arial" w:hAnsi="Arial" w:cs="Arial"/>
          <w:b/>
        </w:rPr>
      </w:pPr>
    </w:p>
    <w:p w14:paraId="797523D5" w14:textId="58FDBC0D" w:rsidR="003C26E2" w:rsidRDefault="001F769F" w:rsidP="00652DD8">
      <w:pPr>
        <w:pStyle w:val="Prrafodelista"/>
        <w:numPr>
          <w:ilvl w:val="0"/>
          <w:numId w:val="10"/>
        </w:numPr>
        <w:ind w:left="360"/>
        <w:jc w:val="both"/>
        <w:rPr>
          <w:rFonts w:ascii="Arial" w:hAnsi="Arial" w:cs="Arial"/>
          <w:lang w:val="es-SV"/>
        </w:rPr>
      </w:pPr>
      <w:r>
        <w:rPr>
          <w:rFonts w:ascii="Arial" w:hAnsi="Arial" w:cs="Arial"/>
          <w:noProof/>
        </w:rPr>
        <mc:AlternateContent>
          <mc:Choice Requires="wps">
            <w:drawing>
              <wp:anchor distT="0" distB="0" distL="114300" distR="114300" simplePos="0" relativeHeight="251662336" behindDoc="0" locked="0" layoutInCell="1" allowOverlap="1" wp14:anchorId="19243184" wp14:editId="25E67223">
                <wp:simplePos x="0" y="0"/>
                <wp:positionH relativeFrom="column">
                  <wp:posOffset>2740660</wp:posOffset>
                </wp:positionH>
                <wp:positionV relativeFrom="paragraph">
                  <wp:posOffset>317500</wp:posOffset>
                </wp:positionV>
                <wp:extent cx="704850" cy="71437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704850" cy="714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8C09B4"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15.8pt,25pt" to="271.3pt,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" strokecolor="#5b9bd5 [3204]" strokeweight=".5pt">
                <v:stroke joinstyle="miter"/>
              </v:line>
            </w:pict>
          </mc:Fallback>
        </mc:AlternateContent>
      </w:r>
      <w:r w:rsidR="00FE1AC3" w:rsidRPr="001F769F">
        <w:rPr>
          <w:rFonts w:ascii="Arial" w:hAnsi="Arial" w:cs="Arial"/>
        </w:rPr>
        <w:t xml:space="preserve">Dar por recibido el seguimiento de acuerdos de Asamblea de Gobernadores correspondiente a las Sesiones </w:t>
      </w:r>
      <w:r w:rsidR="00FE1AC3" w:rsidRPr="001F769F">
        <w:rPr>
          <w:rFonts w:ascii="Arial" w:hAnsi="Arial" w:cs="Arial"/>
          <w:lang w:val="es-SV"/>
        </w:rPr>
        <w:t>número</w:t>
      </w:r>
      <w:r w:rsidR="00EF3603" w:rsidRPr="001F769F">
        <w:rPr>
          <w:rFonts w:ascii="Arial" w:hAnsi="Arial" w:cs="Arial"/>
          <w:lang w:val="es-SV"/>
        </w:rPr>
        <w:t xml:space="preserve">s </w:t>
      </w:r>
    </w:p>
    <w:p w14:paraId="263F90C8" w14:textId="6FA20293" w:rsidR="001F769F" w:rsidRDefault="001F769F" w:rsidP="001F769F">
      <w:pPr>
        <w:pStyle w:val="Prrafodelista"/>
        <w:ind w:left="360"/>
        <w:jc w:val="both"/>
        <w:rPr>
          <w:rFonts w:ascii="Arial" w:hAnsi="Arial" w:cs="Arial"/>
          <w:lang w:val="es-SV"/>
        </w:rPr>
      </w:pPr>
    </w:p>
    <w:p w14:paraId="3549AAE7" w14:textId="662E302A" w:rsidR="001F769F" w:rsidRDefault="001F769F" w:rsidP="001F769F">
      <w:pPr>
        <w:pStyle w:val="Prrafodelista"/>
        <w:ind w:left="360"/>
        <w:jc w:val="both"/>
        <w:rPr>
          <w:rFonts w:ascii="Arial" w:hAnsi="Arial" w:cs="Arial"/>
          <w:lang w:val="es-SV"/>
        </w:rPr>
      </w:pPr>
    </w:p>
    <w:p w14:paraId="14FAA9B4" w14:textId="6F4D2E30" w:rsidR="001F769F" w:rsidRDefault="001F769F" w:rsidP="001F769F">
      <w:pPr>
        <w:pStyle w:val="Prrafodelista"/>
        <w:ind w:left="360"/>
        <w:jc w:val="both"/>
        <w:rPr>
          <w:rFonts w:ascii="Arial" w:hAnsi="Arial" w:cs="Arial"/>
          <w:lang w:val="es-SV"/>
        </w:rPr>
      </w:pPr>
    </w:p>
    <w:p w14:paraId="7EF1D26E" w14:textId="1E22D4DA" w:rsidR="001F769F" w:rsidRDefault="001F769F" w:rsidP="001F769F">
      <w:pPr>
        <w:pStyle w:val="Prrafodelista"/>
        <w:ind w:left="360"/>
        <w:jc w:val="both"/>
        <w:rPr>
          <w:rFonts w:ascii="Arial" w:hAnsi="Arial" w:cs="Arial"/>
          <w:lang w:val="es-SV"/>
        </w:rPr>
      </w:pPr>
    </w:p>
    <w:p w14:paraId="394C71A8" w14:textId="77777777" w:rsidR="001F769F" w:rsidRPr="001F769F" w:rsidRDefault="001F769F" w:rsidP="001F769F">
      <w:pPr>
        <w:pStyle w:val="Prrafodelista"/>
        <w:ind w:left="360"/>
        <w:jc w:val="both"/>
        <w:rPr>
          <w:rFonts w:ascii="Arial" w:hAnsi="Arial" w:cs="Arial"/>
          <w:lang w:val="es-SV"/>
        </w:rPr>
      </w:pPr>
    </w:p>
    <w:p w14:paraId="1DECAB5A" w14:textId="77777777" w:rsidR="003C26E2" w:rsidRPr="005C6284" w:rsidRDefault="003C26E2" w:rsidP="005C6284">
      <w:pPr>
        <w:pStyle w:val="Prrafodelista"/>
        <w:numPr>
          <w:ilvl w:val="0"/>
          <w:numId w:val="10"/>
        </w:numPr>
        <w:ind w:left="360"/>
        <w:jc w:val="both"/>
        <w:rPr>
          <w:rFonts w:ascii="Arial" w:hAnsi="Arial" w:cs="Arial"/>
          <w:lang w:val="es-SV"/>
        </w:rPr>
      </w:pPr>
      <w:r w:rsidRPr="005C6284">
        <w:rPr>
          <w:rFonts w:ascii="Arial" w:hAnsi="Arial" w:cs="Arial"/>
          <w:lang w:val="es-SV"/>
        </w:rPr>
        <w:t>Dejar sin efec</w:t>
      </w:r>
      <w:r w:rsidR="003E10C2" w:rsidRPr="005C6284">
        <w:rPr>
          <w:rFonts w:ascii="Arial" w:hAnsi="Arial" w:cs="Arial"/>
          <w:lang w:val="es-SV"/>
        </w:rPr>
        <w:t>to el acuerdo B) del punto 17) “RESULTADOS DE MODIFICACIÓN DEL ART. 223 DE LA LEY SAP”, de la sesión de Asamblea de Gobernadores N° AG-160 del 21 de marzo de 2019, conforme lo expuesto.</w:t>
      </w:r>
    </w:p>
    <w:p w14:paraId="111C61BF" w14:textId="4A369D35" w:rsidR="001F769F" w:rsidRPr="001F769F" w:rsidRDefault="001F769F" w:rsidP="001F769F">
      <w:pPr>
        <w:spacing w:line="360" w:lineRule="auto"/>
        <w:jc w:val="both"/>
        <w:rPr>
          <w:rFonts w:ascii="Arial" w:hAnsi="Arial" w:cs="Arial"/>
          <w:b/>
          <w:color w:val="FF0000"/>
          <w:sz w:val="22"/>
          <w:szCs w:val="22"/>
        </w:rPr>
      </w:pPr>
      <w:r w:rsidRPr="001F769F">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e</w:t>
      </w:r>
      <w:r w:rsidRPr="001F769F">
        <w:rPr>
          <w:rFonts w:ascii="Arial" w:hAnsi="Arial" w:cs="Arial"/>
          <w:b/>
          <w:color w:val="FF0000"/>
          <w:sz w:val="22"/>
          <w:szCs w:val="22"/>
        </w:rPr>
        <w:t xml:space="preserve">) LAIP, para el plazo de </w:t>
      </w:r>
      <w:r>
        <w:rPr>
          <w:rFonts w:ascii="Arial" w:hAnsi="Arial" w:cs="Arial"/>
          <w:b/>
          <w:color w:val="FF0000"/>
          <w:sz w:val="22"/>
          <w:szCs w:val="22"/>
        </w:rPr>
        <w:t>TRES MESES</w:t>
      </w:r>
      <w:r w:rsidRPr="001F769F">
        <w:rPr>
          <w:rFonts w:ascii="Arial" w:hAnsi="Arial" w:cs="Arial"/>
          <w:b/>
          <w:color w:val="FF0000"/>
          <w:sz w:val="22"/>
          <w:szCs w:val="22"/>
        </w:rPr>
        <w:t xml:space="preserve">. Declaratoria de Reserva N° </w:t>
      </w:r>
      <w:r>
        <w:rPr>
          <w:rFonts w:ascii="Arial" w:hAnsi="Arial" w:cs="Arial"/>
          <w:b/>
          <w:color w:val="FF0000"/>
          <w:sz w:val="22"/>
          <w:szCs w:val="22"/>
        </w:rPr>
        <w:t>AG/2019/</w:t>
      </w:r>
      <w:r w:rsidR="008C501B">
        <w:rPr>
          <w:rFonts w:ascii="Arial" w:hAnsi="Arial" w:cs="Arial"/>
          <w:b/>
          <w:color w:val="FF0000"/>
          <w:sz w:val="22"/>
          <w:szCs w:val="22"/>
        </w:rPr>
        <w:t>1579</w:t>
      </w:r>
      <w:bookmarkStart w:id="1" w:name="_GoBack"/>
      <w:bookmarkEnd w:id="1"/>
      <w:r w:rsidRPr="001F769F">
        <w:rPr>
          <w:rFonts w:ascii="Arial" w:hAnsi="Arial" w:cs="Arial"/>
          <w:b/>
          <w:color w:val="FF0000"/>
          <w:sz w:val="22"/>
          <w:szCs w:val="22"/>
        </w:rPr>
        <w:t>.</w:t>
      </w:r>
    </w:p>
    <w:p w14:paraId="1B7650AC" w14:textId="77777777" w:rsidR="00FE1AC3" w:rsidRPr="00077AAA" w:rsidRDefault="00FE1AC3" w:rsidP="00FE1AC3">
      <w:pPr>
        <w:jc w:val="both"/>
        <w:rPr>
          <w:rFonts w:ascii="Arial" w:hAnsi="Arial" w:cs="Arial"/>
          <w:lang w:val="es-SV"/>
        </w:rPr>
      </w:pPr>
    </w:p>
    <w:p w14:paraId="25019A12" w14:textId="77777777" w:rsidR="00FE1AC3" w:rsidRDefault="00FE1AC3"/>
    <w:p w14:paraId="4980783C" w14:textId="77777777" w:rsidR="00A10BA0" w:rsidRDefault="004E2EE6" w:rsidP="00A10BA0">
      <w:pPr>
        <w:keepNext/>
        <w:spacing w:before="240" w:after="60"/>
        <w:contextualSpacing/>
        <w:jc w:val="both"/>
        <w:outlineLvl w:val="0"/>
        <w:rPr>
          <w:rFonts w:ascii="Arial" w:eastAsia="Arial Unicode MS" w:hAnsi="Arial" w:cs="Arial"/>
          <w:b/>
        </w:rPr>
      </w:pPr>
      <w:r>
        <w:rPr>
          <w:rFonts w:ascii="Arial" w:hAnsi="Arial" w:cs="Arial"/>
          <w:b/>
          <w:bCs/>
          <w:kern w:val="32"/>
        </w:rPr>
        <w:t>9) ACUERDO DE RESOLUCIÓN SOBRE INFORMACIÓN RESERVADA DE ESTA SESIÓ</w:t>
      </w:r>
      <w:r w:rsidRPr="0026368D">
        <w:rPr>
          <w:rFonts w:ascii="Arial" w:hAnsi="Arial" w:cs="Arial"/>
          <w:b/>
          <w:bCs/>
          <w:kern w:val="32"/>
        </w:rPr>
        <w:t>N</w:t>
      </w:r>
      <w:r>
        <w:rPr>
          <w:rFonts w:ascii="Arial" w:hAnsi="Arial" w:cs="Arial"/>
          <w:b/>
          <w:bCs/>
          <w:kern w:val="32"/>
        </w:rPr>
        <w:t xml:space="preserve">. </w:t>
      </w:r>
      <w:r w:rsidRPr="0026368D">
        <w:rPr>
          <w:rFonts w:ascii="Arial" w:eastAsia="Arial Unicode MS" w:hAnsi="Arial" w:cs="Arial"/>
        </w:rPr>
        <w:t xml:space="preserve">Los Gobernadores presentes, conforme lo dispuesto en el Art. 19 de la Ley de Acceso a la Información Pública y a lo establecido en los Arts. 27 y 28 del Reglamento de la Ley de Acceso a la Información Pública; y punto 11) del acta de sesión de Asamblea de Gobernadores AG-131 del 4 de diciembre de 2012, </w:t>
      </w:r>
      <w:r w:rsidR="00A10BA0" w:rsidRPr="003E1508">
        <w:rPr>
          <w:rFonts w:ascii="Arial" w:eastAsia="Arial Unicode MS" w:hAnsi="Arial" w:cs="Arial"/>
        </w:rPr>
        <w:t xml:space="preserve">por unanimidad </w:t>
      </w:r>
      <w:r w:rsidR="00A10BA0" w:rsidRPr="00C01B79">
        <w:rPr>
          <w:rFonts w:ascii="Arial" w:eastAsia="Arial Unicode MS" w:hAnsi="Arial" w:cs="Arial"/>
          <w:b/>
        </w:rPr>
        <w:t>RESUELVEN:</w:t>
      </w:r>
    </w:p>
    <w:p w14:paraId="60916B83" w14:textId="77777777" w:rsidR="00A10BA0" w:rsidRDefault="00A10BA0" w:rsidP="004E2EE6">
      <w:pPr>
        <w:jc w:val="both"/>
        <w:rPr>
          <w:rFonts w:ascii="Arial" w:eastAsia="Arial Unicode MS" w:hAnsi="Arial" w:cs="Arial"/>
          <w:b/>
        </w:rPr>
      </w:pPr>
    </w:p>
    <w:p w14:paraId="45D67900" w14:textId="77777777" w:rsidR="00A10BA0" w:rsidRPr="001E7623" w:rsidRDefault="00A10BA0" w:rsidP="00A10BA0">
      <w:pPr>
        <w:jc w:val="both"/>
        <w:rPr>
          <w:rFonts w:ascii="Arial" w:eastAsia="Arial Unicode MS" w:hAnsi="Arial" w:cs="Arial"/>
        </w:rPr>
      </w:pPr>
      <w:r w:rsidRPr="001E7623">
        <w:rPr>
          <w:rFonts w:ascii="Arial" w:eastAsia="Arial Unicode MS" w:hAnsi="Arial" w:cs="Arial"/>
          <w:lang w:val="es-MX"/>
        </w:rPr>
        <w:t>Declarar como información reservada los puntos de acta siguientes:</w:t>
      </w:r>
    </w:p>
    <w:p w14:paraId="4FECCADE" w14:textId="77777777" w:rsidR="00A10BA0" w:rsidRDefault="00A10BA0" w:rsidP="004E2EE6">
      <w:pPr>
        <w:jc w:val="both"/>
        <w:rPr>
          <w:rFonts w:ascii="Arial" w:eastAsia="Arial Unicode MS" w:hAnsi="Arial" w:cs="Arial"/>
          <w:b/>
        </w:rPr>
      </w:pPr>
    </w:p>
    <w:p w14:paraId="4A2F86A2" w14:textId="77777777" w:rsidR="00A10BA0" w:rsidRPr="005E2C81" w:rsidRDefault="00A10BA0" w:rsidP="003D5080">
      <w:pPr>
        <w:pStyle w:val="Textoindependiente"/>
        <w:spacing w:line="240" w:lineRule="auto"/>
        <w:jc w:val="both"/>
        <w:rPr>
          <w:rFonts w:ascii="Arial" w:eastAsia="Arial Unicode MS" w:hAnsi="Arial" w:cs="Arial"/>
          <w:sz w:val="24"/>
          <w:szCs w:val="24"/>
        </w:rPr>
      </w:pPr>
      <w:r w:rsidRPr="003D5080">
        <w:rPr>
          <w:rFonts w:ascii="Arial" w:eastAsia="Arial Unicode MS" w:hAnsi="Arial" w:cs="Arial"/>
          <w:sz w:val="24"/>
          <w:szCs w:val="24"/>
          <w:lang w:val="es-MX"/>
        </w:rPr>
        <w:t>Punto</w:t>
      </w:r>
      <w:r w:rsidRPr="003D5080">
        <w:rPr>
          <w:rFonts w:ascii="Arial" w:eastAsia="Arial Unicode MS" w:hAnsi="Arial" w:cs="Arial"/>
          <w:b/>
          <w:sz w:val="24"/>
          <w:szCs w:val="24"/>
          <w:lang w:val="es-MX"/>
        </w:rPr>
        <w:t xml:space="preserve"> </w:t>
      </w:r>
      <w:r w:rsidR="003D5080" w:rsidRPr="003D5080">
        <w:rPr>
          <w:rFonts w:ascii="Arial" w:eastAsia="Arial Unicode MS" w:hAnsi="Arial" w:cs="Arial"/>
          <w:b/>
          <w:sz w:val="24"/>
          <w:szCs w:val="24"/>
          <w:lang w:val="es-MX"/>
        </w:rPr>
        <w:t>6</w:t>
      </w:r>
      <w:r w:rsidRPr="003D5080">
        <w:rPr>
          <w:rFonts w:ascii="Arial" w:eastAsia="Arial Unicode MS" w:hAnsi="Arial" w:cs="Arial"/>
          <w:b/>
          <w:sz w:val="24"/>
          <w:szCs w:val="24"/>
          <w:lang w:val="es-MX"/>
        </w:rPr>
        <w:t xml:space="preserve">. </w:t>
      </w:r>
      <w:r w:rsidR="003D5080" w:rsidRPr="003D5080">
        <w:rPr>
          <w:rFonts w:ascii="Arial" w:eastAsia="Arial Unicode MS" w:hAnsi="Arial" w:cs="Arial"/>
          <w:b/>
          <w:sz w:val="24"/>
          <w:szCs w:val="24"/>
          <w:lang w:val="es-MX"/>
        </w:rPr>
        <w:t>PRESUPU</w:t>
      </w:r>
      <w:r w:rsidR="003D5080" w:rsidRPr="003D5080">
        <w:rPr>
          <w:rFonts w:ascii="Arial" w:hAnsi="Arial" w:cs="Arial"/>
          <w:b/>
          <w:snapToGrid w:val="0"/>
          <w:sz w:val="24"/>
          <w:szCs w:val="24"/>
          <w:lang w:val="pt-BR"/>
        </w:rPr>
        <w:t xml:space="preserve">ESUPUESTO DE INGRESOS Y EGRESOS 2020 </w:t>
      </w:r>
      <w:r w:rsidRPr="003D5080">
        <w:rPr>
          <w:rFonts w:ascii="Arial" w:eastAsia="Arial Unicode MS" w:hAnsi="Arial" w:cs="Arial"/>
          <w:bCs/>
          <w:sz w:val="24"/>
          <w:szCs w:val="24"/>
        </w:rPr>
        <w:t>y sus respectivos anexos</w:t>
      </w:r>
      <w:r w:rsidRPr="003D5080">
        <w:rPr>
          <w:rFonts w:ascii="Arial" w:eastAsia="Arial Unicode MS" w:hAnsi="Arial" w:cs="Arial"/>
          <w:sz w:val="24"/>
          <w:szCs w:val="24"/>
        </w:rPr>
        <w:t xml:space="preserve">, </w:t>
      </w:r>
      <w:r w:rsidRPr="005E2C81">
        <w:rPr>
          <w:rFonts w:ascii="Arial" w:eastAsia="Arial Unicode MS" w:hAnsi="Arial" w:cs="Arial"/>
          <w:sz w:val="24"/>
          <w:szCs w:val="24"/>
          <w:lang w:val="es-MX"/>
        </w:rPr>
        <w:t xml:space="preserve">conforme a lo determinado en el </w:t>
      </w:r>
      <w:r w:rsidRPr="005E2C81">
        <w:rPr>
          <w:rFonts w:ascii="Arial" w:eastAsia="Arial Unicode MS" w:hAnsi="Arial" w:cs="Arial"/>
          <w:b/>
          <w:sz w:val="24"/>
          <w:szCs w:val="24"/>
          <w:lang w:val="es-MX"/>
        </w:rPr>
        <w:t>Art. 19 letra g,</w:t>
      </w:r>
      <w:r w:rsidRPr="005E2C81">
        <w:rPr>
          <w:rFonts w:ascii="Arial" w:eastAsia="Arial Unicode MS" w:hAnsi="Arial" w:cs="Arial"/>
          <w:sz w:val="24"/>
          <w:szCs w:val="24"/>
          <w:lang w:val="es-MX"/>
        </w:rPr>
        <w:t xml:space="preserve"> por cuanto su divulgación puede comprometer estrategias en procedimientos administrativos establecidos en dicho punto, por cuanto aún se encuentra en curso. Esta reserva se declara por el plazo de </w:t>
      </w:r>
      <w:r w:rsidR="003D5080" w:rsidRPr="005E2C81">
        <w:rPr>
          <w:rFonts w:ascii="Arial" w:eastAsia="Arial Unicode MS" w:hAnsi="Arial" w:cs="Arial"/>
          <w:sz w:val="24"/>
          <w:szCs w:val="24"/>
          <w:lang w:val="es-MX"/>
        </w:rPr>
        <w:t>180 días</w:t>
      </w:r>
      <w:r w:rsidRPr="005E2C81">
        <w:rPr>
          <w:rFonts w:ascii="Arial" w:eastAsia="Arial Unicode MS" w:hAnsi="Arial" w:cs="Arial"/>
          <w:sz w:val="24"/>
          <w:szCs w:val="24"/>
        </w:rPr>
        <w:t xml:space="preserve">. Pueden tener acceso y conocimiento de este punto: La Presidencia y Dirección Ejecutiva, la Gerencia General, Auditoría Interna, Gerencia de </w:t>
      </w:r>
      <w:r w:rsidR="003D5080" w:rsidRPr="005E2C81">
        <w:rPr>
          <w:rFonts w:ascii="Arial" w:eastAsia="Arial Unicode MS" w:hAnsi="Arial" w:cs="Arial"/>
          <w:sz w:val="24"/>
          <w:szCs w:val="24"/>
        </w:rPr>
        <w:t>Finanzas</w:t>
      </w:r>
      <w:r w:rsidRPr="005E2C81">
        <w:rPr>
          <w:rFonts w:ascii="Arial" w:eastAsia="Arial Unicode MS" w:hAnsi="Arial" w:cs="Arial"/>
          <w:sz w:val="24"/>
          <w:szCs w:val="24"/>
        </w:rPr>
        <w:t>, Gerencia de Planificación, Unidad Técnica Legal, el Consejo de Vigilancia, y las Jefaturas de las Unidades y/o Áreas involucradas, en lo que a sus funciones corresponda.</w:t>
      </w:r>
    </w:p>
    <w:p w14:paraId="1C4CC27B" w14:textId="77777777" w:rsidR="00A10BA0" w:rsidRPr="005E2C81" w:rsidRDefault="00A10BA0" w:rsidP="00A10BA0">
      <w:pPr>
        <w:jc w:val="both"/>
        <w:rPr>
          <w:rFonts w:ascii="Arial" w:eastAsia="Arial Unicode MS" w:hAnsi="Arial" w:cs="Arial"/>
        </w:rPr>
      </w:pPr>
    </w:p>
    <w:p w14:paraId="47CDA30D" w14:textId="77777777" w:rsidR="00A10BA0" w:rsidRPr="005E2C81" w:rsidRDefault="00A10BA0" w:rsidP="005E2C81">
      <w:pPr>
        <w:pStyle w:val="Textoindependiente"/>
        <w:spacing w:line="240" w:lineRule="auto"/>
        <w:jc w:val="both"/>
        <w:rPr>
          <w:rFonts w:ascii="Arial" w:eastAsia="Arial Unicode MS" w:hAnsi="Arial" w:cs="Arial"/>
          <w:sz w:val="24"/>
          <w:szCs w:val="24"/>
        </w:rPr>
      </w:pPr>
      <w:r w:rsidRPr="005E2C81">
        <w:rPr>
          <w:rFonts w:ascii="Arial" w:eastAsia="Arial Unicode MS" w:hAnsi="Arial" w:cs="Arial"/>
          <w:b/>
          <w:sz w:val="24"/>
          <w:szCs w:val="24"/>
          <w:lang w:val="es-MX"/>
        </w:rPr>
        <w:t xml:space="preserve">Punto </w:t>
      </w:r>
      <w:r w:rsidR="005E2C81" w:rsidRPr="005E2C81">
        <w:rPr>
          <w:rFonts w:ascii="Arial" w:eastAsia="Arial Unicode MS" w:hAnsi="Arial" w:cs="Arial"/>
          <w:b/>
          <w:sz w:val="24"/>
          <w:szCs w:val="24"/>
          <w:lang w:val="es-MX"/>
        </w:rPr>
        <w:t>8</w:t>
      </w:r>
      <w:r w:rsidRPr="005E2C81">
        <w:rPr>
          <w:rFonts w:ascii="Arial" w:eastAsia="Arial Unicode MS" w:hAnsi="Arial" w:cs="Arial"/>
          <w:b/>
          <w:sz w:val="24"/>
          <w:szCs w:val="24"/>
          <w:lang w:val="es-MX"/>
        </w:rPr>
        <w:t>.</w:t>
      </w:r>
      <w:r w:rsidRPr="005E2C81">
        <w:rPr>
          <w:rFonts w:ascii="Arial" w:hAnsi="Arial" w:cs="Arial"/>
          <w:b/>
          <w:sz w:val="24"/>
          <w:szCs w:val="24"/>
        </w:rPr>
        <w:t xml:space="preserve"> </w:t>
      </w:r>
      <w:r w:rsidR="005E2C81" w:rsidRPr="005E2C81">
        <w:rPr>
          <w:rFonts w:ascii="Arial" w:hAnsi="Arial" w:cs="Arial"/>
          <w:b/>
          <w:snapToGrid w:val="0"/>
          <w:sz w:val="24"/>
          <w:szCs w:val="24"/>
        </w:rPr>
        <w:t>SEGUIMIENTO DE ACUERDOS</w:t>
      </w:r>
      <w:r w:rsidRPr="005E2C81">
        <w:rPr>
          <w:rFonts w:ascii="Arial" w:eastAsia="Arial Unicode MS" w:hAnsi="Arial" w:cs="Arial"/>
          <w:sz w:val="24"/>
          <w:szCs w:val="24"/>
          <w:lang w:val="es-MX"/>
        </w:rPr>
        <w:t>,</w:t>
      </w:r>
      <w:r w:rsidRPr="005E2C81">
        <w:rPr>
          <w:rFonts w:ascii="Arial" w:eastAsia="Arial Unicode MS" w:hAnsi="Arial" w:cs="Arial"/>
          <w:b/>
          <w:sz w:val="24"/>
          <w:szCs w:val="24"/>
          <w:lang w:val="es-MX"/>
        </w:rPr>
        <w:t xml:space="preserve"> </w:t>
      </w:r>
      <w:r w:rsidRPr="005E2C81">
        <w:rPr>
          <w:rFonts w:ascii="Arial" w:eastAsia="Arial Unicode MS" w:hAnsi="Arial" w:cs="Arial"/>
          <w:bCs/>
          <w:sz w:val="24"/>
          <w:szCs w:val="24"/>
        </w:rPr>
        <w:t>y sus respectivos anexos</w:t>
      </w:r>
      <w:r w:rsidRPr="005E2C81">
        <w:rPr>
          <w:rFonts w:ascii="Arial" w:eastAsia="Arial Unicode MS" w:hAnsi="Arial" w:cs="Arial"/>
          <w:sz w:val="24"/>
          <w:szCs w:val="24"/>
        </w:rPr>
        <w:t xml:space="preserve">, </w:t>
      </w:r>
      <w:r w:rsidRPr="005E2C81">
        <w:rPr>
          <w:rFonts w:ascii="Arial" w:eastAsia="Arial Unicode MS" w:hAnsi="Arial" w:cs="Arial"/>
          <w:sz w:val="24"/>
          <w:szCs w:val="24"/>
          <w:lang w:val="es-MX"/>
        </w:rPr>
        <w:t xml:space="preserve">en base a lo determinado en el </w:t>
      </w:r>
      <w:r w:rsidRPr="005E2C81">
        <w:rPr>
          <w:rFonts w:ascii="Arial" w:eastAsia="Arial Unicode MS" w:hAnsi="Arial" w:cs="Arial"/>
          <w:b/>
          <w:sz w:val="24"/>
          <w:szCs w:val="24"/>
          <w:lang w:val="es-MX"/>
        </w:rPr>
        <w:t>Art. 19 letra e,</w:t>
      </w:r>
      <w:r w:rsidRPr="005E2C81">
        <w:rPr>
          <w:rFonts w:ascii="Arial" w:eastAsia="Arial Unicode MS" w:hAnsi="Arial" w:cs="Arial"/>
          <w:sz w:val="24"/>
          <w:szCs w:val="24"/>
          <w:lang w:val="es-MX"/>
        </w:rPr>
        <w:t xml:space="preserve"> ya que su divulgación puede entorpecer las opiniones y recomendaciones del proceso administrativo establecido en dicho punto, por cuanto aún se encuentra en curso. Esta declaratoria de reserva se otorga por el plazo de 90 días. Pueden tener acceso y conocimiento de este punto: </w:t>
      </w:r>
      <w:r w:rsidRPr="005E2C81">
        <w:rPr>
          <w:rFonts w:ascii="Arial" w:eastAsia="Arial Unicode MS" w:hAnsi="Arial" w:cs="Arial"/>
          <w:sz w:val="24"/>
          <w:szCs w:val="24"/>
        </w:rPr>
        <w:t xml:space="preserve">La Presidencia y Dirección Ejecutiva, la </w:t>
      </w:r>
      <w:r w:rsidRPr="005E2C81">
        <w:rPr>
          <w:rFonts w:ascii="Arial" w:eastAsia="Arial Unicode MS" w:hAnsi="Arial" w:cs="Arial"/>
          <w:sz w:val="24"/>
          <w:szCs w:val="24"/>
          <w:lang w:val="es-MX"/>
        </w:rPr>
        <w:t>Gerencia General, Auditoría Interna, Gerencia de Créditos, Gerencia Legal, Gerencia de Planificación, Consejo de Vigilancia y Jefaturas de las Unidades y/o Áreas involucradas, en lo que a sus funciones corresponda.</w:t>
      </w:r>
    </w:p>
    <w:p w14:paraId="36F516AB" w14:textId="77777777" w:rsidR="00A10BA0" w:rsidRPr="005E2C81" w:rsidRDefault="00A10BA0" w:rsidP="00A10BA0"/>
    <w:p w14:paraId="73737C01" w14:textId="77777777" w:rsidR="004E2EE6" w:rsidRPr="0055716E" w:rsidRDefault="004E2EE6" w:rsidP="004E2EE6">
      <w:pPr>
        <w:jc w:val="both"/>
        <w:rPr>
          <w:rFonts w:ascii="Arial" w:hAnsi="Arial" w:cs="Arial"/>
          <w:lang w:val="es-MX"/>
        </w:rPr>
      </w:pPr>
      <w:r w:rsidRPr="0055716E">
        <w:rPr>
          <w:rFonts w:ascii="Arial" w:hAnsi="Arial" w:cs="Arial"/>
          <w:lang w:val="es-MX"/>
        </w:rPr>
        <w:t xml:space="preserve">Y no habiendo más que hacer constar se levanta la sesión a las </w:t>
      </w:r>
      <w:r>
        <w:rPr>
          <w:rFonts w:ascii="Arial" w:hAnsi="Arial" w:cs="Arial"/>
          <w:lang w:val="es-MX"/>
        </w:rPr>
        <w:t>once</w:t>
      </w:r>
      <w:r w:rsidRPr="0055716E">
        <w:rPr>
          <w:rFonts w:ascii="Arial" w:hAnsi="Arial" w:cs="Arial"/>
          <w:lang w:val="es-MX"/>
        </w:rPr>
        <w:t xml:space="preserve"> horas del día mencionado al inicio de la presente, y firmamos.</w:t>
      </w:r>
    </w:p>
    <w:p w14:paraId="3069230F" w14:textId="77777777" w:rsidR="004E2EE6" w:rsidRDefault="004E2EE6" w:rsidP="004E2EE6">
      <w:pPr>
        <w:jc w:val="both"/>
        <w:rPr>
          <w:rFonts w:ascii="Arial" w:hAnsi="Arial" w:cs="Arial"/>
          <w:b/>
        </w:rPr>
      </w:pPr>
    </w:p>
    <w:p w14:paraId="055AE9C8" w14:textId="77777777" w:rsidR="00390A3D" w:rsidRDefault="00390A3D" w:rsidP="00390A3D">
      <w:pPr>
        <w:spacing w:line="360" w:lineRule="auto"/>
        <w:jc w:val="both"/>
        <w:rPr>
          <w:rFonts w:ascii="Arial" w:hAnsi="Arial" w:cs="Arial"/>
          <w:b/>
          <w:bCs/>
          <w:iCs/>
          <w:sz w:val="22"/>
          <w:szCs w:val="22"/>
          <w:lang w:eastAsia="es-SV"/>
        </w:rPr>
      </w:pPr>
      <w:r w:rsidRPr="00DF2072">
        <w:rPr>
          <w:rFonts w:ascii="Arial" w:hAnsi="Arial" w:cs="Arial"/>
          <w:b/>
          <w:i/>
          <w:sz w:val="22"/>
          <w:szCs w:val="22"/>
        </w:rPr>
        <w:t>La presente acta es conforme con su original, la cual se encuentra firmada por los Gobernadores:</w:t>
      </w:r>
      <w:r>
        <w:rPr>
          <w:rFonts w:ascii="Arial" w:hAnsi="Arial" w:cs="Arial"/>
          <w:b/>
          <w:i/>
          <w:sz w:val="22"/>
          <w:szCs w:val="22"/>
        </w:rPr>
        <w:t xml:space="preserve"> </w:t>
      </w:r>
      <w:r w:rsidRPr="00670B34">
        <w:rPr>
          <w:rFonts w:ascii="Arial" w:hAnsi="Arial" w:cs="Arial"/>
          <w:b/>
          <w:i/>
          <w:sz w:val="22"/>
          <w:szCs w:val="22"/>
        </w:rPr>
        <w:t>Lic</w:t>
      </w:r>
      <w:r>
        <w:rPr>
          <w:rFonts w:ascii="Arial" w:hAnsi="Arial" w:cs="Arial"/>
          <w:b/>
          <w:i/>
          <w:sz w:val="22"/>
          <w:szCs w:val="22"/>
        </w:rPr>
        <w:t>.</w:t>
      </w:r>
      <w:r w:rsidRPr="00670B34">
        <w:rPr>
          <w:rFonts w:ascii="Arial" w:hAnsi="Arial" w:cs="Arial"/>
          <w:b/>
          <w:i/>
          <w:sz w:val="22"/>
          <w:szCs w:val="22"/>
        </w:rPr>
        <w:t xml:space="preserve"> Edgar Romeo Rodriguez Herrera, Licda. Maritza </w:t>
      </w:r>
      <w:r>
        <w:rPr>
          <w:rFonts w:ascii="Arial" w:hAnsi="Arial" w:cs="Arial"/>
          <w:b/>
          <w:i/>
        </w:rPr>
        <w:t xml:space="preserve">Haydeé </w:t>
      </w:r>
      <w:r w:rsidRPr="00670B34">
        <w:rPr>
          <w:rFonts w:ascii="Arial" w:hAnsi="Arial" w:cs="Arial"/>
          <w:b/>
          <w:i/>
          <w:sz w:val="22"/>
          <w:szCs w:val="22"/>
        </w:rPr>
        <w:t xml:space="preserve">Calderón </w:t>
      </w:r>
      <w:r>
        <w:rPr>
          <w:rFonts w:ascii="Arial" w:hAnsi="Arial" w:cs="Arial"/>
          <w:b/>
          <w:i/>
          <w:sz w:val="22"/>
          <w:szCs w:val="22"/>
        </w:rPr>
        <w:t>d</w:t>
      </w:r>
      <w:r w:rsidRPr="00670B34">
        <w:rPr>
          <w:rFonts w:ascii="Arial" w:hAnsi="Arial" w:cs="Arial"/>
          <w:b/>
          <w:i/>
          <w:sz w:val="22"/>
          <w:szCs w:val="22"/>
        </w:rPr>
        <w:t>e Ríos</w:t>
      </w:r>
      <w:r>
        <w:rPr>
          <w:rFonts w:ascii="Arial" w:hAnsi="Arial" w:cs="Arial"/>
          <w:b/>
          <w:i/>
        </w:rPr>
        <w:t xml:space="preserve">, Lic. Miguel Angel Corleto, </w:t>
      </w:r>
      <w:r w:rsidRPr="00670B34">
        <w:rPr>
          <w:rFonts w:ascii="Arial" w:hAnsi="Arial" w:cs="Arial"/>
          <w:b/>
          <w:i/>
          <w:sz w:val="22"/>
          <w:szCs w:val="22"/>
        </w:rPr>
        <w:t>Lic</w:t>
      </w:r>
      <w:r>
        <w:rPr>
          <w:rFonts w:ascii="Arial" w:hAnsi="Arial" w:cs="Arial"/>
          <w:b/>
          <w:i/>
          <w:sz w:val="22"/>
          <w:szCs w:val="22"/>
        </w:rPr>
        <w:t>.</w:t>
      </w:r>
      <w:r w:rsidRPr="00670B34">
        <w:rPr>
          <w:rFonts w:ascii="Arial" w:hAnsi="Arial" w:cs="Arial"/>
          <w:b/>
          <w:i/>
          <w:sz w:val="22"/>
          <w:szCs w:val="22"/>
        </w:rPr>
        <w:t xml:space="preserve"> </w:t>
      </w:r>
      <w:r>
        <w:rPr>
          <w:rFonts w:ascii="Arial" w:hAnsi="Arial" w:cs="Arial"/>
          <w:b/>
          <w:i/>
        </w:rPr>
        <w:t>Oscar Anaya</w:t>
      </w:r>
      <w:r w:rsidRPr="00670B34">
        <w:rPr>
          <w:rFonts w:ascii="Arial" w:hAnsi="Arial" w:cs="Arial"/>
          <w:b/>
          <w:i/>
          <w:sz w:val="22"/>
          <w:szCs w:val="22"/>
        </w:rPr>
        <w:t>, Sr</w:t>
      </w:r>
      <w:r>
        <w:rPr>
          <w:rFonts w:ascii="Arial" w:hAnsi="Arial" w:cs="Arial"/>
          <w:b/>
          <w:i/>
          <w:sz w:val="22"/>
          <w:szCs w:val="22"/>
        </w:rPr>
        <w:t>.</w:t>
      </w:r>
      <w:r w:rsidRPr="00670B34">
        <w:rPr>
          <w:rFonts w:ascii="Arial" w:hAnsi="Arial" w:cs="Arial"/>
          <w:b/>
          <w:i/>
          <w:sz w:val="22"/>
          <w:szCs w:val="22"/>
        </w:rPr>
        <w:t xml:space="preserve"> Ernesto Marroquín Alegría, Sr</w:t>
      </w:r>
      <w:r>
        <w:rPr>
          <w:rFonts w:ascii="Arial" w:hAnsi="Arial" w:cs="Arial"/>
          <w:b/>
          <w:i/>
          <w:sz w:val="22"/>
          <w:szCs w:val="22"/>
        </w:rPr>
        <w:t>.</w:t>
      </w:r>
      <w:r w:rsidRPr="00670B34">
        <w:rPr>
          <w:rFonts w:ascii="Arial" w:hAnsi="Arial" w:cs="Arial"/>
          <w:b/>
          <w:i/>
          <w:sz w:val="22"/>
          <w:szCs w:val="22"/>
        </w:rPr>
        <w:t xml:space="preserve"> Israel S</w:t>
      </w:r>
      <w:r>
        <w:rPr>
          <w:rFonts w:ascii="Arial" w:hAnsi="Arial" w:cs="Arial"/>
          <w:b/>
          <w:i/>
        </w:rPr>
        <w:t>á</w:t>
      </w:r>
      <w:r w:rsidRPr="00670B34">
        <w:rPr>
          <w:rFonts w:ascii="Arial" w:hAnsi="Arial" w:cs="Arial"/>
          <w:b/>
          <w:i/>
          <w:sz w:val="22"/>
          <w:szCs w:val="22"/>
        </w:rPr>
        <w:t>nchez Cruz, Ing</w:t>
      </w:r>
      <w:r>
        <w:rPr>
          <w:rFonts w:ascii="Arial" w:hAnsi="Arial" w:cs="Arial"/>
          <w:b/>
          <w:i/>
          <w:sz w:val="22"/>
          <w:szCs w:val="22"/>
        </w:rPr>
        <w:t>.</w:t>
      </w:r>
      <w:r w:rsidRPr="00670B34">
        <w:rPr>
          <w:rFonts w:ascii="Arial" w:hAnsi="Arial" w:cs="Arial"/>
          <w:b/>
          <w:i/>
          <w:sz w:val="22"/>
          <w:szCs w:val="22"/>
        </w:rPr>
        <w:t xml:space="preserve"> Pedro Alberto S</w:t>
      </w:r>
      <w:r>
        <w:rPr>
          <w:rFonts w:ascii="Arial" w:hAnsi="Arial" w:cs="Arial"/>
          <w:b/>
          <w:i/>
        </w:rPr>
        <w:t>á</w:t>
      </w:r>
      <w:r w:rsidRPr="00670B34">
        <w:rPr>
          <w:rFonts w:ascii="Arial" w:hAnsi="Arial" w:cs="Arial"/>
          <w:b/>
          <w:i/>
          <w:sz w:val="22"/>
          <w:szCs w:val="22"/>
        </w:rPr>
        <w:t>nchez Sansivirini, Sr</w:t>
      </w:r>
      <w:r>
        <w:rPr>
          <w:rFonts w:ascii="Arial" w:hAnsi="Arial" w:cs="Arial"/>
          <w:b/>
          <w:i/>
          <w:sz w:val="22"/>
          <w:szCs w:val="22"/>
        </w:rPr>
        <w:t>.</w:t>
      </w:r>
      <w:r w:rsidRPr="00670B34">
        <w:rPr>
          <w:rFonts w:ascii="Arial" w:hAnsi="Arial" w:cs="Arial"/>
          <w:b/>
          <w:i/>
          <w:sz w:val="22"/>
          <w:szCs w:val="22"/>
        </w:rPr>
        <w:t xml:space="preserve"> Julio C</w:t>
      </w:r>
      <w:r>
        <w:rPr>
          <w:rFonts w:ascii="Arial" w:hAnsi="Arial" w:cs="Arial"/>
          <w:b/>
          <w:i/>
        </w:rPr>
        <w:t>é</w:t>
      </w:r>
      <w:r w:rsidRPr="00670B34">
        <w:rPr>
          <w:rFonts w:ascii="Arial" w:hAnsi="Arial" w:cs="Arial"/>
          <w:b/>
          <w:i/>
          <w:sz w:val="22"/>
          <w:szCs w:val="22"/>
        </w:rPr>
        <w:t>sar Flores</w:t>
      </w:r>
      <w:r>
        <w:rPr>
          <w:rFonts w:ascii="Arial" w:hAnsi="Arial" w:cs="Arial"/>
          <w:b/>
          <w:i/>
        </w:rPr>
        <w:t xml:space="preserve"> y</w:t>
      </w:r>
      <w:r w:rsidRPr="00670B34">
        <w:rPr>
          <w:rFonts w:ascii="Arial" w:hAnsi="Arial" w:cs="Arial"/>
          <w:b/>
          <w:i/>
          <w:sz w:val="22"/>
          <w:szCs w:val="22"/>
        </w:rPr>
        <w:t xml:space="preserve"> Sr</w:t>
      </w:r>
      <w:r>
        <w:rPr>
          <w:rFonts w:ascii="Arial" w:hAnsi="Arial" w:cs="Arial"/>
          <w:b/>
          <w:i/>
          <w:sz w:val="22"/>
          <w:szCs w:val="22"/>
        </w:rPr>
        <w:t>.</w:t>
      </w:r>
      <w:r w:rsidRPr="00670B34">
        <w:rPr>
          <w:rFonts w:ascii="Arial" w:hAnsi="Arial" w:cs="Arial"/>
          <w:b/>
          <w:i/>
          <w:sz w:val="22"/>
          <w:szCs w:val="22"/>
        </w:rPr>
        <w:t xml:space="preserve"> Junior Alejandro Ayala</w:t>
      </w:r>
      <w:r>
        <w:rPr>
          <w:rFonts w:ascii="Arial" w:hAnsi="Arial" w:cs="Arial"/>
          <w:b/>
          <w:i/>
          <w:sz w:val="22"/>
          <w:szCs w:val="22"/>
        </w:rPr>
        <w:t>.</w:t>
      </w:r>
      <w:r w:rsidRPr="00DF2072">
        <w:rPr>
          <w:rFonts w:ascii="Arial" w:hAnsi="Arial" w:cs="Arial"/>
          <w:b/>
          <w:i/>
          <w:sz w:val="22"/>
          <w:szCs w:val="22"/>
        </w:rPr>
        <w:t xml:space="preserve"> </w:t>
      </w:r>
    </w:p>
    <w:p w14:paraId="4C72B11E" w14:textId="77777777" w:rsidR="004E2EE6" w:rsidRDefault="004E2EE6" w:rsidP="004E2EE6">
      <w:pPr>
        <w:jc w:val="both"/>
        <w:rPr>
          <w:rFonts w:ascii="Arial" w:hAnsi="Arial" w:cs="Arial"/>
          <w:b/>
        </w:rPr>
      </w:pPr>
    </w:p>
    <w:sectPr w:rsidR="004E2EE6" w:rsidSect="00B70A5A">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014A4" w14:textId="77777777" w:rsidR="003C10CD" w:rsidRDefault="003C10CD" w:rsidP="003C10CD">
      <w:r>
        <w:separator/>
      </w:r>
    </w:p>
  </w:endnote>
  <w:endnote w:type="continuationSeparator" w:id="0">
    <w:p w14:paraId="61BC7FC9" w14:textId="77777777" w:rsidR="003C10CD" w:rsidRDefault="003C10CD" w:rsidP="003C1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ED5CF" w14:textId="77777777" w:rsidR="003C10CD" w:rsidRDefault="003C10CD" w:rsidP="003C10CD">
      <w:r>
        <w:separator/>
      </w:r>
    </w:p>
  </w:footnote>
  <w:footnote w:type="continuationSeparator" w:id="0">
    <w:p w14:paraId="4A40B47B" w14:textId="77777777" w:rsidR="003C10CD" w:rsidRDefault="003C10CD" w:rsidP="003C1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225FD" w14:textId="09FE2319" w:rsidR="00C26187" w:rsidRPr="00953421" w:rsidRDefault="00C26187" w:rsidP="00C26187">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3F0839C5" w14:textId="77777777" w:rsidR="00C26187" w:rsidRDefault="00C26187" w:rsidP="00C26187">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399D12C2" w14:textId="77777777" w:rsidR="00C26187" w:rsidRPr="00953421" w:rsidRDefault="00C26187" w:rsidP="00C26187">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14:paraId="3CB5843E" w14:textId="0A08ADBF" w:rsidR="00C26187" w:rsidRDefault="00C26187">
    <w:pPr>
      <w:pStyle w:val="Encabezado"/>
    </w:pPr>
  </w:p>
  <w:p w14:paraId="70DE6FD2" w14:textId="77777777" w:rsidR="003C10CD" w:rsidRDefault="003C10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8668A"/>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524F0A"/>
    <w:multiLevelType w:val="hybridMultilevel"/>
    <w:tmpl w:val="0B7AAB4A"/>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3C85C5B"/>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3DD0A60"/>
    <w:multiLevelType w:val="hybridMultilevel"/>
    <w:tmpl w:val="4CE4169C"/>
    <w:lvl w:ilvl="0" w:tplc="34260CBC">
      <w:start w:val="1"/>
      <w:numFmt w:val="decimal"/>
      <w:lvlText w:val="%1."/>
      <w:lvlJc w:val="left"/>
      <w:pPr>
        <w:ind w:left="360" w:hanging="360"/>
      </w:pPr>
      <w:rPr>
        <w:rFonts w:hint="default"/>
        <w:b/>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2722737F"/>
    <w:multiLevelType w:val="hybridMultilevel"/>
    <w:tmpl w:val="1EE6D1EA"/>
    <w:lvl w:ilvl="0" w:tplc="440A000F">
      <w:start w:val="1"/>
      <w:numFmt w:val="decimal"/>
      <w:lvlText w:val="%1."/>
      <w:lvlJc w:val="left"/>
      <w:pPr>
        <w:tabs>
          <w:tab w:val="num" w:pos="360"/>
        </w:tabs>
        <w:ind w:left="360" w:hanging="360"/>
      </w:pPr>
      <w:rPr>
        <w:rFonts w:hint="default"/>
        <w:b/>
        <w:i w:val="0"/>
      </w:rPr>
    </w:lvl>
    <w:lvl w:ilvl="1" w:tplc="7F52F58A" w:tentative="1">
      <w:start w:val="1"/>
      <w:numFmt w:val="bullet"/>
      <w:lvlText w:val="•"/>
      <w:lvlJc w:val="left"/>
      <w:pPr>
        <w:tabs>
          <w:tab w:val="num" w:pos="1080"/>
        </w:tabs>
        <w:ind w:left="1080" w:hanging="360"/>
      </w:pPr>
      <w:rPr>
        <w:rFonts w:ascii="Arial" w:hAnsi="Arial" w:hint="default"/>
      </w:rPr>
    </w:lvl>
    <w:lvl w:ilvl="2" w:tplc="3C88A44C" w:tentative="1">
      <w:start w:val="1"/>
      <w:numFmt w:val="bullet"/>
      <w:lvlText w:val="•"/>
      <w:lvlJc w:val="left"/>
      <w:pPr>
        <w:tabs>
          <w:tab w:val="num" w:pos="1800"/>
        </w:tabs>
        <w:ind w:left="1800" w:hanging="360"/>
      </w:pPr>
      <w:rPr>
        <w:rFonts w:ascii="Arial" w:hAnsi="Arial" w:hint="default"/>
      </w:rPr>
    </w:lvl>
    <w:lvl w:ilvl="3" w:tplc="7B2258E6" w:tentative="1">
      <w:start w:val="1"/>
      <w:numFmt w:val="bullet"/>
      <w:lvlText w:val="•"/>
      <w:lvlJc w:val="left"/>
      <w:pPr>
        <w:tabs>
          <w:tab w:val="num" w:pos="2520"/>
        </w:tabs>
        <w:ind w:left="2520" w:hanging="360"/>
      </w:pPr>
      <w:rPr>
        <w:rFonts w:ascii="Arial" w:hAnsi="Arial" w:hint="default"/>
      </w:rPr>
    </w:lvl>
    <w:lvl w:ilvl="4" w:tplc="D1289D12" w:tentative="1">
      <w:start w:val="1"/>
      <w:numFmt w:val="bullet"/>
      <w:lvlText w:val="•"/>
      <w:lvlJc w:val="left"/>
      <w:pPr>
        <w:tabs>
          <w:tab w:val="num" w:pos="3240"/>
        </w:tabs>
        <w:ind w:left="3240" w:hanging="360"/>
      </w:pPr>
      <w:rPr>
        <w:rFonts w:ascii="Arial" w:hAnsi="Arial" w:hint="default"/>
      </w:rPr>
    </w:lvl>
    <w:lvl w:ilvl="5" w:tplc="34505B36" w:tentative="1">
      <w:start w:val="1"/>
      <w:numFmt w:val="bullet"/>
      <w:lvlText w:val="•"/>
      <w:lvlJc w:val="left"/>
      <w:pPr>
        <w:tabs>
          <w:tab w:val="num" w:pos="3960"/>
        </w:tabs>
        <w:ind w:left="3960" w:hanging="360"/>
      </w:pPr>
      <w:rPr>
        <w:rFonts w:ascii="Arial" w:hAnsi="Arial" w:hint="default"/>
      </w:rPr>
    </w:lvl>
    <w:lvl w:ilvl="6" w:tplc="87E87650" w:tentative="1">
      <w:start w:val="1"/>
      <w:numFmt w:val="bullet"/>
      <w:lvlText w:val="•"/>
      <w:lvlJc w:val="left"/>
      <w:pPr>
        <w:tabs>
          <w:tab w:val="num" w:pos="4680"/>
        </w:tabs>
        <w:ind w:left="4680" w:hanging="360"/>
      </w:pPr>
      <w:rPr>
        <w:rFonts w:ascii="Arial" w:hAnsi="Arial" w:hint="default"/>
      </w:rPr>
    </w:lvl>
    <w:lvl w:ilvl="7" w:tplc="42AA08C2" w:tentative="1">
      <w:start w:val="1"/>
      <w:numFmt w:val="bullet"/>
      <w:lvlText w:val="•"/>
      <w:lvlJc w:val="left"/>
      <w:pPr>
        <w:tabs>
          <w:tab w:val="num" w:pos="5400"/>
        </w:tabs>
        <w:ind w:left="5400" w:hanging="360"/>
      </w:pPr>
      <w:rPr>
        <w:rFonts w:ascii="Arial" w:hAnsi="Arial" w:hint="default"/>
      </w:rPr>
    </w:lvl>
    <w:lvl w:ilvl="8" w:tplc="3FACFB0E"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31C935FC"/>
    <w:multiLevelType w:val="hybridMultilevel"/>
    <w:tmpl w:val="66BE281A"/>
    <w:lvl w:ilvl="0" w:tplc="B446557E">
      <w:start w:val="1"/>
      <w:numFmt w:val="bullet"/>
      <w:lvlText w:val=""/>
      <w:lvlJc w:val="left"/>
      <w:pPr>
        <w:tabs>
          <w:tab w:val="num" w:pos="360"/>
        </w:tabs>
        <w:ind w:left="360" w:hanging="360"/>
      </w:pPr>
      <w:rPr>
        <w:rFonts w:ascii="Wingdings" w:hAnsi="Wingdings" w:hint="default"/>
      </w:rPr>
    </w:lvl>
    <w:lvl w:ilvl="1" w:tplc="27E62A10">
      <w:numFmt w:val="bullet"/>
      <w:lvlText w:val="•"/>
      <w:lvlJc w:val="left"/>
      <w:pPr>
        <w:tabs>
          <w:tab w:val="num" w:pos="1080"/>
        </w:tabs>
        <w:ind w:left="1080" w:hanging="360"/>
      </w:pPr>
      <w:rPr>
        <w:rFonts w:ascii="Arial" w:hAnsi="Arial" w:hint="default"/>
      </w:rPr>
    </w:lvl>
    <w:lvl w:ilvl="2" w:tplc="057A9A58" w:tentative="1">
      <w:start w:val="1"/>
      <w:numFmt w:val="bullet"/>
      <w:lvlText w:val=""/>
      <w:lvlJc w:val="left"/>
      <w:pPr>
        <w:tabs>
          <w:tab w:val="num" w:pos="1800"/>
        </w:tabs>
        <w:ind w:left="1800" w:hanging="360"/>
      </w:pPr>
      <w:rPr>
        <w:rFonts w:ascii="Wingdings" w:hAnsi="Wingdings" w:hint="default"/>
      </w:rPr>
    </w:lvl>
    <w:lvl w:ilvl="3" w:tplc="909E7A20" w:tentative="1">
      <w:start w:val="1"/>
      <w:numFmt w:val="bullet"/>
      <w:lvlText w:val=""/>
      <w:lvlJc w:val="left"/>
      <w:pPr>
        <w:tabs>
          <w:tab w:val="num" w:pos="2520"/>
        </w:tabs>
        <w:ind w:left="2520" w:hanging="360"/>
      </w:pPr>
      <w:rPr>
        <w:rFonts w:ascii="Wingdings" w:hAnsi="Wingdings" w:hint="default"/>
      </w:rPr>
    </w:lvl>
    <w:lvl w:ilvl="4" w:tplc="BC0A763A" w:tentative="1">
      <w:start w:val="1"/>
      <w:numFmt w:val="bullet"/>
      <w:lvlText w:val=""/>
      <w:lvlJc w:val="left"/>
      <w:pPr>
        <w:tabs>
          <w:tab w:val="num" w:pos="3240"/>
        </w:tabs>
        <w:ind w:left="3240" w:hanging="360"/>
      </w:pPr>
      <w:rPr>
        <w:rFonts w:ascii="Wingdings" w:hAnsi="Wingdings" w:hint="default"/>
      </w:rPr>
    </w:lvl>
    <w:lvl w:ilvl="5" w:tplc="2EDE7740" w:tentative="1">
      <w:start w:val="1"/>
      <w:numFmt w:val="bullet"/>
      <w:lvlText w:val=""/>
      <w:lvlJc w:val="left"/>
      <w:pPr>
        <w:tabs>
          <w:tab w:val="num" w:pos="3960"/>
        </w:tabs>
        <w:ind w:left="3960" w:hanging="360"/>
      </w:pPr>
      <w:rPr>
        <w:rFonts w:ascii="Wingdings" w:hAnsi="Wingdings" w:hint="default"/>
      </w:rPr>
    </w:lvl>
    <w:lvl w:ilvl="6" w:tplc="3B14E4CC" w:tentative="1">
      <w:start w:val="1"/>
      <w:numFmt w:val="bullet"/>
      <w:lvlText w:val=""/>
      <w:lvlJc w:val="left"/>
      <w:pPr>
        <w:tabs>
          <w:tab w:val="num" w:pos="4680"/>
        </w:tabs>
        <w:ind w:left="4680" w:hanging="360"/>
      </w:pPr>
      <w:rPr>
        <w:rFonts w:ascii="Wingdings" w:hAnsi="Wingdings" w:hint="default"/>
      </w:rPr>
    </w:lvl>
    <w:lvl w:ilvl="7" w:tplc="1ADA9E86" w:tentative="1">
      <w:start w:val="1"/>
      <w:numFmt w:val="bullet"/>
      <w:lvlText w:val=""/>
      <w:lvlJc w:val="left"/>
      <w:pPr>
        <w:tabs>
          <w:tab w:val="num" w:pos="5400"/>
        </w:tabs>
        <w:ind w:left="5400" w:hanging="360"/>
      </w:pPr>
      <w:rPr>
        <w:rFonts w:ascii="Wingdings" w:hAnsi="Wingdings" w:hint="default"/>
      </w:rPr>
    </w:lvl>
    <w:lvl w:ilvl="8" w:tplc="E390D038"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F205CF9"/>
    <w:multiLevelType w:val="hybridMultilevel"/>
    <w:tmpl w:val="045EFBC4"/>
    <w:lvl w:ilvl="0" w:tplc="440A000F">
      <w:start w:val="1"/>
      <w:numFmt w:val="decimal"/>
      <w:lvlText w:val="%1."/>
      <w:lvlJc w:val="left"/>
      <w:pPr>
        <w:tabs>
          <w:tab w:val="num" w:pos="360"/>
        </w:tabs>
        <w:ind w:left="360" w:hanging="360"/>
      </w:pPr>
      <w:rPr>
        <w:rFonts w:hint="default"/>
        <w:b/>
        <w:i w:val="0"/>
      </w:rPr>
    </w:lvl>
    <w:lvl w:ilvl="1" w:tplc="27E62A10">
      <w:numFmt w:val="bullet"/>
      <w:lvlText w:val="•"/>
      <w:lvlJc w:val="left"/>
      <w:pPr>
        <w:tabs>
          <w:tab w:val="num" w:pos="1080"/>
        </w:tabs>
        <w:ind w:left="1080" w:hanging="360"/>
      </w:pPr>
      <w:rPr>
        <w:rFonts w:ascii="Arial" w:hAnsi="Arial" w:hint="default"/>
      </w:rPr>
    </w:lvl>
    <w:lvl w:ilvl="2" w:tplc="057A9A58" w:tentative="1">
      <w:start w:val="1"/>
      <w:numFmt w:val="bullet"/>
      <w:lvlText w:val=""/>
      <w:lvlJc w:val="left"/>
      <w:pPr>
        <w:tabs>
          <w:tab w:val="num" w:pos="1800"/>
        </w:tabs>
        <w:ind w:left="1800" w:hanging="360"/>
      </w:pPr>
      <w:rPr>
        <w:rFonts w:ascii="Wingdings" w:hAnsi="Wingdings" w:hint="default"/>
      </w:rPr>
    </w:lvl>
    <w:lvl w:ilvl="3" w:tplc="909E7A20" w:tentative="1">
      <w:start w:val="1"/>
      <w:numFmt w:val="bullet"/>
      <w:lvlText w:val=""/>
      <w:lvlJc w:val="left"/>
      <w:pPr>
        <w:tabs>
          <w:tab w:val="num" w:pos="2520"/>
        </w:tabs>
        <w:ind w:left="2520" w:hanging="360"/>
      </w:pPr>
      <w:rPr>
        <w:rFonts w:ascii="Wingdings" w:hAnsi="Wingdings" w:hint="default"/>
      </w:rPr>
    </w:lvl>
    <w:lvl w:ilvl="4" w:tplc="BC0A763A" w:tentative="1">
      <w:start w:val="1"/>
      <w:numFmt w:val="bullet"/>
      <w:lvlText w:val=""/>
      <w:lvlJc w:val="left"/>
      <w:pPr>
        <w:tabs>
          <w:tab w:val="num" w:pos="3240"/>
        </w:tabs>
        <w:ind w:left="3240" w:hanging="360"/>
      </w:pPr>
      <w:rPr>
        <w:rFonts w:ascii="Wingdings" w:hAnsi="Wingdings" w:hint="default"/>
      </w:rPr>
    </w:lvl>
    <w:lvl w:ilvl="5" w:tplc="2EDE7740" w:tentative="1">
      <w:start w:val="1"/>
      <w:numFmt w:val="bullet"/>
      <w:lvlText w:val=""/>
      <w:lvlJc w:val="left"/>
      <w:pPr>
        <w:tabs>
          <w:tab w:val="num" w:pos="3960"/>
        </w:tabs>
        <w:ind w:left="3960" w:hanging="360"/>
      </w:pPr>
      <w:rPr>
        <w:rFonts w:ascii="Wingdings" w:hAnsi="Wingdings" w:hint="default"/>
      </w:rPr>
    </w:lvl>
    <w:lvl w:ilvl="6" w:tplc="3B14E4CC" w:tentative="1">
      <w:start w:val="1"/>
      <w:numFmt w:val="bullet"/>
      <w:lvlText w:val=""/>
      <w:lvlJc w:val="left"/>
      <w:pPr>
        <w:tabs>
          <w:tab w:val="num" w:pos="4680"/>
        </w:tabs>
        <w:ind w:left="4680" w:hanging="360"/>
      </w:pPr>
      <w:rPr>
        <w:rFonts w:ascii="Wingdings" w:hAnsi="Wingdings" w:hint="default"/>
      </w:rPr>
    </w:lvl>
    <w:lvl w:ilvl="7" w:tplc="1ADA9E86" w:tentative="1">
      <w:start w:val="1"/>
      <w:numFmt w:val="bullet"/>
      <w:lvlText w:val=""/>
      <w:lvlJc w:val="left"/>
      <w:pPr>
        <w:tabs>
          <w:tab w:val="num" w:pos="5400"/>
        </w:tabs>
        <w:ind w:left="5400" w:hanging="360"/>
      </w:pPr>
      <w:rPr>
        <w:rFonts w:ascii="Wingdings" w:hAnsi="Wingdings" w:hint="default"/>
      </w:rPr>
    </w:lvl>
    <w:lvl w:ilvl="8" w:tplc="E390D038"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543358B"/>
    <w:multiLevelType w:val="hybridMultilevel"/>
    <w:tmpl w:val="96AA877A"/>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9665D92"/>
    <w:multiLevelType w:val="hybridMultilevel"/>
    <w:tmpl w:val="DD3A82E6"/>
    <w:lvl w:ilvl="0" w:tplc="B93E30AA">
      <w:start w:val="1"/>
      <w:numFmt w:val="upperLetter"/>
      <w:lvlText w:val="%1)"/>
      <w:lvlJc w:val="left"/>
      <w:pPr>
        <w:tabs>
          <w:tab w:val="num" w:pos="360"/>
        </w:tabs>
        <w:ind w:left="360" w:hanging="360"/>
      </w:pPr>
      <w:rPr>
        <w:rFonts w:hint="default"/>
        <w:b/>
        <w:sz w:val="22"/>
        <w:szCs w:val="28"/>
      </w:rPr>
    </w:lvl>
    <w:lvl w:ilvl="1" w:tplc="B01CA4E2" w:tentative="1">
      <w:start w:val="1"/>
      <w:numFmt w:val="decimal"/>
      <w:lvlText w:val="%2."/>
      <w:lvlJc w:val="left"/>
      <w:pPr>
        <w:tabs>
          <w:tab w:val="num" w:pos="1080"/>
        </w:tabs>
        <w:ind w:left="1080" w:hanging="360"/>
      </w:pPr>
    </w:lvl>
    <w:lvl w:ilvl="2" w:tplc="105E586E" w:tentative="1">
      <w:start w:val="1"/>
      <w:numFmt w:val="decimal"/>
      <w:lvlText w:val="%3."/>
      <w:lvlJc w:val="left"/>
      <w:pPr>
        <w:tabs>
          <w:tab w:val="num" w:pos="1800"/>
        </w:tabs>
        <w:ind w:left="1800" w:hanging="360"/>
      </w:pPr>
    </w:lvl>
    <w:lvl w:ilvl="3" w:tplc="0ED42E34" w:tentative="1">
      <w:start w:val="1"/>
      <w:numFmt w:val="decimal"/>
      <w:lvlText w:val="%4."/>
      <w:lvlJc w:val="left"/>
      <w:pPr>
        <w:tabs>
          <w:tab w:val="num" w:pos="2520"/>
        </w:tabs>
        <w:ind w:left="2520" w:hanging="360"/>
      </w:pPr>
    </w:lvl>
    <w:lvl w:ilvl="4" w:tplc="E2C8D860" w:tentative="1">
      <w:start w:val="1"/>
      <w:numFmt w:val="decimal"/>
      <w:lvlText w:val="%5."/>
      <w:lvlJc w:val="left"/>
      <w:pPr>
        <w:tabs>
          <w:tab w:val="num" w:pos="3240"/>
        </w:tabs>
        <w:ind w:left="3240" w:hanging="360"/>
      </w:pPr>
    </w:lvl>
    <w:lvl w:ilvl="5" w:tplc="7E8C4798" w:tentative="1">
      <w:start w:val="1"/>
      <w:numFmt w:val="decimal"/>
      <w:lvlText w:val="%6."/>
      <w:lvlJc w:val="left"/>
      <w:pPr>
        <w:tabs>
          <w:tab w:val="num" w:pos="3960"/>
        </w:tabs>
        <w:ind w:left="3960" w:hanging="360"/>
      </w:pPr>
    </w:lvl>
    <w:lvl w:ilvl="6" w:tplc="FF2867FA" w:tentative="1">
      <w:start w:val="1"/>
      <w:numFmt w:val="decimal"/>
      <w:lvlText w:val="%7."/>
      <w:lvlJc w:val="left"/>
      <w:pPr>
        <w:tabs>
          <w:tab w:val="num" w:pos="4680"/>
        </w:tabs>
        <w:ind w:left="4680" w:hanging="360"/>
      </w:pPr>
    </w:lvl>
    <w:lvl w:ilvl="7" w:tplc="4FE4696E" w:tentative="1">
      <w:start w:val="1"/>
      <w:numFmt w:val="decimal"/>
      <w:lvlText w:val="%8."/>
      <w:lvlJc w:val="left"/>
      <w:pPr>
        <w:tabs>
          <w:tab w:val="num" w:pos="5400"/>
        </w:tabs>
        <w:ind w:left="5400" w:hanging="360"/>
      </w:pPr>
    </w:lvl>
    <w:lvl w:ilvl="8" w:tplc="43289FD8" w:tentative="1">
      <w:start w:val="1"/>
      <w:numFmt w:val="decimal"/>
      <w:lvlText w:val="%9."/>
      <w:lvlJc w:val="left"/>
      <w:pPr>
        <w:tabs>
          <w:tab w:val="num" w:pos="6120"/>
        </w:tabs>
        <w:ind w:left="6120" w:hanging="360"/>
      </w:pPr>
    </w:lvl>
  </w:abstractNum>
  <w:abstractNum w:abstractNumId="9" w15:restartNumberingAfterBreak="0">
    <w:nsid w:val="6527626C"/>
    <w:multiLevelType w:val="hybridMultilevel"/>
    <w:tmpl w:val="1C02F0E8"/>
    <w:lvl w:ilvl="0" w:tplc="06ECDA52">
      <w:start w:val="1"/>
      <w:numFmt w:val="upperLetter"/>
      <w:lvlText w:val="%1)"/>
      <w:lvlJc w:val="left"/>
      <w:pPr>
        <w:tabs>
          <w:tab w:val="num" w:pos="360"/>
        </w:tabs>
        <w:ind w:left="360" w:hanging="360"/>
      </w:pPr>
      <w:rPr>
        <w:rFonts w:ascii="Arial" w:hAnsi="Arial" w:hint="default"/>
        <w:b/>
        <w:i w:val="0"/>
        <w:strike w:val="0"/>
        <w:dstrike w:val="0"/>
        <w:vanish w:val="0"/>
        <w:color w:val="000000"/>
        <w:sz w:val="24"/>
        <w:szCs w:val="24"/>
        <w:u w:val="none"/>
        <w:vertAlign w:val="baseline"/>
      </w:rPr>
    </w:lvl>
    <w:lvl w:ilvl="1" w:tplc="A35A32C6" w:tentative="1">
      <w:start w:val="1"/>
      <w:numFmt w:val="bullet"/>
      <w:lvlText w:val="•"/>
      <w:lvlJc w:val="left"/>
      <w:pPr>
        <w:tabs>
          <w:tab w:val="num" w:pos="1080"/>
        </w:tabs>
        <w:ind w:left="1080" w:hanging="360"/>
      </w:pPr>
      <w:rPr>
        <w:rFonts w:ascii="Times New Roman" w:hAnsi="Times New Roman" w:hint="default"/>
      </w:rPr>
    </w:lvl>
    <w:lvl w:ilvl="2" w:tplc="3BCA1216" w:tentative="1">
      <w:start w:val="1"/>
      <w:numFmt w:val="bullet"/>
      <w:lvlText w:val="•"/>
      <w:lvlJc w:val="left"/>
      <w:pPr>
        <w:tabs>
          <w:tab w:val="num" w:pos="1800"/>
        </w:tabs>
        <w:ind w:left="1800" w:hanging="360"/>
      </w:pPr>
      <w:rPr>
        <w:rFonts w:ascii="Times New Roman" w:hAnsi="Times New Roman" w:hint="default"/>
      </w:rPr>
    </w:lvl>
    <w:lvl w:ilvl="3" w:tplc="4C5A696C" w:tentative="1">
      <w:start w:val="1"/>
      <w:numFmt w:val="bullet"/>
      <w:lvlText w:val="•"/>
      <w:lvlJc w:val="left"/>
      <w:pPr>
        <w:tabs>
          <w:tab w:val="num" w:pos="2520"/>
        </w:tabs>
        <w:ind w:left="2520" w:hanging="360"/>
      </w:pPr>
      <w:rPr>
        <w:rFonts w:ascii="Times New Roman" w:hAnsi="Times New Roman" w:hint="default"/>
      </w:rPr>
    </w:lvl>
    <w:lvl w:ilvl="4" w:tplc="B6A0BB80" w:tentative="1">
      <w:start w:val="1"/>
      <w:numFmt w:val="bullet"/>
      <w:lvlText w:val="•"/>
      <w:lvlJc w:val="left"/>
      <w:pPr>
        <w:tabs>
          <w:tab w:val="num" w:pos="3240"/>
        </w:tabs>
        <w:ind w:left="3240" w:hanging="360"/>
      </w:pPr>
      <w:rPr>
        <w:rFonts w:ascii="Times New Roman" w:hAnsi="Times New Roman" w:hint="default"/>
      </w:rPr>
    </w:lvl>
    <w:lvl w:ilvl="5" w:tplc="A8ECE47A" w:tentative="1">
      <w:start w:val="1"/>
      <w:numFmt w:val="bullet"/>
      <w:lvlText w:val="•"/>
      <w:lvlJc w:val="left"/>
      <w:pPr>
        <w:tabs>
          <w:tab w:val="num" w:pos="3960"/>
        </w:tabs>
        <w:ind w:left="3960" w:hanging="360"/>
      </w:pPr>
      <w:rPr>
        <w:rFonts w:ascii="Times New Roman" w:hAnsi="Times New Roman" w:hint="default"/>
      </w:rPr>
    </w:lvl>
    <w:lvl w:ilvl="6" w:tplc="D958C318" w:tentative="1">
      <w:start w:val="1"/>
      <w:numFmt w:val="bullet"/>
      <w:lvlText w:val="•"/>
      <w:lvlJc w:val="left"/>
      <w:pPr>
        <w:tabs>
          <w:tab w:val="num" w:pos="4680"/>
        </w:tabs>
        <w:ind w:left="4680" w:hanging="360"/>
      </w:pPr>
      <w:rPr>
        <w:rFonts w:ascii="Times New Roman" w:hAnsi="Times New Roman" w:hint="default"/>
      </w:rPr>
    </w:lvl>
    <w:lvl w:ilvl="7" w:tplc="2B42D09E" w:tentative="1">
      <w:start w:val="1"/>
      <w:numFmt w:val="bullet"/>
      <w:lvlText w:val="•"/>
      <w:lvlJc w:val="left"/>
      <w:pPr>
        <w:tabs>
          <w:tab w:val="num" w:pos="5400"/>
        </w:tabs>
        <w:ind w:left="5400" w:hanging="360"/>
      </w:pPr>
      <w:rPr>
        <w:rFonts w:ascii="Times New Roman" w:hAnsi="Times New Roman" w:hint="default"/>
      </w:rPr>
    </w:lvl>
    <w:lvl w:ilvl="8" w:tplc="ECF4FC14" w:tentative="1">
      <w:start w:val="1"/>
      <w:numFmt w:val="bullet"/>
      <w:lvlText w:val="•"/>
      <w:lvlJc w:val="left"/>
      <w:pPr>
        <w:tabs>
          <w:tab w:val="num" w:pos="6120"/>
        </w:tabs>
        <w:ind w:left="6120" w:hanging="360"/>
      </w:pPr>
      <w:rPr>
        <w:rFonts w:ascii="Times New Roman" w:hAnsi="Times New Roman" w:hint="default"/>
      </w:rPr>
    </w:lvl>
  </w:abstractNum>
  <w:num w:numId="1">
    <w:abstractNumId w:val="2"/>
  </w:num>
  <w:num w:numId="2">
    <w:abstractNumId w:val="0"/>
  </w:num>
  <w:num w:numId="3">
    <w:abstractNumId w:val="9"/>
  </w:num>
  <w:num w:numId="4">
    <w:abstractNumId w:val="5"/>
  </w:num>
  <w:num w:numId="5">
    <w:abstractNumId w:val="8"/>
  </w:num>
  <w:num w:numId="6">
    <w:abstractNumId w:val="4"/>
  </w:num>
  <w:num w:numId="7">
    <w:abstractNumId w:val="6"/>
  </w:num>
  <w:num w:numId="8">
    <w:abstractNumId w:val="7"/>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2DC"/>
    <w:rsid w:val="00007F18"/>
    <w:rsid w:val="00011F0C"/>
    <w:rsid w:val="000D739A"/>
    <w:rsid w:val="00145B73"/>
    <w:rsid w:val="001C7B49"/>
    <w:rsid w:val="001F769F"/>
    <w:rsid w:val="001F7979"/>
    <w:rsid w:val="002043EB"/>
    <w:rsid w:val="00273D76"/>
    <w:rsid w:val="002D72EB"/>
    <w:rsid w:val="002F19A3"/>
    <w:rsid w:val="0032668B"/>
    <w:rsid w:val="00342093"/>
    <w:rsid w:val="00384063"/>
    <w:rsid w:val="00390A3D"/>
    <w:rsid w:val="003C10CD"/>
    <w:rsid w:val="003C26E2"/>
    <w:rsid w:val="003D5080"/>
    <w:rsid w:val="003D50EF"/>
    <w:rsid w:val="003D5F12"/>
    <w:rsid w:val="003E10C2"/>
    <w:rsid w:val="003F3993"/>
    <w:rsid w:val="003F75C4"/>
    <w:rsid w:val="00426D07"/>
    <w:rsid w:val="004559F8"/>
    <w:rsid w:val="004A42D9"/>
    <w:rsid w:val="004D74A9"/>
    <w:rsid w:val="004E2EE6"/>
    <w:rsid w:val="00527FB9"/>
    <w:rsid w:val="005918CA"/>
    <w:rsid w:val="005C6284"/>
    <w:rsid w:val="005E2C81"/>
    <w:rsid w:val="005E6B50"/>
    <w:rsid w:val="006B3783"/>
    <w:rsid w:val="008B5D8A"/>
    <w:rsid w:val="008C501B"/>
    <w:rsid w:val="008E21CD"/>
    <w:rsid w:val="008E486C"/>
    <w:rsid w:val="009A5720"/>
    <w:rsid w:val="009E2480"/>
    <w:rsid w:val="00A10BA0"/>
    <w:rsid w:val="00A41B2A"/>
    <w:rsid w:val="00A53B44"/>
    <w:rsid w:val="00AB4EE8"/>
    <w:rsid w:val="00AE2719"/>
    <w:rsid w:val="00AF2DDA"/>
    <w:rsid w:val="00B40575"/>
    <w:rsid w:val="00B70A5A"/>
    <w:rsid w:val="00BD361F"/>
    <w:rsid w:val="00C26187"/>
    <w:rsid w:val="00CB72DC"/>
    <w:rsid w:val="00CE665B"/>
    <w:rsid w:val="00CF471B"/>
    <w:rsid w:val="00D57BCC"/>
    <w:rsid w:val="00D654D0"/>
    <w:rsid w:val="00D75945"/>
    <w:rsid w:val="00D87CFA"/>
    <w:rsid w:val="00E459F6"/>
    <w:rsid w:val="00EE7202"/>
    <w:rsid w:val="00EF2F41"/>
    <w:rsid w:val="00EF3603"/>
    <w:rsid w:val="00F40877"/>
    <w:rsid w:val="00FD23E6"/>
    <w:rsid w:val="00FE1AC3"/>
    <w:rsid w:val="00FE3A2F"/>
    <w:rsid w:val="00FE46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5DA578"/>
  <w15:chartTrackingRefBased/>
  <w15:docId w15:val="{A0365106-606E-4F97-8761-9632F877C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2D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CB72D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72DC"/>
    <w:rPr>
      <w:rFonts w:asciiTheme="majorHAnsi" w:eastAsiaTheme="majorEastAsia" w:hAnsiTheme="majorHAnsi" w:cstheme="majorBidi"/>
      <w:b/>
      <w:bCs/>
      <w:color w:val="2E74B5" w:themeColor="accent1" w:themeShade="BF"/>
      <w:sz w:val="28"/>
      <w:szCs w:val="28"/>
      <w:lang w:val="es-ES" w:eastAsia="es-ES"/>
    </w:rPr>
  </w:style>
  <w:style w:type="paragraph" w:styleId="Prrafodelista">
    <w:name w:val="List Paragraph"/>
    <w:basedOn w:val="Normal"/>
    <w:uiPriority w:val="34"/>
    <w:qFormat/>
    <w:rsid w:val="00CB72DC"/>
    <w:pPr>
      <w:ind w:left="720"/>
      <w:contextualSpacing/>
    </w:pPr>
  </w:style>
  <w:style w:type="paragraph" w:styleId="Textoindependiente">
    <w:name w:val="Body Text"/>
    <w:basedOn w:val="Normal"/>
    <w:link w:val="TextoindependienteCar"/>
    <w:rsid w:val="00CB72DC"/>
    <w:pPr>
      <w:spacing w:line="360" w:lineRule="auto"/>
    </w:pPr>
    <w:rPr>
      <w:sz w:val="28"/>
      <w:szCs w:val="20"/>
    </w:rPr>
  </w:style>
  <w:style w:type="character" w:customStyle="1" w:styleId="TextoindependienteCar">
    <w:name w:val="Texto independiente Car"/>
    <w:basedOn w:val="Fuentedeprrafopredeter"/>
    <w:link w:val="Textoindependiente"/>
    <w:rsid w:val="00CB72DC"/>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CE66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665B"/>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3C10CD"/>
    <w:pPr>
      <w:tabs>
        <w:tab w:val="center" w:pos="4419"/>
        <w:tab w:val="right" w:pos="8838"/>
      </w:tabs>
    </w:pPr>
  </w:style>
  <w:style w:type="character" w:customStyle="1" w:styleId="EncabezadoCar">
    <w:name w:val="Encabezado Car"/>
    <w:basedOn w:val="Fuentedeprrafopredeter"/>
    <w:link w:val="Encabezado"/>
    <w:uiPriority w:val="99"/>
    <w:rsid w:val="003C10C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C10CD"/>
    <w:pPr>
      <w:tabs>
        <w:tab w:val="center" w:pos="4419"/>
        <w:tab w:val="right" w:pos="8838"/>
      </w:tabs>
    </w:pPr>
  </w:style>
  <w:style w:type="character" w:customStyle="1" w:styleId="PiedepginaCar">
    <w:name w:val="Pie de página Car"/>
    <w:basedOn w:val="Fuentedeprrafopredeter"/>
    <w:link w:val="Piedepgina"/>
    <w:uiPriority w:val="99"/>
    <w:rsid w:val="003C10C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816578">
      <w:bodyDiv w:val="1"/>
      <w:marLeft w:val="0"/>
      <w:marRight w:val="0"/>
      <w:marTop w:val="0"/>
      <w:marBottom w:val="0"/>
      <w:divBdr>
        <w:top w:val="none" w:sz="0" w:space="0" w:color="auto"/>
        <w:left w:val="none" w:sz="0" w:space="0" w:color="auto"/>
        <w:bottom w:val="none" w:sz="0" w:space="0" w:color="auto"/>
        <w:right w:val="none" w:sz="0" w:space="0" w:color="auto"/>
      </w:divBdr>
    </w:div>
    <w:div w:id="1660303347">
      <w:bodyDiv w:val="1"/>
      <w:marLeft w:val="0"/>
      <w:marRight w:val="0"/>
      <w:marTop w:val="0"/>
      <w:marBottom w:val="0"/>
      <w:divBdr>
        <w:top w:val="none" w:sz="0" w:space="0" w:color="auto"/>
        <w:left w:val="none" w:sz="0" w:space="0" w:color="auto"/>
        <w:bottom w:val="none" w:sz="0" w:space="0" w:color="auto"/>
        <w:right w:val="none" w:sz="0" w:space="0" w:color="auto"/>
      </w:divBdr>
    </w:div>
    <w:div w:id="210602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10</Pages>
  <Words>3902</Words>
  <Characters>21466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47</cp:revision>
  <cp:lastPrinted>2019-11-05T22:07:00Z</cp:lastPrinted>
  <dcterms:created xsi:type="dcterms:W3CDTF">2019-10-23T21:19:00Z</dcterms:created>
  <dcterms:modified xsi:type="dcterms:W3CDTF">2020-02-01T00:22:00Z</dcterms:modified>
</cp:coreProperties>
</file>