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C8E" w:rsidRPr="009F4A9C" w:rsidRDefault="00F15C8E" w:rsidP="00F15C8E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C27D02" w:rsidRPr="007D729D" w:rsidRDefault="00D82347" w:rsidP="003272E4">
      <w:pPr>
        <w:shd w:val="clear" w:color="auto" w:fill="FFFFFF"/>
        <w:spacing w:after="0" w:line="360" w:lineRule="auto"/>
        <w:jc w:val="both"/>
        <w:rPr>
          <w:rFonts w:eastAsia="Times New Roman" w:cstheme="minorHAnsi"/>
          <w:bCs/>
          <w:i/>
          <w:lang w:val="es-SV" w:eastAsia="es-SV"/>
        </w:rPr>
      </w:pPr>
      <w:r w:rsidRPr="007D729D">
        <w:rPr>
          <w:rFonts w:eastAsia="Arial Unicode MS" w:cstheme="minorHAnsi"/>
          <w:b/>
          <w:lang w:val="es-SV"/>
        </w:rPr>
        <w:t>FONDO SOCIAL PARA LA VIVIENDA</w:t>
      </w:r>
      <w:r w:rsidRPr="007D729D">
        <w:rPr>
          <w:rFonts w:eastAsia="Arial Unicode MS" w:cstheme="minorHAnsi"/>
          <w:lang w:val="es-SV"/>
        </w:rPr>
        <w:t xml:space="preserve">, Gerencia General, Unidad de Acceso a la Información, a las </w:t>
      </w:r>
      <w:r w:rsidR="00C8187C">
        <w:rPr>
          <w:rFonts w:eastAsia="Arial Unicode MS" w:cstheme="minorHAnsi"/>
          <w:lang w:val="es-SV"/>
        </w:rPr>
        <w:t xml:space="preserve">quince </w:t>
      </w:r>
      <w:r w:rsidRPr="007D729D">
        <w:rPr>
          <w:rFonts w:eastAsia="Arial Unicode MS" w:cstheme="minorHAnsi"/>
          <w:lang w:val="es-SV"/>
        </w:rPr>
        <w:t xml:space="preserve">horas </w:t>
      </w:r>
      <w:r w:rsidR="00D95AE6" w:rsidRPr="007D729D">
        <w:rPr>
          <w:rFonts w:eastAsia="Arial Unicode MS" w:cstheme="minorHAnsi"/>
          <w:lang w:val="es-SV"/>
        </w:rPr>
        <w:t xml:space="preserve">y </w:t>
      </w:r>
      <w:r w:rsidR="00753F33" w:rsidRPr="007D729D">
        <w:rPr>
          <w:rFonts w:eastAsia="Arial Unicode MS" w:cstheme="minorHAnsi"/>
          <w:lang w:val="es-SV"/>
        </w:rPr>
        <w:t xml:space="preserve">treinta minutos </w:t>
      </w:r>
      <w:r w:rsidRPr="007D729D">
        <w:rPr>
          <w:rFonts w:eastAsia="Arial Unicode MS" w:cstheme="minorHAnsi"/>
          <w:lang w:val="es-SV"/>
        </w:rPr>
        <w:t xml:space="preserve">del día </w:t>
      </w:r>
      <w:r w:rsidR="00C27D02" w:rsidRPr="007D729D">
        <w:rPr>
          <w:rFonts w:eastAsia="Arial Unicode MS" w:cstheme="minorHAnsi"/>
          <w:lang w:val="es-SV"/>
        </w:rPr>
        <w:t xml:space="preserve">treinta </w:t>
      </w:r>
      <w:r w:rsidR="006E28A8" w:rsidRPr="007D729D">
        <w:rPr>
          <w:rFonts w:eastAsia="Arial Unicode MS" w:cstheme="minorHAnsi"/>
          <w:lang w:val="es-SV"/>
        </w:rPr>
        <w:t xml:space="preserve">de </w:t>
      </w:r>
      <w:r w:rsidR="00C27D02" w:rsidRPr="007D729D">
        <w:rPr>
          <w:rFonts w:eastAsia="Arial Unicode MS" w:cstheme="minorHAnsi"/>
          <w:lang w:val="es-SV"/>
        </w:rPr>
        <w:t xml:space="preserve">julio </w:t>
      </w:r>
      <w:r w:rsidRPr="007D729D">
        <w:rPr>
          <w:rFonts w:eastAsia="Arial Unicode MS" w:cstheme="minorHAnsi"/>
          <w:lang w:val="es-SV"/>
        </w:rPr>
        <w:t>de dos mil dieci</w:t>
      </w:r>
      <w:r w:rsidR="00C27D02" w:rsidRPr="007D729D">
        <w:rPr>
          <w:rFonts w:eastAsia="Arial Unicode MS" w:cstheme="minorHAnsi"/>
          <w:lang w:val="es-SV"/>
        </w:rPr>
        <w:t>nueve</w:t>
      </w:r>
      <w:r w:rsidRPr="007D729D">
        <w:rPr>
          <w:rFonts w:eastAsia="Arial Unicode MS" w:cstheme="minorHAnsi"/>
          <w:lang w:val="es-SV"/>
        </w:rPr>
        <w:t xml:space="preserve">. Vista la </w:t>
      </w:r>
      <w:r w:rsidR="00926481" w:rsidRPr="007D729D">
        <w:rPr>
          <w:rFonts w:eastAsia="Arial Unicode MS" w:cstheme="minorHAnsi"/>
          <w:lang w:val="es-SV"/>
        </w:rPr>
        <w:t xml:space="preserve">solicitud de acceso a información institucional número </w:t>
      </w:r>
      <w:r w:rsidR="00C27D02" w:rsidRPr="007D729D">
        <w:rPr>
          <w:rFonts w:eastAsia="Arial Unicode MS" w:cstheme="minorHAnsi"/>
          <w:b/>
          <w:lang w:val="es-SV"/>
        </w:rPr>
        <w:t>79-2019</w:t>
      </w:r>
      <w:r w:rsidR="00D95AE6" w:rsidRPr="007D729D">
        <w:rPr>
          <w:rFonts w:eastAsia="Arial Unicode MS" w:cstheme="minorHAnsi"/>
          <w:b/>
          <w:lang w:val="es-SV"/>
        </w:rPr>
        <w:t>-SGS</w:t>
      </w:r>
      <w:r w:rsidR="00926481" w:rsidRPr="007D729D">
        <w:rPr>
          <w:rFonts w:eastAsia="Arial Unicode MS" w:cstheme="minorHAnsi"/>
          <w:b/>
          <w:lang w:val="es-SV"/>
        </w:rPr>
        <w:t xml:space="preserve"> </w:t>
      </w:r>
      <w:r w:rsidR="00926481" w:rsidRPr="007D729D">
        <w:rPr>
          <w:rFonts w:eastAsia="Arial Unicode MS" w:cstheme="minorHAnsi"/>
          <w:lang w:val="es-SV"/>
        </w:rPr>
        <w:t xml:space="preserve">de fecha </w:t>
      </w:r>
      <w:r w:rsidR="00C27D02" w:rsidRPr="007D729D">
        <w:rPr>
          <w:rFonts w:eastAsia="Arial Unicode MS" w:cstheme="minorHAnsi"/>
          <w:lang w:val="es-SV"/>
        </w:rPr>
        <w:t xml:space="preserve">diecisiete </w:t>
      </w:r>
      <w:r w:rsidRPr="007D729D">
        <w:rPr>
          <w:rFonts w:eastAsia="Arial Unicode MS" w:cstheme="minorHAnsi"/>
          <w:lang w:val="es-SV"/>
        </w:rPr>
        <w:t xml:space="preserve">de </w:t>
      </w:r>
      <w:r w:rsidR="00C27D02" w:rsidRPr="007D729D">
        <w:rPr>
          <w:rFonts w:eastAsia="Arial Unicode MS" w:cstheme="minorHAnsi"/>
          <w:lang w:val="es-SV"/>
        </w:rPr>
        <w:t xml:space="preserve">julio </w:t>
      </w:r>
      <w:r w:rsidRPr="007D729D">
        <w:rPr>
          <w:rFonts w:eastAsia="Arial Unicode MS" w:cstheme="minorHAnsi"/>
          <w:lang w:val="es-SV"/>
        </w:rPr>
        <w:t>del corriente año</w:t>
      </w:r>
      <w:r w:rsidR="00926481" w:rsidRPr="007D729D">
        <w:rPr>
          <w:rFonts w:eastAsia="Arial Unicode MS" w:cstheme="minorHAnsi"/>
          <w:lang w:val="es-SV"/>
        </w:rPr>
        <w:t xml:space="preserve">, </w:t>
      </w:r>
      <w:r w:rsidR="00D95AE6" w:rsidRPr="007D729D">
        <w:rPr>
          <w:rFonts w:eastAsia="Arial Unicode MS" w:cstheme="minorHAnsi"/>
          <w:lang w:val="es-SV"/>
        </w:rPr>
        <w:t>presentada por</w:t>
      </w:r>
      <w:r w:rsidR="00C27D02" w:rsidRPr="007D729D">
        <w:rPr>
          <w:rFonts w:eastAsia="Arial Unicode MS" w:cstheme="minorHAnsi"/>
          <w:lang w:val="es-SV"/>
        </w:rPr>
        <w:t xml:space="preserve"> la ciudadana</w:t>
      </w:r>
      <w:r w:rsidR="00F15C8E">
        <w:rPr>
          <w:rFonts w:eastAsia="Arial Unicode MS" w:cstheme="minorHAnsi"/>
          <w:b/>
          <w:lang w:val="es-SV"/>
        </w:rPr>
        <w:t xml:space="preserve"> ___________________________________________</w:t>
      </w:r>
      <w:r w:rsidRPr="007D729D">
        <w:rPr>
          <w:rFonts w:eastAsia="Arial Unicode MS" w:cstheme="minorHAnsi"/>
          <w:b/>
          <w:lang w:val="es-SV"/>
        </w:rPr>
        <w:t>,</w:t>
      </w:r>
      <w:r w:rsidRPr="007D729D">
        <w:rPr>
          <w:rFonts w:eastAsia="Arial Unicode MS" w:cstheme="minorHAnsi"/>
          <w:lang w:val="es-SV"/>
        </w:rPr>
        <w:t xml:space="preserve"> </w:t>
      </w:r>
      <w:r w:rsidR="009C580F" w:rsidRPr="007D729D">
        <w:rPr>
          <w:rFonts w:eastAsia="Arial Unicode MS" w:cstheme="minorHAnsi"/>
          <w:lang w:val="es-SV"/>
        </w:rPr>
        <w:t xml:space="preserve">en la </w:t>
      </w:r>
      <w:r w:rsidRPr="007D729D">
        <w:rPr>
          <w:rFonts w:eastAsia="Arial Unicode MS" w:cstheme="minorHAnsi"/>
          <w:lang w:val="es-SV"/>
        </w:rPr>
        <w:t>que requiere</w:t>
      </w:r>
      <w:r w:rsidR="0069541D" w:rsidRPr="007D729D">
        <w:rPr>
          <w:rFonts w:eastAsia="Arial Unicode MS" w:cstheme="minorHAnsi"/>
          <w:lang w:val="es-SV"/>
        </w:rPr>
        <w:t>:</w:t>
      </w:r>
      <w:r w:rsidR="00EE2B0D" w:rsidRPr="007D729D">
        <w:rPr>
          <w:rFonts w:eastAsia="Arial Unicode MS" w:cstheme="minorHAnsi"/>
          <w:lang w:val="es-SV"/>
        </w:rPr>
        <w:t xml:space="preserve"> “</w:t>
      </w:r>
      <w:r w:rsidR="00C27D02" w:rsidRPr="007D729D">
        <w:rPr>
          <w:rFonts w:eastAsia="Arial Unicode MS" w:cstheme="minorHAnsi"/>
          <w:b/>
          <w:i/>
        </w:rPr>
        <w:t>“1.</w:t>
      </w:r>
      <w:r w:rsidR="00C27D02" w:rsidRPr="007D729D">
        <w:rPr>
          <w:rFonts w:eastAsia="Arial Unicode MS" w:cstheme="minorHAnsi"/>
          <w:i/>
        </w:rPr>
        <w:t xml:space="preserve"> </w:t>
      </w:r>
      <w:r w:rsidR="00C27D02" w:rsidRPr="007D729D">
        <w:rPr>
          <w:rFonts w:eastAsia="Times New Roman" w:cstheme="minorHAnsi"/>
          <w:bCs/>
          <w:i/>
          <w:lang w:val="es-SV" w:eastAsia="es-SV"/>
        </w:rPr>
        <w:t xml:space="preserve">Certificación de TODO el Expediente Administrativo de la Licitación Pública No. FSV – 06/2012, al cual se denominó “CONSTRUCCIÓN DE EDIFICIO DE RECURSOS LOGÍSTICOS COMEDOR DE PERSONAL Y ARCHIVO GENERAL DEL FSV”, </w:t>
      </w:r>
      <w:r w:rsidR="00C27D02" w:rsidRPr="007D729D">
        <w:rPr>
          <w:rFonts w:eastAsia="Times New Roman" w:cstheme="minorHAnsi"/>
          <w:b/>
          <w:bCs/>
          <w:i/>
          <w:lang w:val="es-SV" w:eastAsia="es-SV"/>
        </w:rPr>
        <w:t>2.</w:t>
      </w:r>
      <w:r w:rsidR="00C27D02" w:rsidRPr="007D729D">
        <w:rPr>
          <w:rFonts w:eastAsia="Times New Roman" w:cstheme="minorHAnsi"/>
          <w:bCs/>
          <w:i/>
          <w:lang w:val="es-SV" w:eastAsia="es-SV"/>
        </w:rPr>
        <w:t xml:space="preserve"> Certificación de TODO el Expediente Administrativo de la Licitación Pública No. FSV – 02/2012, al cual se denominó “SUPERVISIÓN DE LA CONSTRUCCIÓN DE EDIFICIO DE RECURSOS LOGÍSTICOS COMEDOR DE PERSONAL Y ARCHIVO GENERAL DEL FSV”, </w:t>
      </w:r>
      <w:r w:rsidR="00C27D02" w:rsidRPr="007D729D">
        <w:rPr>
          <w:rFonts w:eastAsia="Times New Roman" w:cstheme="minorHAnsi"/>
          <w:b/>
          <w:bCs/>
          <w:i/>
          <w:lang w:val="es-SV" w:eastAsia="es-SV"/>
        </w:rPr>
        <w:t>3.</w:t>
      </w:r>
      <w:r w:rsidR="00C27D02" w:rsidRPr="007D729D">
        <w:rPr>
          <w:rFonts w:eastAsia="Times New Roman" w:cstheme="minorHAnsi"/>
          <w:bCs/>
          <w:i/>
          <w:lang w:val="es-SV" w:eastAsia="es-SV"/>
        </w:rPr>
        <w:t xml:space="preserve"> Certificación de las BITÁCORAS de construcción firmadas por la empresa constructora, la empresa supervisora y el FSV durante el proceso de construcción del EDIFICIO DE RECURSOS LOGÍSTICOS COMEDOR DE PERSONAL Y ARCHIVO GENERAL DEL FSV, </w:t>
      </w:r>
      <w:r w:rsidR="00C27D02" w:rsidRPr="007D729D">
        <w:rPr>
          <w:rFonts w:eastAsia="Times New Roman" w:cstheme="minorHAnsi"/>
          <w:b/>
          <w:bCs/>
          <w:i/>
          <w:lang w:val="es-SV" w:eastAsia="es-SV"/>
        </w:rPr>
        <w:t>4.</w:t>
      </w:r>
      <w:r w:rsidR="00C27D02" w:rsidRPr="007D729D">
        <w:rPr>
          <w:rFonts w:eastAsia="Times New Roman" w:cstheme="minorHAnsi"/>
          <w:bCs/>
          <w:i/>
          <w:lang w:val="es-SV" w:eastAsia="es-SV"/>
        </w:rPr>
        <w:t xml:space="preserve"> Certificación de los PLANOS DE TALLER que fueron elaborados para las partidas 6.01, 6.02, 6.03 y 6.04 del plan de ofertas por la empresa constructora y aprobados por la empresa supervisora y el FSV durante el proceso de construcción del EDIFICIO DE RECURSOS LOGÍSTICOS COMEDOR DE PERSONAL Y ARCHIVO GENERAL DEL FSV, </w:t>
      </w:r>
      <w:r w:rsidR="00C27D02" w:rsidRPr="007D729D">
        <w:rPr>
          <w:rFonts w:eastAsia="Times New Roman" w:cstheme="minorHAnsi"/>
          <w:b/>
          <w:bCs/>
          <w:i/>
          <w:lang w:val="es-SV" w:eastAsia="es-SV"/>
        </w:rPr>
        <w:t>5.</w:t>
      </w:r>
      <w:r w:rsidR="00C27D02" w:rsidRPr="007D729D">
        <w:rPr>
          <w:rFonts w:eastAsia="Times New Roman" w:cstheme="minorHAnsi"/>
          <w:bCs/>
          <w:i/>
          <w:lang w:val="es-SV" w:eastAsia="es-SV"/>
        </w:rPr>
        <w:t xml:space="preserve"> Certificación de los PLANOS DE TALLER que fueron elaborados para las partidas 13.02 y 13.03 del plan de ofertas por la empresa constructora y aprobados por la empresa supervisora y el FSV durante el proceso de construcción del EDIFICIO DE RECURSOS LOGÍSTICOS COMEDOR DE PERSONAL Y ARCHIVO GENERAL DEL FSV, </w:t>
      </w:r>
      <w:r w:rsidR="00C27D02" w:rsidRPr="007D729D">
        <w:rPr>
          <w:rFonts w:eastAsia="Times New Roman" w:cstheme="minorHAnsi"/>
          <w:b/>
          <w:bCs/>
          <w:i/>
          <w:lang w:val="es-SV" w:eastAsia="es-SV"/>
        </w:rPr>
        <w:t>6.</w:t>
      </w:r>
      <w:r w:rsidR="00C27D02" w:rsidRPr="007D729D">
        <w:rPr>
          <w:rFonts w:eastAsia="Times New Roman" w:cstheme="minorHAnsi"/>
          <w:bCs/>
          <w:i/>
          <w:lang w:val="es-SV" w:eastAsia="es-SV"/>
        </w:rPr>
        <w:t xml:space="preserve"> Certificación de los todos los PLANOS agregados a las bases de la Licitación Pública No. FSV – 06/2012, al cual se denominó “CONSTRUCCIÓN DE EDIFICIO DE RECURSOS LOGÍSTICOS COMEDOR DE PERSONAL Y ARCHIVO GENERAL DEL FSV”, </w:t>
      </w:r>
      <w:r w:rsidR="00C27D02" w:rsidRPr="007D729D">
        <w:rPr>
          <w:rFonts w:eastAsia="Times New Roman" w:cstheme="minorHAnsi"/>
          <w:b/>
          <w:bCs/>
          <w:i/>
          <w:lang w:val="es-SV" w:eastAsia="es-SV"/>
        </w:rPr>
        <w:t xml:space="preserve">7. </w:t>
      </w:r>
      <w:r w:rsidR="00C27D02" w:rsidRPr="007D729D">
        <w:rPr>
          <w:rFonts w:eastAsia="Times New Roman" w:cstheme="minorHAnsi"/>
          <w:bCs/>
          <w:i/>
          <w:lang w:val="es-SV" w:eastAsia="es-SV"/>
        </w:rPr>
        <w:t xml:space="preserve">Certificación de todos los PLANOS ESTRUCTURALES “COMO CONSTRUIDO” del EDIFICIO DE RECURSOS LOGÍSTICOS COMEDOR DE PERSONAL Y ARCHIVO GENERAL DEL FSV, </w:t>
      </w:r>
      <w:r w:rsidR="00C27D02" w:rsidRPr="007D729D">
        <w:rPr>
          <w:rFonts w:eastAsia="Times New Roman" w:cstheme="minorHAnsi"/>
          <w:b/>
          <w:bCs/>
          <w:i/>
          <w:lang w:val="es-SV" w:eastAsia="es-SV"/>
        </w:rPr>
        <w:t>8.</w:t>
      </w:r>
      <w:r w:rsidR="00C27D02" w:rsidRPr="007D729D">
        <w:rPr>
          <w:rFonts w:eastAsia="Times New Roman" w:cstheme="minorHAnsi"/>
          <w:bCs/>
          <w:i/>
          <w:lang w:val="es-SV" w:eastAsia="es-SV"/>
        </w:rPr>
        <w:t xml:space="preserve"> Certificación de TODAS las FACTURAS presentadas por DICONSAL, S.A. DE C.V. y pagadas por el FSV para la “CONSTRUCCIÓN DEL EDIFICIO DE RECURSOS LOGÍSTICOS COMEDOR DE PERSONAL Y ARCHIVO GENERAL DEL FSV”, </w:t>
      </w:r>
      <w:r w:rsidR="00C27D02" w:rsidRPr="007D729D">
        <w:rPr>
          <w:rFonts w:eastAsia="Times New Roman" w:cstheme="minorHAnsi"/>
          <w:b/>
          <w:bCs/>
          <w:i/>
          <w:lang w:val="es-SV" w:eastAsia="es-SV"/>
        </w:rPr>
        <w:t>9.</w:t>
      </w:r>
      <w:r w:rsidR="00C27D02" w:rsidRPr="007D729D">
        <w:rPr>
          <w:rFonts w:eastAsia="Times New Roman" w:cstheme="minorHAnsi"/>
          <w:bCs/>
          <w:i/>
          <w:lang w:val="es-SV" w:eastAsia="es-SV"/>
        </w:rPr>
        <w:t xml:space="preserve"> Certificación de TODOS los CHEQUES emitidos por el FSV a favor de DICONSAL, S.A. DE C.V. para pagar </w:t>
      </w:r>
      <w:r w:rsidR="00C27D02" w:rsidRPr="007D729D">
        <w:rPr>
          <w:rFonts w:eastAsia="Times New Roman" w:cstheme="minorHAnsi"/>
          <w:bCs/>
          <w:i/>
          <w:lang w:val="es-SV" w:eastAsia="es-SV"/>
        </w:rPr>
        <w:lastRenderedPageBreak/>
        <w:t xml:space="preserve">las estimaciones correspondientes a la “CONSTRUCCIÓN DEL EDIFICIO DE RECURSOS LOGÍSTICOS COMEDOR DE PERSONAL Y ARCHIVO GENERAL DEL FSV, </w:t>
      </w:r>
      <w:r w:rsidR="00C27D02" w:rsidRPr="007D729D">
        <w:rPr>
          <w:rFonts w:eastAsia="Times New Roman" w:cstheme="minorHAnsi"/>
          <w:b/>
          <w:bCs/>
          <w:i/>
          <w:lang w:val="es-SV" w:eastAsia="es-SV"/>
        </w:rPr>
        <w:t>10.</w:t>
      </w:r>
      <w:r w:rsidR="00C27D02" w:rsidRPr="007D729D">
        <w:rPr>
          <w:rFonts w:eastAsia="Times New Roman" w:cstheme="minorHAnsi"/>
          <w:bCs/>
          <w:i/>
          <w:lang w:val="es-SV" w:eastAsia="es-SV"/>
        </w:rPr>
        <w:t xml:space="preserve"> Certificación de TODOS los VOUCHERS Y COMPROBANTES DE PAGO firmados por DICONSAL, S.A. DE C.V. en concepto de pago de las estimaciones correspondientes a la “CONSTRUCCIÓN DEL EDIFICIO DE RECURSOS LOGÍSTICOS COMEDOR DE PERSONAL Y ARCHIVO GENERAL DEL FSV”, </w:t>
      </w:r>
      <w:r w:rsidR="00C27D02" w:rsidRPr="007D729D">
        <w:rPr>
          <w:rFonts w:eastAsia="Times New Roman" w:cstheme="minorHAnsi"/>
          <w:b/>
          <w:bCs/>
          <w:i/>
          <w:lang w:val="es-SV" w:eastAsia="es-SV"/>
        </w:rPr>
        <w:t>11.</w:t>
      </w:r>
      <w:r w:rsidR="00C27D02" w:rsidRPr="007D729D">
        <w:rPr>
          <w:rFonts w:eastAsia="Times New Roman" w:cstheme="minorHAnsi"/>
          <w:bCs/>
          <w:i/>
          <w:lang w:val="es-SV" w:eastAsia="es-SV"/>
        </w:rPr>
        <w:t xml:space="preserve"> Copia certificada del nombramiento del ingeniero DANIEL RIVERA CAMPOS como responsable del diseño estructural del EDIFICIO DE RECURSOS LOGÍSTICOS COMEDOR DE PERSONAL Y ARCHIVO GENERAL DEL FSV y </w:t>
      </w:r>
      <w:r w:rsidR="00C27D02" w:rsidRPr="007D729D">
        <w:rPr>
          <w:rFonts w:eastAsia="Times New Roman" w:cstheme="minorHAnsi"/>
          <w:b/>
          <w:bCs/>
          <w:i/>
          <w:lang w:val="es-SV" w:eastAsia="es-SV"/>
        </w:rPr>
        <w:t>12.</w:t>
      </w:r>
      <w:r w:rsidR="00C27D02" w:rsidRPr="007D729D">
        <w:rPr>
          <w:rFonts w:eastAsia="Times New Roman" w:cstheme="minorHAnsi"/>
          <w:bCs/>
          <w:i/>
          <w:lang w:val="es-SV" w:eastAsia="es-SV"/>
        </w:rPr>
        <w:t>Certificación de Memorias de cálculo de partidas 6.01, 6.02, 6.03, 6.04, 13.02, 13.03 elaboradas por el FSV durante el proceso de construcción del EDIFICIO DE RECURSOS LOGÍSTICOS COMEDOR DE PERSONAL Y ARCHIVO GENERAL DEL FSV</w:t>
      </w:r>
      <w:r w:rsidR="00C27D02" w:rsidRPr="007D729D">
        <w:rPr>
          <w:rFonts w:eastAsia="Arial Unicode MS" w:cstheme="minorHAnsi"/>
          <w:i/>
        </w:rPr>
        <w:t>”</w:t>
      </w:r>
      <w:r w:rsidR="00C27D02" w:rsidRPr="007D729D">
        <w:rPr>
          <w:rFonts w:eastAsia="Arial Unicode MS" w:cstheme="minorHAnsi"/>
        </w:rPr>
        <w:t>.</w:t>
      </w:r>
    </w:p>
    <w:p w:rsidR="00FB13D8" w:rsidRPr="007D729D" w:rsidRDefault="00FB13D8" w:rsidP="003272E4">
      <w:pPr>
        <w:spacing w:after="0" w:line="360" w:lineRule="auto"/>
        <w:jc w:val="both"/>
        <w:rPr>
          <w:rFonts w:eastAsia="Arial Unicode MS" w:cstheme="minorHAnsi"/>
          <w:i/>
          <w:lang w:val="es-SV"/>
        </w:rPr>
      </w:pPr>
    </w:p>
    <w:p w:rsidR="00A075A3" w:rsidRPr="007D729D" w:rsidRDefault="00805BC4" w:rsidP="003272E4">
      <w:pPr>
        <w:spacing w:after="0" w:line="360" w:lineRule="auto"/>
        <w:jc w:val="both"/>
        <w:rPr>
          <w:rFonts w:eastAsia="Arial Unicode MS" w:cstheme="minorHAnsi"/>
        </w:rPr>
      </w:pPr>
      <w:r w:rsidRPr="007D729D">
        <w:rPr>
          <w:rFonts w:eastAsia="Arial Unicode MS" w:cstheme="minorHAnsi"/>
          <w:b/>
        </w:rPr>
        <w:t>CONSIDERANDO</w:t>
      </w:r>
      <w:r w:rsidR="009D5D10" w:rsidRPr="007D729D">
        <w:rPr>
          <w:rFonts w:eastAsia="Arial Unicode MS" w:cstheme="minorHAnsi"/>
        </w:rPr>
        <w:t xml:space="preserve">: </w:t>
      </w:r>
    </w:p>
    <w:p w:rsidR="00EE2B0D" w:rsidRPr="007D729D" w:rsidRDefault="00EE2B0D" w:rsidP="003272E4">
      <w:pPr>
        <w:numPr>
          <w:ilvl w:val="0"/>
          <w:numId w:val="31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7D729D">
        <w:rPr>
          <w:rFonts w:eastAsia="Arial Unicode MS" w:cstheme="minorHAnsi"/>
          <w:lang w:val="es-SV"/>
        </w:rPr>
        <w:t xml:space="preserve">Que mediante resolución pronunciada por esta Unidad </w:t>
      </w:r>
      <w:r w:rsidRPr="007D729D">
        <w:rPr>
          <w:rFonts w:eastAsia="Arial Unicode MS" w:cstheme="minorHAnsi"/>
        </w:rPr>
        <w:t xml:space="preserve">a las </w:t>
      </w:r>
      <w:r w:rsidR="00C27D02" w:rsidRPr="007D729D">
        <w:rPr>
          <w:rFonts w:eastAsia="Arial Unicode MS" w:cstheme="minorHAnsi"/>
        </w:rPr>
        <w:t xml:space="preserve">once </w:t>
      </w:r>
      <w:r w:rsidRPr="007D729D">
        <w:rPr>
          <w:rFonts w:eastAsia="Arial Unicode MS" w:cstheme="minorHAnsi"/>
        </w:rPr>
        <w:t xml:space="preserve">horas y </w:t>
      </w:r>
      <w:r w:rsidR="00C27D02" w:rsidRPr="007D729D">
        <w:rPr>
          <w:rFonts w:eastAsia="Arial Unicode MS" w:cstheme="minorHAnsi"/>
        </w:rPr>
        <w:t xml:space="preserve">veinte </w:t>
      </w:r>
      <w:r w:rsidRPr="007D729D">
        <w:rPr>
          <w:rFonts w:eastAsia="Arial Unicode MS" w:cstheme="minorHAnsi"/>
        </w:rPr>
        <w:t xml:space="preserve">minutos del día </w:t>
      </w:r>
      <w:r w:rsidR="00C27D02" w:rsidRPr="007D729D">
        <w:rPr>
          <w:rFonts w:eastAsia="Arial Unicode MS" w:cstheme="minorHAnsi"/>
        </w:rPr>
        <w:t xml:space="preserve">dieciocho </w:t>
      </w:r>
      <w:r w:rsidRPr="007D729D">
        <w:rPr>
          <w:rFonts w:eastAsia="Arial Unicode MS" w:cstheme="minorHAnsi"/>
        </w:rPr>
        <w:t xml:space="preserve">de </w:t>
      </w:r>
      <w:r w:rsidR="00C27D02" w:rsidRPr="007D729D">
        <w:rPr>
          <w:rFonts w:eastAsia="Arial Unicode MS" w:cstheme="minorHAnsi"/>
        </w:rPr>
        <w:t xml:space="preserve">julio </w:t>
      </w:r>
      <w:r w:rsidRPr="007D729D">
        <w:rPr>
          <w:rFonts w:eastAsia="Arial Unicode MS" w:cstheme="minorHAnsi"/>
        </w:rPr>
        <w:t>de dos mil dieci</w:t>
      </w:r>
      <w:r w:rsidR="00C27D02" w:rsidRPr="007D729D">
        <w:rPr>
          <w:rFonts w:eastAsia="Arial Unicode MS" w:cstheme="minorHAnsi"/>
        </w:rPr>
        <w:t>nueve</w:t>
      </w:r>
      <w:r w:rsidRPr="007D729D">
        <w:rPr>
          <w:rFonts w:eastAsia="Arial Unicode MS" w:cstheme="minorHAnsi"/>
        </w:rPr>
        <w:t>,</w:t>
      </w:r>
      <w:r w:rsidRPr="007D729D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 y 50 y 54 de su Reglamento (RELAIP). </w:t>
      </w:r>
    </w:p>
    <w:p w:rsidR="001E6CB2" w:rsidRPr="007D729D" w:rsidRDefault="001E6CB2" w:rsidP="003272E4">
      <w:pPr>
        <w:pStyle w:val="Prrafodelista"/>
        <w:spacing w:after="0" w:line="360" w:lineRule="auto"/>
        <w:ind w:left="1080"/>
        <w:jc w:val="both"/>
        <w:rPr>
          <w:rFonts w:eastAsia="Arial Unicode MS" w:cstheme="minorHAnsi"/>
        </w:rPr>
      </w:pPr>
    </w:p>
    <w:p w:rsidR="00C27D02" w:rsidRPr="007D729D" w:rsidRDefault="00753F33" w:rsidP="003272E4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eastAsia="Arial Unicode MS" w:cstheme="minorHAnsi"/>
        </w:rPr>
      </w:pPr>
      <w:r w:rsidRPr="007D729D">
        <w:rPr>
          <w:rFonts w:eastAsia="Arial Unicode MS" w:cstheme="minorHAnsi"/>
          <w:lang w:val="es-SV"/>
        </w:rPr>
        <w:t xml:space="preserve">Que </w:t>
      </w:r>
      <w:r w:rsidR="00FB13D8" w:rsidRPr="007D729D">
        <w:rPr>
          <w:rFonts w:eastAsia="Arial Unicode MS" w:cstheme="minorHAnsi"/>
          <w:lang w:val="es-SV"/>
        </w:rPr>
        <w:t xml:space="preserve">de conformidad a lo dispuesto en el art. 70 LAIP, </w:t>
      </w:r>
      <w:r w:rsidRPr="007D729D">
        <w:rPr>
          <w:rFonts w:eastAsia="Arial Unicode MS" w:cstheme="minorHAnsi"/>
          <w:lang w:val="es-SV"/>
        </w:rPr>
        <w:t xml:space="preserve">se </w:t>
      </w:r>
      <w:r w:rsidR="00C27D02" w:rsidRPr="007D729D">
        <w:rPr>
          <w:rFonts w:eastAsia="Arial Unicode MS" w:cstheme="minorHAnsi"/>
          <w:lang w:val="es-SV"/>
        </w:rPr>
        <w:t>requirió a las Unidades Administrativas competentes, que para este caso se tratan de la Unidad de Adquisiciones y Contrataciones Institucional (UACI)</w:t>
      </w:r>
      <w:r w:rsidR="005E18E0" w:rsidRPr="007D729D">
        <w:rPr>
          <w:rFonts w:eastAsia="Arial Unicode MS" w:cstheme="minorHAnsi"/>
          <w:lang w:val="es-SV"/>
        </w:rPr>
        <w:t xml:space="preserve">, </w:t>
      </w:r>
      <w:r w:rsidR="00505F95">
        <w:rPr>
          <w:rFonts w:eastAsia="Arial Unicode MS" w:cstheme="minorHAnsi"/>
          <w:lang w:val="es-SV"/>
        </w:rPr>
        <w:t xml:space="preserve">de </w:t>
      </w:r>
      <w:r w:rsidR="005E18E0" w:rsidRPr="007D729D">
        <w:rPr>
          <w:rFonts w:eastAsia="Arial Unicode MS" w:cstheme="minorHAnsi"/>
          <w:lang w:val="es-SV"/>
        </w:rPr>
        <w:t>la Gerencia de Finanzas</w:t>
      </w:r>
      <w:r w:rsidR="00C27D02" w:rsidRPr="007D729D">
        <w:rPr>
          <w:rFonts w:eastAsia="Arial Unicode MS" w:cstheme="minorHAnsi"/>
          <w:lang w:val="es-SV"/>
        </w:rPr>
        <w:t xml:space="preserve"> y </w:t>
      </w:r>
      <w:r w:rsidR="00505F95">
        <w:rPr>
          <w:rFonts w:eastAsia="Arial Unicode MS" w:cstheme="minorHAnsi"/>
          <w:lang w:val="es-SV"/>
        </w:rPr>
        <w:t xml:space="preserve">de </w:t>
      </w:r>
      <w:r w:rsidR="005E18E0" w:rsidRPr="007D729D">
        <w:rPr>
          <w:rFonts w:eastAsia="Arial Unicode MS" w:cstheme="minorHAnsi"/>
          <w:lang w:val="es-SV"/>
        </w:rPr>
        <w:t xml:space="preserve">la </w:t>
      </w:r>
      <w:r w:rsidR="00C27D02" w:rsidRPr="007D729D">
        <w:rPr>
          <w:rFonts w:eastAsia="Arial Unicode MS" w:cstheme="minorHAnsi"/>
          <w:lang w:val="es-SV"/>
        </w:rPr>
        <w:t xml:space="preserve">Gerencia Administrativa, </w:t>
      </w:r>
      <w:r w:rsidR="005E18E0" w:rsidRPr="007D729D">
        <w:rPr>
          <w:rFonts w:eastAsia="Arial Unicode MS" w:cstheme="minorHAnsi"/>
          <w:lang w:val="es-SV"/>
        </w:rPr>
        <w:t xml:space="preserve">todas </w:t>
      </w:r>
      <w:r w:rsidR="00C27D02" w:rsidRPr="007D729D">
        <w:rPr>
          <w:rFonts w:eastAsia="Arial Unicode MS" w:cstheme="minorHAnsi"/>
          <w:lang w:val="es-SV"/>
        </w:rPr>
        <w:t xml:space="preserve">de esta Institución, para que la información </w:t>
      </w:r>
      <w:r w:rsidR="00EE2B0D" w:rsidRPr="007D729D">
        <w:rPr>
          <w:rFonts w:eastAsia="Arial Unicode MS" w:cstheme="minorHAnsi"/>
          <w:lang w:val="es-SV"/>
        </w:rPr>
        <w:t>se localizara</w:t>
      </w:r>
      <w:r w:rsidR="00C27D02" w:rsidRPr="007D729D">
        <w:rPr>
          <w:rFonts w:eastAsia="Arial Unicode MS" w:cstheme="minorHAnsi"/>
          <w:lang w:val="es-SV"/>
        </w:rPr>
        <w:t>, se verificara su clasificación</w:t>
      </w:r>
      <w:r w:rsidR="00EE2B0D" w:rsidRPr="007D729D">
        <w:rPr>
          <w:rFonts w:eastAsia="Arial Unicode MS" w:cstheme="minorHAnsi"/>
          <w:lang w:val="es-SV"/>
        </w:rPr>
        <w:t xml:space="preserve"> y </w:t>
      </w:r>
      <w:r w:rsidR="00C27D02" w:rsidRPr="007D729D">
        <w:rPr>
          <w:rFonts w:eastAsia="Arial Unicode MS" w:cstheme="minorHAnsi"/>
          <w:lang w:val="es-SV"/>
        </w:rPr>
        <w:t xml:space="preserve">se </w:t>
      </w:r>
      <w:r w:rsidR="00EE2B0D" w:rsidRPr="007D729D">
        <w:rPr>
          <w:rFonts w:eastAsia="Arial Unicode MS" w:cstheme="minorHAnsi"/>
          <w:lang w:val="es-SV"/>
        </w:rPr>
        <w:t>enviara a esta Unidad</w:t>
      </w:r>
      <w:r w:rsidR="00FB13D8" w:rsidRPr="007D729D">
        <w:rPr>
          <w:rFonts w:eastAsia="Arial Unicode MS" w:cstheme="minorHAnsi"/>
          <w:lang w:val="es-SV"/>
        </w:rPr>
        <w:t>.</w:t>
      </w:r>
    </w:p>
    <w:p w:rsidR="00C27D02" w:rsidRPr="007D729D" w:rsidRDefault="00C27D02" w:rsidP="003272E4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:rsidR="00A113E1" w:rsidRPr="007D729D" w:rsidRDefault="00C27D02" w:rsidP="003272E4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eastAsia="Arial Unicode MS" w:cstheme="minorHAnsi"/>
        </w:rPr>
      </w:pPr>
      <w:r w:rsidRPr="007D729D">
        <w:rPr>
          <w:rFonts w:eastAsia="Arial Unicode MS" w:cstheme="minorHAnsi"/>
          <w:lang w:val="es-SV"/>
        </w:rPr>
        <w:t xml:space="preserve">Que </w:t>
      </w:r>
      <w:r w:rsidR="00A113E1" w:rsidRPr="007D729D">
        <w:rPr>
          <w:rFonts w:eastAsia="Arial Unicode MS" w:cstheme="minorHAnsi"/>
          <w:lang w:val="es-SV"/>
        </w:rPr>
        <w:t>en fecha</w:t>
      </w:r>
      <w:r w:rsidR="007D729D" w:rsidRPr="007D729D">
        <w:rPr>
          <w:rFonts w:eastAsia="Arial Unicode MS" w:cstheme="minorHAnsi"/>
          <w:lang w:val="es-SV"/>
        </w:rPr>
        <w:t xml:space="preserve"> </w:t>
      </w:r>
      <w:r w:rsidR="00F05CD6" w:rsidRPr="007D729D">
        <w:rPr>
          <w:rFonts w:eastAsia="Arial Unicode MS" w:cstheme="minorHAnsi"/>
          <w:lang w:val="es-SV"/>
        </w:rPr>
        <w:t>30 de julio del corriente año</w:t>
      </w:r>
      <w:r w:rsidR="00A113E1" w:rsidRPr="007D729D">
        <w:rPr>
          <w:rFonts w:eastAsia="Arial Unicode MS" w:cstheme="minorHAnsi"/>
          <w:lang w:val="es-SV"/>
        </w:rPr>
        <w:t>, la UACI</w:t>
      </w:r>
      <w:r w:rsidR="00CD29DF" w:rsidRPr="007D729D">
        <w:rPr>
          <w:rFonts w:eastAsia="Arial Unicode MS" w:cstheme="minorHAnsi"/>
          <w:lang w:val="es-SV"/>
        </w:rPr>
        <w:t>, la Gerencia de Finanzas</w:t>
      </w:r>
      <w:r w:rsidR="00A113E1" w:rsidRPr="007D729D">
        <w:rPr>
          <w:rFonts w:eastAsia="Arial Unicode MS" w:cstheme="minorHAnsi"/>
          <w:lang w:val="es-SV"/>
        </w:rPr>
        <w:t xml:space="preserve"> </w:t>
      </w:r>
      <w:r w:rsidR="00AF3458">
        <w:rPr>
          <w:rFonts w:eastAsia="Arial Unicode MS" w:cstheme="minorHAnsi"/>
          <w:lang w:val="es-SV"/>
        </w:rPr>
        <w:t xml:space="preserve">y </w:t>
      </w:r>
      <w:r w:rsidR="00A113E1" w:rsidRPr="007D729D">
        <w:rPr>
          <w:rFonts w:eastAsia="Arial Unicode MS" w:cstheme="minorHAnsi"/>
          <w:lang w:val="es-SV"/>
        </w:rPr>
        <w:t xml:space="preserve">la Gerencia Administrativa informaron a esta Unidad que </w:t>
      </w:r>
      <w:r w:rsidR="00505F95">
        <w:rPr>
          <w:rFonts w:eastAsia="Arial Unicode MS" w:cstheme="minorHAnsi"/>
          <w:lang w:val="es-SV"/>
        </w:rPr>
        <w:t>l</w:t>
      </w:r>
      <w:r w:rsidR="00AF3458">
        <w:rPr>
          <w:rFonts w:eastAsia="Arial Unicode MS" w:cstheme="minorHAnsi"/>
          <w:lang w:val="es-SV"/>
        </w:rPr>
        <w:t>os documentos solicitados</w:t>
      </w:r>
      <w:r w:rsidR="00505F95">
        <w:rPr>
          <w:rFonts w:eastAsia="Arial Unicode MS" w:cstheme="minorHAnsi"/>
          <w:lang w:val="es-SV"/>
        </w:rPr>
        <w:t xml:space="preserve"> </w:t>
      </w:r>
      <w:r w:rsidR="00A113E1" w:rsidRPr="007D729D">
        <w:rPr>
          <w:rFonts w:eastAsia="Arial Unicode MS" w:cstheme="minorHAnsi"/>
          <w:lang w:val="es-SV"/>
        </w:rPr>
        <w:t xml:space="preserve">por la ciudadana </w:t>
      </w:r>
      <w:r w:rsidR="00F15C8E">
        <w:rPr>
          <w:rFonts w:eastAsia="Arial Unicode MS" w:cstheme="minorHAnsi"/>
          <w:b/>
          <w:lang w:val="es-SV"/>
        </w:rPr>
        <w:t>________________________________________</w:t>
      </w:r>
      <w:r w:rsidR="00505F95">
        <w:rPr>
          <w:rFonts w:eastAsia="Arial Unicode MS" w:cstheme="minorHAnsi"/>
          <w:lang w:val="es-SV"/>
        </w:rPr>
        <w:t>constituye</w:t>
      </w:r>
      <w:r w:rsidR="00AF3458">
        <w:rPr>
          <w:rFonts w:eastAsia="Arial Unicode MS" w:cstheme="minorHAnsi"/>
          <w:lang w:val="es-SV"/>
        </w:rPr>
        <w:t>n</w:t>
      </w:r>
      <w:r w:rsidR="00505F95">
        <w:rPr>
          <w:rFonts w:eastAsia="Arial Unicode MS" w:cstheme="minorHAnsi"/>
          <w:lang w:val="es-SV"/>
        </w:rPr>
        <w:t xml:space="preserve"> </w:t>
      </w:r>
      <w:r w:rsidRPr="007D729D">
        <w:rPr>
          <w:rFonts w:eastAsia="Arial Unicode MS" w:cstheme="minorHAnsi"/>
          <w:b/>
          <w:lang w:val="es-SV"/>
        </w:rPr>
        <w:t>Información Reservada</w:t>
      </w:r>
      <w:r w:rsidR="00E85147" w:rsidRPr="007D729D">
        <w:rPr>
          <w:rFonts w:eastAsia="Arial Unicode MS" w:cstheme="minorHAnsi"/>
          <w:b/>
          <w:lang w:val="es-SV"/>
        </w:rPr>
        <w:t>,</w:t>
      </w:r>
      <w:r w:rsidR="00505F95">
        <w:rPr>
          <w:rFonts w:eastAsia="Arial Unicode MS" w:cstheme="minorHAnsi"/>
          <w:b/>
          <w:lang w:val="es-SV"/>
        </w:rPr>
        <w:t xml:space="preserve"> </w:t>
      </w:r>
      <w:r w:rsidR="00505F95" w:rsidRPr="00505F95">
        <w:rPr>
          <w:rFonts w:eastAsia="Arial Unicode MS" w:cstheme="minorHAnsi"/>
          <w:lang w:val="es-SV"/>
        </w:rPr>
        <w:t>cuya clasificación responde a análisis y Dictamen Jurídico pronunciados por el Gerente Legal de esta Institución,</w:t>
      </w:r>
      <w:r w:rsidR="00E85147" w:rsidRPr="00505F95">
        <w:rPr>
          <w:rFonts w:eastAsia="Arial Unicode MS" w:cstheme="minorHAnsi"/>
          <w:lang w:val="es-SV"/>
        </w:rPr>
        <w:t xml:space="preserve"> </w:t>
      </w:r>
      <w:r w:rsidR="00505F95" w:rsidRPr="00505F95">
        <w:rPr>
          <w:rFonts w:eastAsia="Arial Unicode MS" w:cstheme="minorHAnsi"/>
          <w:lang w:val="es-SV"/>
        </w:rPr>
        <w:t xml:space="preserve">de conformidad a lo dispuesto en los arts. </w:t>
      </w:r>
      <w:r w:rsidR="007D729D" w:rsidRPr="007D729D">
        <w:rPr>
          <w:rFonts w:eastAsia="Arial Unicode MS" w:cstheme="minorHAnsi"/>
          <w:lang w:val="es-SV"/>
        </w:rPr>
        <w:t>19 y 21</w:t>
      </w:r>
      <w:r w:rsidR="0070503F" w:rsidRPr="007D729D">
        <w:rPr>
          <w:rFonts w:eastAsia="Arial Unicode MS" w:cstheme="minorHAnsi"/>
          <w:lang w:val="es-SV"/>
        </w:rPr>
        <w:t xml:space="preserve"> de la Ley de Acceso a la Información Pública (LAIP)</w:t>
      </w:r>
      <w:r w:rsidR="00602FC3">
        <w:rPr>
          <w:rFonts w:eastAsia="Arial Unicode MS" w:cstheme="minorHAnsi"/>
          <w:lang w:val="es-SV"/>
        </w:rPr>
        <w:t xml:space="preserve"> y art. 19 de su R</w:t>
      </w:r>
      <w:r w:rsidR="00505F95">
        <w:rPr>
          <w:rFonts w:eastAsia="Arial Unicode MS" w:cstheme="minorHAnsi"/>
          <w:lang w:val="es-SV"/>
        </w:rPr>
        <w:t>eglamento (RELAIP)</w:t>
      </w:r>
      <w:r w:rsidR="00E85147" w:rsidRPr="007D729D">
        <w:rPr>
          <w:rFonts w:eastAsia="Arial Unicode MS" w:cstheme="minorHAnsi"/>
          <w:lang w:val="es-SV"/>
        </w:rPr>
        <w:t>.</w:t>
      </w:r>
      <w:r w:rsidR="00CD29DF" w:rsidRPr="007D729D">
        <w:rPr>
          <w:rFonts w:eastAsia="Arial Unicode MS" w:cstheme="minorHAnsi"/>
          <w:lang w:val="es-SV"/>
        </w:rPr>
        <w:t xml:space="preserve"> Se adjunta</w:t>
      </w:r>
      <w:r w:rsidR="00505F95">
        <w:rPr>
          <w:rFonts w:eastAsia="Arial Unicode MS" w:cstheme="minorHAnsi"/>
          <w:lang w:val="es-SV"/>
        </w:rPr>
        <w:t>n</w:t>
      </w:r>
      <w:r w:rsidR="00CD29DF" w:rsidRPr="007D729D">
        <w:rPr>
          <w:rFonts w:eastAsia="Arial Unicode MS" w:cstheme="minorHAnsi"/>
          <w:lang w:val="es-SV"/>
        </w:rPr>
        <w:t xml:space="preserve"> a </w:t>
      </w:r>
      <w:r w:rsidR="00CD29DF" w:rsidRPr="007D729D">
        <w:rPr>
          <w:rFonts w:eastAsia="Arial Unicode MS" w:cstheme="minorHAnsi"/>
          <w:lang w:val="es-SV"/>
        </w:rPr>
        <w:lastRenderedPageBreak/>
        <w:t xml:space="preserve">esta resolución </w:t>
      </w:r>
      <w:r w:rsidR="00505F95">
        <w:rPr>
          <w:rFonts w:eastAsia="Arial Unicode MS" w:cstheme="minorHAnsi"/>
          <w:lang w:val="es-SV"/>
        </w:rPr>
        <w:t xml:space="preserve">las notas de respuesta de las áreas referidas, así como las respectivas Declaratorias </w:t>
      </w:r>
      <w:r w:rsidR="008E5505">
        <w:rPr>
          <w:rFonts w:eastAsia="Arial Unicode MS" w:cstheme="minorHAnsi"/>
          <w:lang w:val="es-SV"/>
        </w:rPr>
        <w:t>de Reserva y el Dictamen J</w:t>
      </w:r>
      <w:r w:rsidR="00505F95">
        <w:rPr>
          <w:rFonts w:eastAsia="Arial Unicode MS" w:cstheme="minorHAnsi"/>
          <w:lang w:val="es-SV"/>
        </w:rPr>
        <w:t>urídico en cuestión</w:t>
      </w:r>
      <w:r w:rsidR="00CD29DF" w:rsidRPr="007D729D">
        <w:rPr>
          <w:rFonts w:eastAsia="Arial Unicode MS" w:cstheme="minorHAnsi"/>
          <w:lang w:val="es-SV"/>
        </w:rPr>
        <w:t>.</w:t>
      </w:r>
    </w:p>
    <w:p w:rsidR="003272E4" w:rsidRPr="007D729D" w:rsidRDefault="003272E4" w:rsidP="003272E4">
      <w:pPr>
        <w:pStyle w:val="Prrafodelista"/>
        <w:rPr>
          <w:rFonts w:eastAsia="Arial Unicode MS" w:cstheme="minorHAnsi"/>
        </w:rPr>
      </w:pPr>
    </w:p>
    <w:p w:rsidR="003272E4" w:rsidRPr="007D729D" w:rsidRDefault="003272E4" w:rsidP="003272E4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eastAsia="Arial Unicode MS" w:cstheme="minorHAnsi"/>
        </w:rPr>
      </w:pPr>
      <w:r w:rsidRPr="007D729D">
        <w:rPr>
          <w:rFonts w:eastAsia="Arial Unicode MS" w:cstheme="minorHAnsi"/>
          <w:lang w:val="es-SV"/>
        </w:rPr>
        <w:t xml:space="preserve">Que esta Unidad debe garantizar el derecho de acceso a la información pública que corresponde a toda persona, con el objeto de fomentar la transparencia de las actuaciones de la gestión pública. No </w:t>
      </w:r>
      <w:proofErr w:type="gramStart"/>
      <w:r w:rsidRPr="007D729D">
        <w:rPr>
          <w:rFonts w:eastAsia="Arial Unicode MS" w:cstheme="minorHAnsi"/>
          <w:lang w:val="es-SV"/>
        </w:rPr>
        <w:t>obstante</w:t>
      </w:r>
      <w:proofErr w:type="gramEnd"/>
      <w:r w:rsidRPr="007D729D">
        <w:rPr>
          <w:rFonts w:eastAsia="Arial Unicode MS" w:cstheme="minorHAnsi"/>
          <w:lang w:val="es-SV"/>
        </w:rPr>
        <w:t xml:space="preserve"> la información reservada</w:t>
      </w:r>
      <w:r w:rsidR="00AF3458">
        <w:rPr>
          <w:rFonts w:eastAsia="Arial Unicode MS" w:cstheme="minorHAnsi"/>
          <w:lang w:val="es-SV"/>
        </w:rPr>
        <w:t>, clasificada así bajo determinadas circunstancias precisadas en la ley,</w:t>
      </w:r>
      <w:r w:rsidRPr="007D729D">
        <w:rPr>
          <w:rFonts w:eastAsia="Arial Unicode MS" w:cstheme="minorHAnsi"/>
          <w:lang w:val="es-SV"/>
        </w:rPr>
        <w:t xml:space="preserve"> constituye </w:t>
      </w:r>
      <w:r w:rsidR="00AF3458">
        <w:rPr>
          <w:rFonts w:eastAsia="Arial Unicode MS" w:cstheme="minorHAnsi"/>
          <w:lang w:val="es-SV"/>
        </w:rPr>
        <w:t>una de las</w:t>
      </w:r>
      <w:r w:rsidRPr="007D729D">
        <w:rPr>
          <w:rFonts w:eastAsia="Arial Unicode MS" w:cstheme="minorHAnsi"/>
          <w:lang w:val="es-SV"/>
        </w:rPr>
        <w:t xml:space="preserve"> excepci</w:t>
      </w:r>
      <w:r w:rsidR="00AF3458">
        <w:rPr>
          <w:rFonts w:eastAsia="Arial Unicode MS" w:cstheme="minorHAnsi"/>
          <w:lang w:val="es-SV"/>
        </w:rPr>
        <w:t>ones</w:t>
      </w:r>
      <w:r w:rsidRPr="007D729D">
        <w:rPr>
          <w:rFonts w:eastAsia="Arial Unicode MS" w:cstheme="minorHAnsi"/>
          <w:lang w:val="es-SV"/>
        </w:rPr>
        <w:t xml:space="preserve"> al acceso irrestricto a la información.</w:t>
      </w:r>
    </w:p>
    <w:p w:rsidR="00A113E1" w:rsidRPr="007D729D" w:rsidRDefault="00A113E1" w:rsidP="003272E4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:rsidR="003272E4" w:rsidRPr="007D729D" w:rsidRDefault="00CD29DF" w:rsidP="003272E4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eastAsia="Arial Unicode MS" w:cstheme="minorHAnsi"/>
        </w:rPr>
      </w:pPr>
      <w:r w:rsidRPr="007D729D">
        <w:rPr>
          <w:rFonts w:eastAsia="Arial Unicode MS" w:cstheme="minorHAnsi"/>
          <w:lang w:val="es-SV"/>
        </w:rPr>
        <w:t>Que</w:t>
      </w:r>
      <w:r w:rsidR="0070503F" w:rsidRPr="007D729D">
        <w:rPr>
          <w:rFonts w:eastAsia="Arial Unicode MS" w:cstheme="minorHAnsi"/>
          <w:lang w:val="es-SV"/>
        </w:rPr>
        <w:t xml:space="preserve"> al examinar las Declaratorias de R</w:t>
      </w:r>
      <w:r w:rsidRPr="007D729D">
        <w:rPr>
          <w:rFonts w:eastAsia="Arial Unicode MS" w:cstheme="minorHAnsi"/>
          <w:lang w:val="es-SV"/>
        </w:rPr>
        <w:t xml:space="preserve">eserva </w:t>
      </w:r>
      <w:r w:rsidR="005E18E0" w:rsidRPr="007D729D">
        <w:rPr>
          <w:rFonts w:eastAsia="Arial Unicode MS" w:cstheme="minorHAnsi"/>
          <w:lang w:val="es-SV"/>
        </w:rPr>
        <w:t>enviadas junto al dictamen jurídico del Gerente Legal</w:t>
      </w:r>
      <w:r w:rsidR="00026BAC">
        <w:rPr>
          <w:rFonts w:eastAsia="Arial Unicode MS" w:cstheme="minorHAnsi"/>
          <w:lang w:val="es-SV"/>
        </w:rPr>
        <w:t>,</w:t>
      </w:r>
      <w:r w:rsidR="005E18E0" w:rsidRPr="007D729D">
        <w:rPr>
          <w:rFonts w:eastAsia="Arial Unicode MS" w:cstheme="minorHAnsi"/>
          <w:lang w:val="es-SV"/>
        </w:rPr>
        <w:t xml:space="preserve"> </w:t>
      </w:r>
      <w:r w:rsidR="0070503F" w:rsidRPr="007D729D">
        <w:rPr>
          <w:rFonts w:eastAsia="Arial Unicode MS" w:cstheme="minorHAnsi"/>
          <w:lang w:val="es-SV"/>
        </w:rPr>
        <w:t xml:space="preserve">se verificó que </w:t>
      </w:r>
      <w:r w:rsidR="005E18E0" w:rsidRPr="007D729D">
        <w:rPr>
          <w:rFonts w:eastAsia="Arial Unicode MS" w:cstheme="minorHAnsi"/>
          <w:lang w:val="es-SV"/>
        </w:rPr>
        <w:t>las mismas</w:t>
      </w:r>
      <w:r w:rsidR="0070503F" w:rsidRPr="007D729D">
        <w:rPr>
          <w:rFonts w:eastAsia="Arial Unicode MS" w:cstheme="minorHAnsi"/>
          <w:lang w:val="es-SV"/>
        </w:rPr>
        <w:t xml:space="preserve"> cumplen con los requisitos </w:t>
      </w:r>
      <w:r w:rsidR="00026BAC">
        <w:rPr>
          <w:rFonts w:eastAsia="Arial Unicode MS" w:cstheme="minorHAnsi"/>
          <w:lang w:val="es-SV"/>
        </w:rPr>
        <w:t>determinados en la Ley de Acceso a la Información Pública y su Reglamento, retomados</w:t>
      </w:r>
      <w:r w:rsidR="0070503F" w:rsidRPr="007D729D">
        <w:rPr>
          <w:rFonts w:eastAsia="Arial Unicode MS" w:cstheme="minorHAnsi"/>
          <w:lang w:val="es-SV"/>
        </w:rPr>
        <w:t xml:space="preserve"> por el Instituto de Acceso a la Información Pública en la resolución </w:t>
      </w:r>
      <w:r w:rsidR="00147ACE" w:rsidRPr="007D729D">
        <w:rPr>
          <w:rFonts w:eastAsia="Arial Unicode MS" w:cstheme="minorHAnsi"/>
          <w:lang w:val="es-SV"/>
        </w:rPr>
        <w:t>6</w:t>
      </w:r>
      <w:r w:rsidR="00141B2B" w:rsidRPr="007D729D">
        <w:rPr>
          <w:rFonts w:eastAsia="Arial Unicode MS" w:cstheme="minorHAnsi"/>
          <w:lang w:val="es-SV"/>
        </w:rPr>
        <w:t>-A-</w:t>
      </w:r>
      <w:r w:rsidR="00147ACE" w:rsidRPr="007D729D">
        <w:rPr>
          <w:rFonts w:eastAsia="Arial Unicode MS" w:cstheme="minorHAnsi"/>
          <w:lang w:val="es-SV"/>
        </w:rPr>
        <w:t>2014</w:t>
      </w:r>
      <w:r w:rsidR="00141B2B" w:rsidRPr="007D729D">
        <w:rPr>
          <w:rFonts w:eastAsia="Arial Unicode MS" w:cstheme="minorHAnsi"/>
          <w:lang w:val="es-SV"/>
        </w:rPr>
        <w:t xml:space="preserve"> de fecha</w:t>
      </w:r>
      <w:r w:rsidR="005E18E0" w:rsidRPr="007D729D">
        <w:rPr>
          <w:rFonts w:eastAsia="Arial Unicode MS" w:cstheme="minorHAnsi"/>
          <w:lang w:val="es-SV"/>
        </w:rPr>
        <w:t xml:space="preserve"> </w:t>
      </w:r>
      <w:r w:rsidR="00147ACE" w:rsidRPr="007D729D">
        <w:rPr>
          <w:rFonts w:eastAsia="Arial Unicode MS" w:cstheme="minorHAnsi"/>
          <w:lang w:val="es-SV"/>
        </w:rPr>
        <w:t>02</w:t>
      </w:r>
      <w:r w:rsidR="00141B2B" w:rsidRPr="007D729D">
        <w:rPr>
          <w:rFonts w:eastAsia="Arial Unicode MS" w:cstheme="minorHAnsi"/>
          <w:lang w:val="es-SV"/>
        </w:rPr>
        <w:t xml:space="preserve"> de </w:t>
      </w:r>
      <w:r w:rsidR="00147ACE" w:rsidRPr="007D729D">
        <w:rPr>
          <w:rFonts w:eastAsia="Arial Unicode MS" w:cstheme="minorHAnsi"/>
          <w:lang w:val="es-SV"/>
        </w:rPr>
        <w:t>julio de 2014</w:t>
      </w:r>
      <w:r w:rsidR="00141B2B" w:rsidRPr="007D729D">
        <w:rPr>
          <w:rFonts w:eastAsia="Arial Unicode MS" w:cstheme="minorHAnsi"/>
          <w:lang w:val="es-SV"/>
        </w:rPr>
        <w:t xml:space="preserve">, </w:t>
      </w:r>
      <w:r w:rsidR="00026BAC">
        <w:rPr>
          <w:rFonts w:eastAsia="Arial Unicode MS" w:cstheme="minorHAnsi"/>
          <w:lang w:val="es-SV"/>
        </w:rPr>
        <w:t>en la cual ha señalado</w:t>
      </w:r>
      <w:r w:rsidR="00141B2B" w:rsidRPr="007D729D">
        <w:rPr>
          <w:rFonts w:eastAsia="Arial Unicode MS" w:cstheme="minorHAnsi"/>
          <w:lang w:val="es-SV"/>
        </w:rPr>
        <w:t xml:space="preserve"> </w:t>
      </w:r>
      <w:r w:rsidR="00147ACE" w:rsidRPr="007D729D">
        <w:rPr>
          <w:rFonts w:eastAsia="Arial Unicode MS" w:cstheme="minorHAnsi"/>
          <w:lang w:val="es-SV"/>
        </w:rPr>
        <w:t xml:space="preserve">que </w:t>
      </w:r>
      <w:r w:rsidR="00C8187C">
        <w:rPr>
          <w:rFonts w:eastAsia="Arial Unicode MS" w:cstheme="minorHAnsi"/>
          <w:lang w:val="es-SV"/>
        </w:rPr>
        <w:t xml:space="preserve">para que </w:t>
      </w:r>
      <w:r w:rsidR="00141B2B" w:rsidRPr="007D729D">
        <w:rPr>
          <w:rFonts w:eastAsia="Arial Unicode MS" w:cstheme="minorHAnsi"/>
          <w:lang w:val="es-SV"/>
        </w:rPr>
        <w:t>“…</w:t>
      </w:r>
      <w:r w:rsidR="00147ACE" w:rsidRPr="007D729D">
        <w:rPr>
          <w:rFonts w:eastAsia="Arial Unicode MS" w:cstheme="minorHAnsi"/>
          <w:i/>
          <w:lang w:val="es-SV"/>
        </w:rPr>
        <w:t>pueda operar la declaratoria de reserva, se necesita la concurrencia de tres requisitos: i) legalidad, ii) razonabilidad y temporalidad</w:t>
      </w:r>
      <w:r w:rsidR="00141B2B" w:rsidRPr="007D729D">
        <w:rPr>
          <w:rFonts w:eastAsia="Arial Unicode MS" w:cstheme="minorHAnsi"/>
          <w:lang w:val="es-SV"/>
        </w:rPr>
        <w:t>…”</w:t>
      </w:r>
      <w:r w:rsidR="00147ACE" w:rsidRPr="007D729D">
        <w:rPr>
          <w:rFonts w:eastAsia="Arial Unicode MS" w:cstheme="minorHAnsi"/>
          <w:lang w:val="es-SV"/>
        </w:rPr>
        <w:t>.</w:t>
      </w:r>
      <w:r w:rsidR="00141B2B" w:rsidRPr="007D729D">
        <w:rPr>
          <w:rFonts w:eastAsia="Arial Unicode MS" w:cstheme="minorHAnsi"/>
          <w:lang w:val="es-SV"/>
        </w:rPr>
        <w:t xml:space="preserve"> </w:t>
      </w:r>
    </w:p>
    <w:p w:rsidR="00026BAC" w:rsidRDefault="00026BAC" w:rsidP="003272E4">
      <w:pPr>
        <w:spacing w:after="0" w:line="360" w:lineRule="auto"/>
        <w:ind w:left="1080"/>
        <w:jc w:val="both"/>
        <w:rPr>
          <w:rFonts w:eastAsia="Arial Unicode MS" w:cstheme="minorHAnsi"/>
        </w:rPr>
      </w:pPr>
    </w:p>
    <w:p w:rsidR="00E538BD" w:rsidRDefault="00147ACE" w:rsidP="003272E4">
      <w:pPr>
        <w:spacing w:after="0" w:line="360" w:lineRule="auto"/>
        <w:ind w:left="1080"/>
        <w:jc w:val="both"/>
        <w:rPr>
          <w:rFonts w:eastAsia="Arial Unicode MS" w:cstheme="minorHAnsi"/>
        </w:rPr>
      </w:pPr>
      <w:r w:rsidRPr="007D729D">
        <w:rPr>
          <w:rFonts w:eastAsia="Arial Unicode MS" w:cstheme="minorHAnsi"/>
        </w:rPr>
        <w:t xml:space="preserve">Las declaratorias de reserva </w:t>
      </w:r>
      <w:r w:rsidR="00026BAC">
        <w:rPr>
          <w:rFonts w:eastAsia="Arial Unicode MS" w:cstheme="minorHAnsi"/>
        </w:rPr>
        <w:t xml:space="preserve">en cuestión </w:t>
      </w:r>
      <w:r w:rsidRPr="007D729D">
        <w:rPr>
          <w:rFonts w:eastAsia="Arial Unicode MS" w:cstheme="minorHAnsi"/>
        </w:rPr>
        <w:t xml:space="preserve">cumplen con el </w:t>
      </w:r>
      <w:r w:rsidR="00AC568B">
        <w:rPr>
          <w:rFonts w:eastAsia="Arial Unicode MS" w:cstheme="minorHAnsi"/>
          <w:b/>
        </w:rPr>
        <w:t>requisito</w:t>
      </w:r>
      <w:r w:rsidRPr="007D729D">
        <w:rPr>
          <w:rFonts w:eastAsia="Arial Unicode MS" w:cstheme="minorHAnsi"/>
          <w:b/>
        </w:rPr>
        <w:t xml:space="preserve"> de l</w:t>
      </w:r>
      <w:r w:rsidR="00F925FB" w:rsidRPr="007D729D">
        <w:rPr>
          <w:rFonts w:eastAsia="Arial Unicode MS" w:cstheme="minorHAnsi"/>
          <w:b/>
        </w:rPr>
        <w:t>egalidad</w:t>
      </w:r>
      <w:r w:rsidR="00F925FB" w:rsidRPr="007D729D">
        <w:rPr>
          <w:rFonts w:eastAsia="Arial Unicode MS" w:cstheme="minorHAnsi"/>
        </w:rPr>
        <w:t xml:space="preserve">, </w:t>
      </w:r>
      <w:r w:rsidR="00026BAC">
        <w:rPr>
          <w:rFonts w:eastAsia="Arial Unicode MS" w:cstheme="minorHAnsi"/>
        </w:rPr>
        <w:t xml:space="preserve">ya que las tres se amparan en lo dispuesto en el art. 19 literales g) y h) LAIP, </w:t>
      </w:r>
      <w:r w:rsidR="00E538BD">
        <w:rPr>
          <w:rFonts w:eastAsia="Arial Unicode MS" w:cstheme="minorHAnsi"/>
        </w:rPr>
        <w:t xml:space="preserve">por existir un proceso judicial en curso. </w:t>
      </w:r>
    </w:p>
    <w:p w:rsidR="00E538BD" w:rsidRDefault="00E538BD" w:rsidP="003272E4">
      <w:pPr>
        <w:spacing w:after="0" w:line="360" w:lineRule="auto"/>
        <w:ind w:left="1080"/>
        <w:jc w:val="both"/>
        <w:rPr>
          <w:rFonts w:eastAsia="Arial Unicode MS" w:cstheme="minorHAnsi"/>
        </w:rPr>
      </w:pPr>
    </w:p>
    <w:p w:rsidR="00AC568B" w:rsidRDefault="00E538BD" w:rsidP="003272E4">
      <w:pPr>
        <w:spacing w:after="0" w:line="360" w:lineRule="auto"/>
        <w:ind w:left="1080"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</w:rPr>
        <w:t xml:space="preserve">Por otra parte, las reservas decretadas también cumplen con el </w:t>
      </w:r>
      <w:r w:rsidR="00AC568B">
        <w:rPr>
          <w:rFonts w:eastAsia="Arial Unicode MS" w:cstheme="minorHAnsi"/>
        </w:rPr>
        <w:t>requisito</w:t>
      </w:r>
      <w:r>
        <w:rPr>
          <w:rFonts w:eastAsia="Arial Unicode MS" w:cstheme="minorHAnsi"/>
        </w:rPr>
        <w:t xml:space="preserve"> de </w:t>
      </w:r>
      <w:r>
        <w:rPr>
          <w:rFonts w:eastAsia="Arial Unicode MS" w:cstheme="minorHAnsi"/>
          <w:b/>
        </w:rPr>
        <w:t xml:space="preserve">razonabilidad, </w:t>
      </w:r>
      <w:r>
        <w:rPr>
          <w:rFonts w:eastAsia="Arial Unicode MS" w:cstheme="minorHAnsi"/>
        </w:rPr>
        <w:t xml:space="preserve">dado que al existir un proceso judicial en curso entre el Fondo Social para la Vivienda y la sociedad DICONSAL, S.A. DE C.V. y, siendo que la esencia del litigio se refiere a la construcción de la obra civil denominada </w:t>
      </w:r>
      <w:r w:rsidRPr="00E538BD">
        <w:rPr>
          <w:rFonts w:eastAsia="Arial Unicode MS" w:cstheme="minorHAnsi"/>
        </w:rPr>
        <w:t>“</w:t>
      </w:r>
      <w:r w:rsidRPr="00E538BD">
        <w:rPr>
          <w:rFonts w:eastAsia="Times New Roman" w:cstheme="minorHAnsi"/>
          <w:bCs/>
          <w:lang w:val="es-SV" w:eastAsia="es-SV"/>
        </w:rPr>
        <w:t>EDIFICIO DE RECURSOS LOGÍSTICOS</w:t>
      </w:r>
      <w:r>
        <w:rPr>
          <w:rFonts w:eastAsia="Times New Roman" w:cstheme="minorHAnsi"/>
          <w:bCs/>
          <w:lang w:val="es-SV" w:eastAsia="es-SV"/>
        </w:rPr>
        <w:t>,</w:t>
      </w:r>
      <w:r w:rsidRPr="00E538BD">
        <w:rPr>
          <w:rFonts w:eastAsia="Times New Roman" w:cstheme="minorHAnsi"/>
          <w:bCs/>
          <w:lang w:val="es-SV" w:eastAsia="es-SV"/>
        </w:rPr>
        <w:t xml:space="preserve"> COMEDOR DE PERSONAL Y ARCHIVO GENERAL DEL FSV</w:t>
      </w:r>
      <w:r>
        <w:rPr>
          <w:rFonts w:eastAsia="Times New Roman" w:cstheme="minorHAnsi"/>
          <w:bCs/>
          <w:lang w:val="es-SV" w:eastAsia="es-SV"/>
        </w:rPr>
        <w:t xml:space="preserve">” (para la cual fue contratada la sociedad DICONSAL), la divulgación de información relacionada a dicha obra podría afectar la resulta del proceso y perjudicar severamente los intereses de esta Institución.  </w:t>
      </w:r>
      <w:r w:rsidRPr="007D729D">
        <w:rPr>
          <w:rFonts w:eastAsia="Arial Unicode MS" w:cstheme="minorHAnsi"/>
          <w:lang w:val="es-SV"/>
        </w:rPr>
        <w:t xml:space="preserve"> </w:t>
      </w:r>
    </w:p>
    <w:p w:rsidR="00AC568B" w:rsidRDefault="00AC568B" w:rsidP="003272E4">
      <w:pPr>
        <w:spacing w:after="0" w:line="360" w:lineRule="auto"/>
        <w:ind w:left="1080"/>
        <w:jc w:val="both"/>
        <w:rPr>
          <w:rFonts w:eastAsia="Arial Unicode MS" w:cstheme="minorHAnsi"/>
          <w:lang w:val="es-SV"/>
        </w:rPr>
      </w:pPr>
    </w:p>
    <w:p w:rsidR="00141B2B" w:rsidRPr="007D729D" w:rsidRDefault="003272E4" w:rsidP="003272E4">
      <w:pPr>
        <w:spacing w:after="0" w:line="360" w:lineRule="auto"/>
        <w:ind w:left="1080"/>
        <w:jc w:val="both"/>
        <w:rPr>
          <w:rFonts w:eastAsia="Arial Unicode MS" w:cstheme="minorHAnsi"/>
          <w:lang w:val="es-SV"/>
        </w:rPr>
      </w:pPr>
      <w:r w:rsidRPr="007D729D">
        <w:rPr>
          <w:rFonts w:eastAsia="Arial Unicode MS" w:cstheme="minorHAnsi"/>
          <w:lang w:val="es-SV"/>
        </w:rPr>
        <w:lastRenderedPageBreak/>
        <w:t>Además</w:t>
      </w:r>
      <w:r w:rsidR="00C70613" w:rsidRPr="007D729D">
        <w:rPr>
          <w:rFonts w:eastAsia="Arial Unicode MS" w:cstheme="minorHAnsi"/>
          <w:lang w:val="es-SV"/>
        </w:rPr>
        <w:t xml:space="preserve">, la vigencia de las mencionadas declaratorias están limitadas </w:t>
      </w:r>
      <w:r w:rsidRPr="007D729D">
        <w:rPr>
          <w:rFonts w:eastAsia="Arial Unicode MS" w:cstheme="minorHAnsi"/>
          <w:lang w:val="es-SV"/>
        </w:rPr>
        <w:t xml:space="preserve">a </w:t>
      </w:r>
      <w:r w:rsidR="00C70613" w:rsidRPr="007D729D">
        <w:rPr>
          <w:rFonts w:eastAsia="Arial Unicode MS" w:cstheme="minorHAnsi"/>
          <w:lang w:val="es-SV"/>
        </w:rPr>
        <w:t xml:space="preserve">tres años, </w:t>
      </w:r>
      <w:r w:rsidR="00AC568B">
        <w:rPr>
          <w:rFonts w:eastAsia="Arial Unicode MS" w:cstheme="minorHAnsi"/>
          <w:lang w:val="es-SV"/>
        </w:rPr>
        <w:t xml:space="preserve">con lo cual </w:t>
      </w:r>
      <w:r w:rsidR="00C70613" w:rsidRPr="007D729D">
        <w:rPr>
          <w:rFonts w:eastAsia="Arial Unicode MS" w:cstheme="minorHAnsi"/>
          <w:lang w:val="es-SV"/>
        </w:rPr>
        <w:t xml:space="preserve">se cumple </w:t>
      </w:r>
      <w:r w:rsidR="00AC568B">
        <w:rPr>
          <w:rFonts w:eastAsia="Arial Unicode MS" w:cstheme="minorHAnsi"/>
          <w:lang w:val="es-SV"/>
        </w:rPr>
        <w:t xml:space="preserve">con </w:t>
      </w:r>
      <w:r w:rsidR="00C70613" w:rsidRPr="007D729D">
        <w:rPr>
          <w:rFonts w:eastAsia="Arial Unicode MS" w:cstheme="minorHAnsi"/>
          <w:lang w:val="es-SV"/>
        </w:rPr>
        <w:t xml:space="preserve">el </w:t>
      </w:r>
      <w:r w:rsidR="00C70613" w:rsidRPr="007D729D">
        <w:rPr>
          <w:rFonts w:eastAsia="Arial Unicode MS" w:cstheme="minorHAnsi"/>
          <w:b/>
          <w:lang w:val="es-SV"/>
        </w:rPr>
        <w:t>requisito de temporalidad</w:t>
      </w:r>
      <w:r w:rsidR="00C70613" w:rsidRPr="007D729D">
        <w:rPr>
          <w:rFonts w:eastAsia="Arial Unicode MS" w:cstheme="minorHAnsi"/>
          <w:lang w:val="es-SV"/>
        </w:rPr>
        <w:t xml:space="preserve"> establecido por el Instituto de Acceso a la Información Pública.  </w:t>
      </w:r>
      <w:r w:rsidR="00E91504" w:rsidRPr="007D729D">
        <w:rPr>
          <w:rFonts w:eastAsia="Arial Unicode MS" w:cstheme="minorHAnsi"/>
          <w:lang w:val="es-SV"/>
        </w:rPr>
        <w:t xml:space="preserve"> </w:t>
      </w:r>
    </w:p>
    <w:p w:rsidR="005E3E3A" w:rsidRDefault="005E3E3A" w:rsidP="003272E4">
      <w:pPr>
        <w:spacing w:after="0" w:line="360" w:lineRule="auto"/>
        <w:rPr>
          <w:rFonts w:eastAsia="Arial Unicode MS" w:cstheme="minorHAnsi"/>
          <w:lang w:val="es-SV"/>
        </w:rPr>
      </w:pPr>
    </w:p>
    <w:p w:rsidR="007D729D" w:rsidRDefault="007D729D" w:rsidP="003272E4">
      <w:pPr>
        <w:spacing w:after="0" w:line="360" w:lineRule="auto"/>
        <w:rPr>
          <w:rFonts w:eastAsia="Arial Unicode MS" w:cstheme="minorHAnsi"/>
          <w:lang w:val="es-SV"/>
        </w:rPr>
      </w:pPr>
    </w:p>
    <w:p w:rsidR="00805BC4" w:rsidRPr="007D729D" w:rsidRDefault="00CE4203" w:rsidP="003272E4">
      <w:pPr>
        <w:spacing w:after="0" w:line="360" w:lineRule="auto"/>
        <w:jc w:val="both"/>
        <w:rPr>
          <w:rFonts w:eastAsia="Arial Unicode MS" w:cstheme="minorHAnsi"/>
          <w:b/>
        </w:rPr>
      </w:pPr>
      <w:r w:rsidRPr="007D729D">
        <w:rPr>
          <w:rFonts w:eastAsia="Arial Unicode MS" w:cstheme="minorHAnsi"/>
          <w:b/>
        </w:rPr>
        <w:t>POR TANTO</w:t>
      </w:r>
      <w:r w:rsidR="00805BC4" w:rsidRPr="007D729D">
        <w:rPr>
          <w:rFonts w:eastAsia="Arial Unicode MS" w:cstheme="minorHAnsi"/>
          <w:b/>
        </w:rPr>
        <w:t xml:space="preserve">: </w:t>
      </w:r>
    </w:p>
    <w:p w:rsidR="00C05655" w:rsidRPr="007D729D" w:rsidRDefault="002C47F1" w:rsidP="003272E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7D729D">
        <w:rPr>
          <w:rFonts w:eastAsia="Arial Unicode MS" w:cstheme="minorHAnsi"/>
          <w:lang w:val="es-SV"/>
        </w:rPr>
        <w:t xml:space="preserve">En virtud de </w:t>
      </w:r>
      <w:r w:rsidR="00C47FC2" w:rsidRPr="007D729D">
        <w:rPr>
          <w:rFonts w:eastAsia="Arial Unicode MS" w:cstheme="minorHAnsi"/>
          <w:lang w:val="es-SV"/>
        </w:rPr>
        <w:t>todo lo antes expuesto</w:t>
      </w:r>
      <w:r w:rsidR="00140174" w:rsidRPr="007D729D">
        <w:rPr>
          <w:rFonts w:eastAsia="Arial Unicode MS" w:cstheme="minorHAnsi"/>
          <w:lang w:val="es-SV"/>
        </w:rPr>
        <w:t xml:space="preserve"> y de conformidad </w:t>
      </w:r>
      <w:r w:rsidR="000A193B" w:rsidRPr="007D729D">
        <w:rPr>
          <w:rFonts w:eastAsia="Arial Unicode MS" w:cstheme="minorHAnsi"/>
          <w:lang w:val="es-SV"/>
        </w:rPr>
        <w:t>a</w:t>
      </w:r>
      <w:r w:rsidR="00140174" w:rsidRPr="007D729D">
        <w:rPr>
          <w:rFonts w:eastAsia="Arial Unicode MS" w:cstheme="minorHAnsi"/>
          <w:lang w:val="es-SV"/>
        </w:rPr>
        <w:t xml:space="preserve"> lo </w:t>
      </w:r>
      <w:r w:rsidR="00C47FC2" w:rsidRPr="007D729D">
        <w:rPr>
          <w:rFonts w:eastAsia="Arial Unicode MS" w:cstheme="minorHAnsi"/>
          <w:lang w:val="es-SV"/>
        </w:rPr>
        <w:t>establecido</w:t>
      </w:r>
      <w:r w:rsidR="00140174" w:rsidRPr="007D729D">
        <w:rPr>
          <w:rFonts w:eastAsia="Arial Unicode MS" w:cstheme="minorHAnsi"/>
          <w:lang w:val="es-SV"/>
        </w:rPr>
        <w:t xml:space="preserve"> en los Arts. </w:t>
      </w:r>
      <w:r w:rsidR="00C8187C">
        <w:rPr>
          <w:rFonts w:eastAsia="Arial Unicode MS" w:cstheme="minorHAnsi"/>
          <w:lang w:val="es-SV"/>
        </w:rPr>
        <w:t xml:space="preserve">6 </w:t>
      </w:r>
      <w:proofErr w:type="spellStart"/>
      <w:r w:rsidR="00C8187C">
        <w:rPr>
          <w:rFonts w:eastAsia="Arial Unicode MS" w:cstheme="minorHAnsi"/>
          <w:lang w:val="es-SV"/>
        </w:rPr>
        <w:t>lit.</w:t>
      </w:r>
      <w:proofErr w:type="spellEnd"/>
      <w:r w:rsidR="00C8187C">
        <w:rPr>
          <w:rFonts w:eastAsia="Arial Unicode MS" w:cstheme="minorHAnsi"/>
          <w:lang w:val="es-SV"/>
        </w:rPr>
        <w:t xml:space="preserve"> e</w:t>
      </w:r>
      <w:r w:rsidR="00A5554A" w:rsidRPr="007D729D">
        <w:rPr>
          <w:rFonts w:eastAsia="Arial Unicode MS" w:cstheme="minorHAnsi"/>
          <w:lang w:val="es-SV"/>
        </w:rPr>
        <w:t xml:space="preserve">), </w:t>
      </w:r>
      <w:r w:rsidR="00C8187C">
        <w:rPr>
          <w:rFonts w:eastAsia="Arial Unicode MS" w:cstheme="minorHAnsi"/>
          <w:lang w:val="es-SV"/>
        </w:rPr>
        <w:t>19, 21, 65, 71,</w:t>
      </w:r>
      <w:r w:rsidR="003272E4" w:rsidRPr="007D729D">
        <w:rPr>
          <w:rFonts w:eastAsia="Arial Unicode MS" w:cstheme="minorHAnsi"/>
          <w:lang w:val="es-SV"/>
        </w:rPr>
        <w:t xml:space="preserve"> 72 </w:t>
      </w:r>
      <w:r w:rsidR="00C8187C">
        <w:rPr>
          <w:rFonts w:eastAsia="Arial Unicode MS" w:cstheme="minorHAnsi"/>
          <w:lang w:val="es-SV"/>
        </w:rPr>
        <w:t xml:space="preserve">y 76 </w:t>
      </w:r>
      <w:proofErr w:type="spellStart"/>
      <w:r w:rsidR="00C8187C">
        <w:rPr>
          <w:rFonts w:eastAsia="Arial Unicode MS" w:cstheme="minorHAnsi"/>
          <w:lang w:val="es-SV"/>
        </w:rPr>
        <w:t>lit.</w:t>
      </w:r>
      <w:proofErr w:type="spellEnd"/>
      <w:r w:rsidR="00C8187C">
        <w:rPr>
          <w:rFonts w:eastAsia="Arial Unicode MS" w:cstheme="minorHAnsi"/>
          <w:lang w:val="es-SV"/>
        </w:rPr>
        <w:t xml:space="preserve"> b) </w:t>
      </w:r>
      <w:r w:rsidR="003272E4" w:rsidRPr="007D729D">
        <w:rPr>
          <w:rFonts w:eastAsia="Arial Unicode MS" w:cstheme="minorHAnsi"/>
          <w:lang w:val="es-SV"/>
        </w:rPr>
        <w:t>LAIP y</w:t>
      </w:r>
      <w:r w:rsidR="00C8187C">
        <w:rPr>
          <w:rFonts w:eastAsia="Arial Unicode MS" w:cstheme="minorHAnsi"/>
          <w:lang w:val="es-SV"/>
        </w:rPr>
        <w:t xml:space="preserve"> 19, 29</w:t>
      </w:r>
      <w:r w:rsidR="00753F33" w:rsidRPr="007D729D">
        <w:rPr>
          <w:rFonts w:eastAsia="Arial Unicode MS" w:cstheme="minorHAnsi"/>
          <w:lang w:val="es-SV"/>
        </w:rPr>
        <w:t xml:space="preserve">, 27,28, </w:t>
      </w:r>
      <w:r w:rsidR="009D2A2C" w:rsidRPr="007D729D">
        <w:rPr>
          <w:rFonts w:eastAsia="Arial Unicode MS" w:cstheme="minorHAnsi"/>
          <w:lang w:val="es-SV"/>
        </w:rPr>
        <w:t xml:space="preserve">44, 46, </w:t>
      </w:r>
      <w:r w:rsidR="00C25E2A" w:rsidRPr="007D729D">
        <w:rPr>
          <w:rFonts w:eastAsia="Arial Unicode MS" w:cstheme="minorHAnsi"/>
          <w:lang w:val="es-SV"/>
        </w:rPr>
        <w:t>54, 55, 56 y 57 RELAIP,</w:t>
      </w:r>
      <w:r w:rsidR="00C05655" w:rsidRPr="007D729D">
        <w:rPr>
          <w:rFonts w:eastAsia="Arial Unicode MS" w:cstheme="minorHAnsi"/>
          <w:lang w:val="es-SV"/>
        </w:rPr>
        <w:t xml:space="preserve"> se </w:t>
      </w:r>
      <w:r w:rsidR="00C05655" w:rsidRPr="007D729D">
        <w:rPr>
          <w:rFonts w:eastAsia="Arial Unicode MS" w:cstheme="minorHAnsi"/>
          <w:b/>
          <w:lang w:val="es-SV"/>
        </w:rPr>
        <w:t xml:space="preserve">RESUELVE: </w:t>
      </w:r>
    </w:p>
    <w:p w:rsidR="000A193B" w:rsidRPr="007D729D" w:rsidRDefault="000A193B" w:rsidP="003272E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:rsidR="00682C20" w:rsidRPr="000F0BBD" w:rsidRDefault="009A18AA" w:rsidP="003272E4">
      <w:pPr>
        <w:pStyle w:val="Prrafodelista"/>
        <w:numPr>
          <w:ilvl w:val="0"/>
          <w:numId w:val="34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7D729D">
        <w:rPr>
          <w:rFonts w:eastAsia="Arial Unicode MS" w:cstheme="minorHAnsi"/>
          <w:noProof/>
          <w:lang w:eastAsia="es-SV"/>
        </w:rPr>
        <w:t xml:space="preserve">Negar el acceso a la información solicitada </w:t>
      </w:r>
      <w:r w:rsidR="00A5554A" w:rsidRPr="007D729D">
        <w:rPr>
          <w:rFonts w:eastAsia="Arial Unicode MS" w:cstheme="minorHAnsi"/>
          <w:lang w:val="es-SV"/>
        </w:rPr>
        <w:t xml:space="preserve">por </w:t>
      </w:r>
      <w:r w:rsidR="003272E4" w:rsidRPr="007D729D">
        <w:rPr>
          <w:rFonts w:eastAsia="Arial Unicode MS" w:cstheme="minorHAnsi"/>
          <w:lang w:val="es-SV"/>
        </w:rPr>
        <w:t>la ciudadana</w:t>
      </w:r>
      <w:r w:rsidR="00F15C8E">
        <w:rPr>
          <w:rFonts w:eastAsia="Arial Unicode MS" w:cstheme="minorHAnsi"/>
          <w:b/>
          <w:lang w:val="es-SV"/>
        </w:rPr>
        <w:t xml:space="preserve"> ____________________________________________</w:t>
      </w:r>
      <w:r w:rsidR="00C47FC2" w:rsidRPr="007D729D">
        <w:rPr>
          <w:rFonts w:eastAsia="Arial Unicode MS" w:cstheme="minorHAnsi"/>
          <w:b/>
          <w:lang w:val="es-SV"/>
        </w:rPr>
        <w:t xml:space="preserve">, </w:t>
      </w:r>
      <w:r w:rsidR="00C47FC2" w:rsidRPr="007D729D">
        <w:rPr>
          <w:rFonts w:eastAsia="Arial Unicode MS" w:cstheme="minorHAnsi"/>
          <w:lang w:val="es-SV"/>
        </w:rPr>
        <w:t xml:space="preserve">por </w:t>
      </w:r>
      <w:r w:rsidR="00A5554A" w:rsidRPr="007D729D">
        <w:rPr>
          <w:rFonts w:eastAsia="Arial Unicode MS" w:cstheme="minorHAnsi"/>
          <w:lang w:val="es-SV"/>
        </w:rPr>
        <w:t>constituir información</w:t>
      </w:r>
      <w:r w:rsidR="003272E4" w:rsidRPr="007D729D">
        <w:rPr>
          <w:rFonts w:eastAsia="Arial Unicode MS" w:cstheme="minorHAnsi"/>
          <w:lang w:val="es-SV"/>
        </w:rPr>
        <w:t xml:space="preserve"> reservada</w:t>
      </w:r>
      <w:r w:rsidR="00A5554A" w:rsidRPr="007D729D">
        <w:rPr>
          <w:rFonts w:eastAsia="Arial Unicode MS" w:cstheme="minorHAnsi"/>
          <w:lang w:val="es-SV"/>
        </w:rPr>
        <w:t>.</w:t>
      </w:r>
    </w:p>
    <w:p w:rsidR="000F0BBD" w:rsidRPr="000F0BBD" w:rsidRDefault="000F0BBD" w:rsidP="000F0BBD">
      <w:pPr>
        <w:pStyle w:val="Prrafodelista"/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</w:p>
    <w:p w:rsidR="000F0BBD" w:rsidRPr="007D729D" w:rsidRDefault="000F0BBD" w:rsidP="003272E4">
      <w:pPr>
        <w:pStyle w:val="Prrafodelista"/>
        <w:numPr>
          <w:ilvl w:val="0"/>
          <w:numId w:val="34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>
        <w:rPr>
          <w:rFonts w:eastAsia="Arial Unicode MS" w:cstheme="minorHAnsi"/>
          <w:lang w:val="es-SV"/>
        </w:rPr>
        <w:t xml:space="preserve">Entréguese a la ciudadana </w:t>
      </w:r>
      <w:r w:rsidR="00F15C8E">
        <w:rPr>
          <w:rFonts w:eastAsia="Arial Unicode MS" w:cstheme="minorHAnsi"/>
          <w:b/>
          <w:lang w:val="es-SV"/>
        </w:rPr>
        <w:t>____________________________________</w:t>
      </w:r>
      <w:r>
        <w:rPr>
          <w:rFonts w:eastAsia="Arial Unicode MS" w:cstheme="minorHAnsi"/>
          <w:lang w:val="es-SV"/>
        </w:rPr>
        <w:t>la presente resolución, junto a los documentos detallados en el romano III).</w:t>
      </w:r>
    </w:p>
    <w:p w:rsidR="00E10D89" w:rsidRPr="007D729D" w:rsidRDefault="00E10D89" w:rsidP="003272E4">
      <w:pPr>
        <w:pStyle w:val="Prrafodelista"/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</w:p>
    <w:p w:rsidR="00C05655" w:rsidRPr="007D729D" w:rsidRDefault="003272E4" w:rsidP="003272E4">
      <w:pPr>
        <w:pStyle w:val="Prrafodelista"/>
        <w:numPr>
          <w:ilvl w:val="0"/>
          <w:numId w:val="34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7D729D">
        <w:rPr>
          <w:rFonts w:eastAsia="Arial Unicode MS" w:cstheme="minorHAnsi"/>
          <w:noProof/>
          <w:lang w:val="es-SV" w:eastAsia="es-SV"/>
        </w:rPr>
        <w:t>La</w:t>
      </w:r>
      <w:r w:rsidR="00A5554A" w:rsidRPr="007D729D">
        <w:rPr>
          <w:rFonts w:eastAsia="Arial Unicode MS" w:cstheme="minorHAnsi"/>
          <w:noProof/>
          <w:lang w:val="es-SV" w:eastAsia="es-SV"/>
        </w:rPr>
        <w:t xml:space="preserve"> </w:t>
      </w:r>
      <w:r w:rsidR="00682C20" w:rsidRPr="007D729D">
        <w:rPr>
          <w:rFonts w:eastAsia="Arial Unicode MS" w:cstheme="minorHAnsi"/>
          <w:noProof/>
          <w:lang w:val="es-SV" w:eastAsia="es-SV"/>
        </w:rPr>
        <w:t xml:space="preserve">requirente podrá interponer </w:t>
      </w:r>
      <w:r w:rsidR="00C47FC2" w:rsidRPr="007D729D">
        <w:rPr>
          <w:rFonts w:eastAsia="Arial Unicode MS" w:cstheme="minorHAnsi"/>
          <w:noProof/>
          <w:lang w:val="es-SV" w:eastAsia="es-SV"/>
        </w:rPr>
        <w:t xml:space="preserve">el </w:t>
      </w:r>
      <w:r w:rsidR="00682C20" w:rsidRPr="007D729D">
        <w:rPr>
          <w:rFonts w:eastAsia="Arial Unicode MS" w:cstheme="minorHAnsi"/>
          <w:noProof/>
          <w:lang w:val="es-SV" w:eastAsia="es-SV"/>
        </w:rPr>
        <w:t xml:space="preserve">Recurso de Apelación </w:t>
      </w:r>
      <w:r w:rsidR="00C47FC2" w:rsidRPr="007D729D">
        <w:rPr>
          <w:rFonts w:eastAsia="Arial Unicode MS" w:cstheme="minorHAnsi"/>
          <w:noProof/>
          <w:lang w:val="es-SV" w:eastAsia="es-SV"/>
        </w:rPr>
        <w:t xml:space="preserve">que corresponde, </w:t>
      </w:r>
      <w:r w:rsidR="00682C20" w:rsidRPr="007D729D">
        <w:rPr>
          <w:rFonts w:eastAsia="Arial Unicode MS" w:cstheme="minorHAnsi"/>
          <w:noProof/>
          <w:lang w:val="es-SV" w:eastAsia="es-SV"/>
        </w:rPr>
        <w:t xml:space="preserve">dentro del plazo de cinco días hábiles </w:t>
      </w:r>
      <w:r w:rsidR="000A193B" w:rsidRPr="007D729D">
        <w:rPr>
          <w:rFonts w:eastAsia="Arial Unicode MS" w:cstheme="minorHAnsi"/>
          <w:noProof/>
          <w:lang w:val="es-SV" w:eastAsia="es-SV"/>
        </w:rPr>
        <w:t>contados a partir de</w:t>
      </w:r>
      <w:r w:rsidR="00682C20" w:rsidRPr="007D729D">
        <w:rPr>
          <w:rFonts w:eastAsia="Arial Unicode MS" w:cstheme="minorHAnsi"/>
          <w:noProof/>
          <w:lang w:val="es-SV" w:eastAsia="es-SV"/>
        </w:rPr>
        <w:t xml:space="preserve"> la notificación de la presente resolución, de conformidad a lo dispuesto en el Art. 82 LAIP. </w:t>
      </w:r>
    </w:p>
    <w:p w:rsidR="00A5554A" w:rsidRPr="007D729D" w:rsidRDefault="00A5554A" w:rsidP="003272E4">
      <w:pPr>
        <w:pStyle w:val="Prrafodelista"/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</w:p>
    <w:p w:rsidR="00FB75FB" w:rsidRPr="007D729D" w:rsidRDefault="00C25E2A" w:rsidP="003272E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proofErr w:type="gramStart"/>
      <w:r w:rsidRPr="007D729D">
        <w:rPr>
          <w:rFonts w:eastAsia="Arial Unicode MS" w:cstheme="minorHAnsi"/>
          <w:b/>
          <w:lang w:val="es-SV"/>
        </w:rPr>
        <w:t>NOTIFÍQUESE.-</w:t>
      </w:r>
      <w:proofErr w:type="gramEnd"/>
    </w:p>
    <w:p w:rsidR="0008566D" w:rsidRPr="007D729D" w:rsidRDefault="0008566D" w:rsidP="00F15C8E">
      <w:pPr>
        <w:pStyle w:val="Prrafodelista"/>
        <w:spacing w:after="0" w:line="360" w:lineRule="auto"/>
        <w:ind w:left="0"/>
        <w:rPr>
          <w:rFonts w:eastAsia="Arial Unicode MS" w:cstheme="minorHAnsi"/>
          <w:lang w:val="es-SV"/>
        </w:rPr>
      </w:pPr>
      <w:bookmarkStart w:id="0" w:name="_GoBack"/>
      <w:bookmarkEnd w:id="0"/>
    </w:p>
    <w:p w:rsidR="00F15C8E" w:rsidRPr="00224D4C" w:rsidRDefault="00F15C8E" w:rsidP="00F15C8E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B8164A" w:rsidRPr="007D729D" w:rsidRDefault="00B8164A" w:rsidP="003272E4">
      <w:pPr>
        <w:pStyle w:val="Firma"/>
        <w:spacing w:line="360" w:lineRule="auto"/>
        <w:ind w:left="0"/>
        <w:contextualSpacing/>
        <w:jc w:val="center"/>
        <w:rPr>
          <w:rFonts w:asciiTheme="minorHAnsi" w:eastAsia="Arial Unicode MS" w:hAnsiTheme="minorHAnsi" w:cstheme="minorHAnsi"/>
          <w:noProof/>
          <w:sz w:val="22"/>
          <w:szCs w:val="22"/>
          <w:lang w:val="es-SV" w:eastAsia="es-SV"/>
        </w:rPr>
      </w:pPr>
    </w:p>
    <w:sectPr w:rsidR="00B8164A" w:rsidRPr="007D729D" w:rsidSect="00D42CD7">
      <w:headerReference w:type="default" r:id="rId8"/>
      <w:footerReference w:type="default" r:id="rId9"/>
      <w:pgSz w:w="12240" w:h="15840"/>
      <w:pgMar w:top="1701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7B5" w:rsidRDefault="005B47B5">
      <w:pPr>
        <w:spacing w:after="0" w:line="240" w:lineRule="auto"/>
      </w:pPr>
      <w:r>
        <w:separator/>
      </w:r>
    </w:p>
  </w:endnote>
  <w:endnote w:type="continuationSeparator" w:id="0">
    <w:p w:rsidR="005B47B5" w:rsidRDefault="005B4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74461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B47B5" w:rsidRDefault="005B47B5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5C8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5C8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B47B5" w:rsidRDefault="005B47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7B5" w:rsidRDefault="005B47B5">
      <w:pPr>
        <w:spacing w:after="0" w:line="240" w:lineRule="auto"/>
      </w:pPr>
      <w:r>
        <w:separator/>
      </w:r>
    </w:p>
  </w:footnote>
  <w:footnote w:type="continuationSeparator" w:id="0">
    <w:p w:rsidR="005B47B5" w:rsidRDefault="005B4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7B5" w:rsidRPr="00926481" w:rsidRDefault="003272E4" w:rsidP="003272E4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7FFD4B" wp14:editId="0624FFA4">
          <wp:extent cx="2010410" cy="822481"/>
          <wp:effectExtent l="0" t="0" r="889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345" cy="82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B47B5" w:rsidRPr="00926481" w:rsidRDefault="005B47B5">
    <w:pPr>
      <w:pStyle w:val="Encabezado"/>
      <w:rPr>
        <w:lang w:val="es-SV"/>
      </w:rPr>
    </w:pPr>
  </w:p>
  <w:p w:rsidR="005B47B5" w:rsidRDefault="005B47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50E7C"/>
    <w:multiLevelType w:val="hybridMultilevel"/>
    <w:tmpl w:val="E1B46E2E"/>
    <w:lvl w:ilvl="0" w:tplc="793455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91A74"/>
    <w:multiLevelType w:val="hybridMultilevel"/>
    <w:tmpl w:val="10E2FFCA"/>
    <w:lvl w:ilvl="0" w:tplc="041C1034">
      <w:start w:val="1"/>
      <w:numFmt w:val="upperRoman"/>
      <w:lvlText w:val="%1)"/>
      <w:lvlJc w:val="left"/>
      <w:pPr>
        <w:ind w:left="1080" w:hanging="72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92951"/>
    <w:multiLevelType w:val="hybridMultilevel"/>
    <w:tmpl w:val="6554DEB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834BD"/>
    <w:multiLevelType w:val="hybridMultilevel"/>
    <w:tmpl w:val="1138E4E2"/>
    <w:lvl w:ilvl="0" w:tplc="4CA2733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73981"/>
    <w:multiLevelType w:val="hybridMultilevel"/>
    <w:tmpl w:val="1138E4E2"/>
    <w:lvl w:ilvl="0" w:tplc="4CA2733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83DBB"/>
    <w:multiLevelType w:val="hybridMultilevel"/>
    <w:tmpl w:val="52482B58"/>
    <w:lvl w:ilvl="0" w:tplc="41AA6F4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002FCA"/>
    <w:multiLevelType w:val="hybridMultilevel"/>
    <w:tmpl w:val="C6EE0D4A"/>
    <w:lvl w:ilvl="0" w:tplc="539E28B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353242"/>
    <w:multiLevelType w:val="hybridMultilevel"/>
    <w:tmpl w:val="D73497AA"/>
    <w:lvl w:ilvl="0" w:tplc="E3C48F7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2751F30"/>
    <w:multiLevelType w:val="hybridMultilevel"/>
    <w:tmpl w:val="CECA9D34"/>
    <w:lvl w:ilvl="0" w:tplc="97202C8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F6C24"/>
    <w:multiLevelType w:val="hybridMultilevel"/>
    <w:tmpl w:val="71B48E8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FE70D97C"/>
    <w:lvl w:ilvl="0" w:tplc="127A459E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A5AD5"/>
    <w:multiLevelType w:val="hybridMultilevel"/>
    <w:tmpl w:val="CD98BF88"/>
    <w:lvl w:ilvl="0" w:tplc="66065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828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FA2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2EC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740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848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0AE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AC0D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7AA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053CD"/>
    <w:multiLevelType w:val="hybridMultilevel"/>
    <w:tmpl w:val="67825796"/>
    <w:lvl w:ilvl="0" w:tplc="83027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086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8C3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C8E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7AC9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B8B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76DB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2E66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FC0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20"/>
  </w:num>
  <w:num w:numId="5">
    <w:abstractNumId w:val="32"/>
  </w:num>
  <w:num w:numId="6">
    <w:abstractNumId w:val="6"/>
  </w:num>
  <w:num w:numId="7">
    <w:abstractNumId w:val="24"/>
  </w:num>
  <w:num w:numId="8">
    <w:abstractNumId w:val="17"/>
  </w:num>
  <w:num w:numId="9">
    <w:abstractNumId w:val="27"/>
  </w:num>
  <w:num w:numId="10">
    <w:abstractNumId w:val="3"/>
  </w:num>
  <w:num w:numId="11">
    <w:abstractNumId w:val="18"/>
  </w:num>
  <w:num w:numId="12">
    <w:abstractNumId w:val="31"/>
  </w:num>
  <w:num w:numId="13">
    <w:abstractNumId w:val="16"/>
  </w:num>
  <w:num w:numId="14">
    <w:abstractNumId w:val="21"/>
  </w:num>
  <w:num w:numId="15">
    <w:abstractNumId w:val="22"/>
  </w:num>
  <w:num w:numId="16">
    <w:abstractNumId w:val="9"/>
  </w:num>
  <w:num w:numId="17">
    <w:abstractNumId w:val="15"/>
  </w:num>
  <w:num w:numId="18">
    <w:abstractNumId w:val="4"/>
  </w:num>
  <w:num w:numId="19">
    <w:abstractNumId w:val="33"/>
  </w:num>
  <w:num w:numId="20">
    <w:abstractNumId w:val="26"/>
  </w:num>
  <w:num w:numId="21">
    <w:abstractNumId w:val="29"/>
  </w:num>
  <w:num w:numId="22">
    <w:abstractNumId w:val="25"/>
  </w:num>
  <w:num w:numId="23">
    <w:abstractNumId w:val="23"/>
  </w:num>
  <w:num w:numId="24">
    <w:abstractNumId w:val="2"/>
  </w:num>
  <w:num w:numId="25">
    <w:abstractNumId w:val="28"/>
  </w:num>
  <w:num w:numId="26">
    <w:abstractNumId w:val="30"/>
  </w:num>
  <w:num w:numId="27">
    <w:abstractNumId w:val="12"/>
  </w:num>
  <w:num w:numId="28">
    <w:abstractNumId w:val="19"/>
  </w:num>
  <w:num w:numId="29">
    <w:abstractNumId w:val="11"/>
  </w:num>
  <w:num w:numId="30">
    <w:abstractNumId w:val="13"/>
  </w:num>
  <w:num w:numId="31">
    <w:abstractNumId w:val="10"/>
  </w:num>
  <w:num w:numId="32">
    <w:abstractNumId w:val="8"/>
  </w:num>
  <w:num w:numId="33">
    <w:abstractNumId w:val="7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383D"/>
    <w:rsid w:val="00026BAC"/>
    <w:rsid w:val="000433CC"/>
    <w:rsid w:val="0004789D"/>
    <w:rsid w:val="000479E3"/>
    <w:rsid w:val="00054D58"/>
    <w:rsid w:val="00071C70"/>
    <w:rsid w:val="00072E34"/>
    <w:rsid w:val="00083220"/>
    <w:rsid w:val="0008566D"/>
    <w:rsid w:val="000879CD"/>
    <w:rsid w:val="00087C8C"/>
    <w:rsid w:val="00092FF2"/>
    <w:rsid w:val="00095A2D"/>
    <w:rsid w:val="000A193B"/>
    <w:rsid w:val="000B6D16"/>
    <w:rsid w:val="000C5ADD"/>
    <w:rsid w:val="000D2F7A"/>
    <w:rsid w:val="000D5039"/>
    <w:rsid w:val="000D679B"/>
    <w:rsid w:val="000F0BBD"/>
    <w:rsid w:val="000F4EC3"/>
    <w:rsid w:val="001101DA"/>
    <w:rsid w:val="00110661"/>
    <w:rsid w:val="00136BB5"/>
    <w:rsid w:val="00140174"/>
    <w:rsid w:val="00141B2B"/>
    <w:rsid w:val="00146706"/>
    <w:rsid w:val="00147ACE"/>
    <w:rsid w:val="00153BB5"/>
    <w:rsid w:val="00156FB8"/>
    <w:rsid w:val="00181DB1"/>
    <w:rsid w:val="00192984"/>
    <w:rsid w:val="001B6333"/>
    <w:rsid w:val="001D38FF"/>
    <w:rsid w:val="001D4562"/>
    <w:rsid w:val="001E6CB2"/>
    <w:rsid w:val="001F58FF"/>
    <w:rsid w:val="002102A3"/>
    <w:rsid w:val="00210D14"/>
    <w:rsid w:val="00212825"/>
    <w:rsid w:val="00213FEE"/>
    <w:rsid w:val="002164D2"/>
    <w:rsid w:val="0022289F"/>
    <w:rsid w:val="002242F4"/>
    <w:rsid w:val="00225FD9"/>
    <w:rsid w:val="00226D98"/>
    <w:rsid w:val="00242EBC"/>
    <w:rsid w:val="0025398A"/>
    <w:rsid w:val="00271EF8"/>
    <w:rsid w:val="002842A1"/>
    <w:rsid w:val="00291428"/>
    <w:rsid w:val="00292076"/>
    <w:rsid w:val="0029232D"/>
    <w:rsid w:val="002B2D65"/>
    <w:rsid w:val="002B523C"/>
    <w:rsid w:val="002C1B9E"/>
    <w:rsid w:val="002C207C"/>
    <w:rsid w:val="002C2E7B"/>
    <w:rsid w:val="002C47F1"/>
    <w:rsid w:val="002D2260"/>
    <w:rsid w:val="002E2E91"/>
    <w:rsid w:val="002E3051"/>
    <w:rsid w:val="002E56AD"/>
    <w:rsid w:val="002F08ED"/>
    <w:rsid w:val="003074E6"/>
    <w:rsid w:val="00326291"/>
    <w:rsid w:val="003272E4"/>
    <w:rsid w:val="00327329"/>
    <w:rsid w:val="00334E2C"/>
    <w:rsid w:val="003360DA"/>
    <w:rsid w:val="003471F7"/>
    <w:rsid w:val="0035638F"/>
    <w:rsid w:val="00383F3D"/>
    <w:rsid w:val="003926C1"/>
    <w:rsid w:val="00396A75"/>
    <w:rsid w:val="003A7E70"/>
    <w:rsid w:val="003C7688"/>
    <w:rsid w:val="003E2DE2"/>
    <w:rsid w:val="003E3675"/>
    <w:rsid w:val="003F217A"/>
    <w:rsid w:val="00406A00"/>
    <w:rsid w:val="004123D5"/>
    <w:rsid w:val="004131DD"/>
    <w:rsid w:val="004136D9"/>
    <w:rsid w:val="00423779"/>
    <w:rsid w:val="0043046F"/>
    <w:rsid w:val="00435108"/>
    <w:rsid w:val="00435C82"/>
    <w:rsid w:val="00443285"/>
    <w:rsid w:val="004644E1"/>
    <w:rsid w:val="004726B9"/>
    <w:rsid w:val="0048371D"/>
    <w:rsid w:val="00486E34"/>
    <w:rsid w:val="0049111F"/>
    <w:rsid w:val="00491AE8"/>
    <w:rsid w:val="004935D5"/>
    <w:rsid w:val="004A2C31"/>
    <w:rsid w:val="004B597B"/>
    <w:rsid w:val="004D5D21"/>
    <w:rsid w:val="004E6A13"/>
    <w:rsid w:val="004E744D"/>
    <w:rsid w:val="004F487D"/>
    <w:rsid w:val="004F6467"/>
    <w:rsid w:val="00505F95"/>
    <w:rsid w:val="00510435"/>
    <w:rsid w:val="00510F80"/>
    <w:rsid w:val="005125F0"/>
    <w:rsid w:val="00524CFD"/>
    <w:rsid w:val="00527CF0"/>
    <w:rsid w:val="00527E81"/>
    <w:rsid w:val="005435BC"/>
    <w:rsid w:val="00546F79"/>
    <w:rsid w:val="005533E1"/>
    <w:rsid w:val="00562C71"/>
    <w:rsid w:val="00570B94"/>
    <w:rsid w:val="005809CA"/>
    <w:rsid w:val="0058161E"/>
    <w:rsid w:val="00595398"/>
    <w:rsid w:val="005972C6"/>
    <w:rsid w:val="005A7753"/>
    <w:rsid w:val="005B47B5"/>
    <w:rsid w:val="005B4E72"/>
    <w:rsid w:val="005B5980"/>
    <w:rsid w:val="005C3208"/>
    <w:rsid w:val="005C4547"/>
    <w:rsid w:val="005C46D0"/>
    <w:rsid w:val="005C4946"/>
    <w:rsid w:val="005C67D7"/>
    <w:rsid w:val="005D0976"/>
    <w:rsid w:val="005E18E0"/>
    <w:rsid w:val="005E3E3A"/>
    <w:rsid w:val="005E587D"/>
    <w:rsid w:val="005F4CC0"/>
    <w:rsid w:val="0060062A"/>
    <w:rsid w:val="00602FC3"/>
    <w:rsid w:val="006057F2"/>
    <w:rsid w:val="00623C95"/>
    <w:rsid w:val="006278A1"/>
    <w:rsid w:val="0063304E"/>
    <w:rsid w:val="00640A1C"/>
    <w:rsid w:val="00641406"/>
    <w:rsid w:val="0064299E"/>
    <w:rsid w:val="00654B24"/>
    <w:rsid w:val="00657ABA"/>
    <w:rsid w:val="00671BDF"/>
    <w:rsid w:val="00682C20"/>
    <w:rsid w:val="00692F7D"/>
    <w:rsid w:val="0069541D"/>
    <w:rsid w:val="006A033A"/>
    <w:rsid w:val="006A78D9"/>
    <w:rsid w:val="006B51FD"/>
    <w:rsid w:val="006D2E33"/>
    <w:rsid w:val="006D4809"/>
    <w:rsid w:val="006D61C8"/>
    <w:rsid w:val="006E28A8"/>
    <w:rsid w:val="006E6821"/>
    <w:rsid w:val="00703306"/>
    <w:rsid w:val="0070503F"/>
    <w:rsid w:val="00712559"/>
    <w:rsid w:val="0071497C"/>
    <w:rsid w:val="00723022"/>
    <w:rsid w:val="00744AC8"/>
    <w:rsid w:val="00744C7E"/>
    <w:rsid w:val="00753F33"/>
    <w:rsid w:val="00762A3C"/>
    <w:rsid w:val="00764631"/>
    <w:rsid w:val="00770FD7"/>
    <w:rsid w:val="007810AD"/>
    <w:rsid w:val="00792094"/>
    <w:rsid w:val="0079379E"/>
    <w:rsid w:val="007A2627"/>
    <w:rsid w:val="007C4A08"/>
    <w:rsid w:val="007D5B77"/>
    <w:rsid w:val="007D729D"/>
    <w:rsid w:val="007F1067"/>
    <w:rsid w:val="007F5E81"/>
    <w:rsid w:val="00801698"/>
    <w:rsid w:val="00805363"/>
    <w:rsid w:val="00805BC4"/>
    <w:rsid w:val="00806D7C"/>
    <w:rsid w:val="008302BE"/>
    <w:rsid w:val="00831108"/>
    <w:rsid w:val="008538B7"/>
    <w:rsid w:val="00862F73"/>
    <w:rsid w:val="0086636D"/>
    <w:rsid w:val="00883AC4"/>
    <w:rsid w:val="00890C82"/>
    <w:rsid w:val="008921E4"/>
    <w:rsid w:val="00893992"/>
    <w:rsid w:val="008A44F5"/>
    <w:rsid w:val="008A50BC"/>
    <w:rsid w:val="008B0E14"/>
    <w:rsid w:val="008B6B8D"/>
    <w:rsid w:val="008C3231"/>
    <w:rsid w:val="008C72B8"/>
    <w:rsid w:val="008D15A4"/>
    <w:rsid w:val="008D2C2B"/>
    <w:rsid w:val="008E5505"/>
    <w:rsid w:val="008F279C"/>
    <w:rsid w:val="00902CE8"/>
    <w:rsid w:val="00903310"/>
    <w:rsid w:val="00903CA5"/>
    <w:rsid w:val="00904F62"/>
    <w:rsid w:val="009145C2"/>
    <w:rsid w:val="00924914"/>
    <w:rsid w:val="0092645B"/>
    <w:rsid w:val="00926481"/>
    <w:rsid w:val="00935C4A"/>
    <w:rsid w:val="009410C3"/>
    <w:rsid w:val="00941A36"/>
    <w:rsid w:val="00943461"/>
    <w:rsid w:val="00957D5B"/>
    <w:rsid w:val="00964AE9"/>
    <w:rsid w:val="00967A2A"/>
    <w:rsid w:val="00970E0B"/>
    <w:rsid w:val="00974B5D"/>
    <w:rsid w:val="00977BA7"/>
    <w:rsid w:val="009918A3"/>
    <w:rsid w:val="00995F62"/>
    <w:rsid w:val="009A18AA"/>
    <w:rsid w:val="009B5308"/>
    <w:rsid w:val="009C580F"/>
    <w:rsid w:val="009D1DBE"/>
    <w:rsid w:val="009D2A2C"/>
    <w:rsid w:val="009D562D"/>
    <w:rsid w:val="009D5D10"/>
    <w:rsid w:val="009F0940"/>
    <w:rsid w:val="009F71EA"/>
    <w:rsid w:val="00A04C7D"/>
    <w:rsid w:val="00A06E5F"/>
    <w:rsid w:val="00A075A3"/>
    <w:rsid w:val="00A113E1"/>
    <w:rsid w:val="00A13D79"/>
    <w:rsid w:val="00A15D00"/>
    <w:rsid w:val="00A41BAA"/>
    <w:rsid w:val="00A5114F"/>
    <w:rsid w:val="00A5554A"/>
    <w:rsid w:val="00A6200C"/>
    <w:rsid w:val="00A930BE"/>
    <w:rsid w:val="00A9535D"/>
    <w:rsid w:val="00A96B45"/>
    <w:rsid w:val="00AB5261"/>
    <w:rsid w:val="00AC568B"/>
    <w:rsid w:val="00AD651F"/>
    <w:rsid w:val="00AF3458"/>
    <w:rsid w:val="00AF6811"/>
    <w:rsid w:val="00AF6821"/>
    <w:rsid w:val="00AF7272"/>
    <w:rsid w:val="00B06882"/>
    <w:rsid w:val="00B136CA"/>
    <w:rsid w:val="00B2411D"/>
    <w:rsid w:val="00B30488"/>
    <w:rsid w:val="00B342FA"/>
    <w:rsid w:val="00B72B84"/>
    <w:rsid w:val="00B76360"/>
    <w:rsid w:val="00B8164A"/>
    <w:rsid w:val="00B9576A"/>
    <w:rsid w:val="00BA14C5"/>
    <w:rsid w:val="00BA47D4"/>
    <w:rsid w:val="00BD54A2"/>
    <w:rsid w:val="00BD72C2"/>
    <w:rsid w:val="00BE760F"/>
    <w:rsid w:val="00BF32F8"/>
    <w:rsid w:val="00BF4DED"/>
    <w:rsid w:val="00BF6FAA"/>
    <w:rsid w:val="00C035E2"/>
    <w:rsid w:val="00C03BEC"/>
    <w:rsid w:val="00C05655"/>
    <w:rsid w:val="00C1512E"/>
    <w:rsid w:val="00C1652E"/>
    <w:rsid w:val="00C25E2A"/>
    <w:rsid w:val="00C27D02"/>
    <w:rsid w:val="00C35465"/>
    <w:rsid w:val="00C46239"/>
    <w:rsid w:val="00C47FC2"/>
    <w:rsid w:val="00C5485C"/>
    <w:rsid w:val="00C56856"/>
    <w:rsid w:val="00C700A1"/>
    <w:rsid w:val="00C70613"/>
    <w:rsid w:val="00C8187C"/>
    <w:rsid w:val="00CA4429"/>
    <w:rsid w:val="00CA5229"/>
    <w:rsid w:val="00CB0F28"/>
    <w:rsid w:val="00CC3A98"/>
    <w:rsid w:val="00CC57A8"/>
    <w:rsid w:val="00CD29DF"/>
    <w:rsid w:val="00CD48D0"/>
    <w:rsid w:val="00CD6249"/>
    <w:rsid w:val="00CE4203"/>
    <w:rsid w:val="00CE4A23"/>
    <w:rsid w:val="00CF42D5"/>
    <w:rsid w:val="00CF45BA"/>
    <w:rsid w:val="00D03EDA"/>
    <w:rsid w:val="00D05A34"/>
    <w:rsid w:val="00D11FF0"/>
    <w:rsid w:val="00D2154C"/>
    <w:rsid w:val="00D306C7"/>
    <w:rsid w:val="00D33C99"/>
    <w:rsid w:val="00D42CD7"/>
    <w:rsid w:val="00D46CDA"/>
    <w:rsid w:val="00D53A7A"/>
    <w:rsid w:val="00D61DC1"/>
    <w:rsid w:val="00D62650"/>
    <w:rsid w:val="00D734C6"/>
    <w:rsid w:val="00D75C26"/>
    <w:rsid w:val="00D76CE8"/>
    <w:rsid w:val="00D817B6"/>
    <w:rsid w:val="00D82347"/>
    <w:rsid w:val="00D84C6A"/>
    <w:rsid w:val="00D94AFA"/>
    <w:rsid w:val="00D95AB2"/>
    <w:rsid w:val="00D95AE6"/>
    <w:rsid w:val="00DA3DA1"/>
    <w:rsid w:val="00DB207A"/>
    <w:rsid w:val="00DB5F92"/>
    <w:rsid w:val="00DC0CC1"/>
    <w:rsid w:val="00DC154C"/>
    <w:rsid w:val="00DC46C9"/>
    <w:rsid w:val="00DE327C"/>
    <w:rsid w:val="00DE4041"/>
    <w:rsid w:val="00DE5FC6"/>
    <w:rsid w:val="00E00BC6"/>
    <w:rsid w:val="00E02950"/>
    <w:rsid w:val="00E10D89"/>
    <w:rsid w:val="00E32129"/>
    <w:rsid w:val="00E32855"/>
    <w:rsid w:val="00E349CE"/>
    <w:rsid w:val="00E35ED1"/>
    <w:rsid w:val="00E538BD"/>
    <w:rsid w:val="00E76C7D"/>
    <w:rsid w:val="00E81A29"/>
    <w:rsid w:val="00E81BDB"/>
    <w:rsid w:val="00E85147"/>
    <w:rsid w:val="00E85629"/>
    <w:rsid w:val="00E87579"/>
    <w:rsid w:val="00E90DE2"/>
    <w:rsid w:val="00E91504"/>
    <w:rsid w:val="00E94225"/>
    <w:rsid w:val="00E96EDA"/>
    <w:rsid w:val="00EA00AB"/>
    <w:rsid w:val="00EA4221"/>
    <w:rsid w:val="00EA4F1F"/>
    <w:rsid w:val="00EA7A40"/>
    <w:rsid w:val="00EB26BD"/>
    <w:rsid w:val="00EB4E62"/>
    <w:rsid w:val="00EB5B38"/>
    <w:rsid w:val="00EB6EEF"/>
    <w:rsid w:val="00EC0D65"/>
    <w:rsid w:val="00EC7DE4"/>
    <w:rsid w:val="00ED24CA"/>
    <w:rsid w:val="00ED519E"/>
    <w:rsid w:val="00EE2B0D"/>
    <w:rsid w:val="00EF5C14"/>
    <w:rsid w:val="00F00D22"/>
    <w:rsid w:val="00F01F86"/>
    <w:rsid w:val="00F05CD6"/>
    <w:rsid w:val="00F15C8E"/>
    <w:rsid w:val="00F57482"/>
    <w:rsid w:val="00F62413"/>
    <w:rsid w:val="00F63822"/>
    <w:rsid w:val="00F756D9"/>
    <w:rsid w:val="00F81E7B"/>
    <w:rsid w:val="00F83D6A"/>
    <w:rsid w:val="00F925FB"/>
    <w:rsid w:val="00FB13D8"/>
    <w:rsid w:val="00FB75FB"/>
    <w:rsid w:val="00FB7FB0"/>
    <w:rsid w:val="00FC3543"/>
    <w:rsid w:val="00FC77F4"/>
    <w:rsid w:val="00FD392A"/>
    <w:rsid w:val="00FD3DB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;"/>
  <w14:docId w14:val="27CA365C"/>
  <w15:docId w15:val="{05615867-20EA-4126-AF3E-B13B06B6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77BA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77BA7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3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85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4F1BF-98FB-4725-990E-97B983CB6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1176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2019-07-30T18:19:00Z</cp:lastPrinted>
  <dcterms:created xsi:type="dcterms:W3CDTF">2019-10-03T21:18:00Z</dcterms:created>
  <dcterms:modified xsi:type="dcterms:W3CDTF">2019-10-03T21:20:00Z</dcterms:modified>
</cp:coreProperties>
</file>