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88" w:rsidRPr="00162115" w:rsidRDefault="005D6E88" w:rsidP="005D6E88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5D6E88" w:rsidRPr="00162115" w:rsidRDefault="005D6E88" w:rsidP="005D6E88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5D6E88" w:rsidRDefault="005D6E8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5D6E88" w:rsidRDefault="005D6E8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10</w:t>
      </w:r>
      <w:r w:rsidR="00BD4136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D4136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5D6E88" w:rsidRPr="00E41006" w:rsidRDefault="005D6E8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D4136">
        <w:rPr>
          <w:rFonts w:ascii="Arial" w:hAnsi="Arial" w:cs="Arial"/>
          <w:sz w:val="22"/>
          <w:szCs w:val="22"/>
        </w:rPr>
        <w:t>siete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0</w:t>
      </w:r>
      <w:r w:rsidR="00BD4136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ERICK MONTOYA,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5D6E88" w:rsidRDefault="005D6E88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F57939">
        <w:rPr>
          <w:rFonts w:ascii="Arial" w:hAnsi="Arial" w:cs="Arial"/>
          <w:sz w:val="22"/>
          <w:szCs w:val="22"/>
        </w:rPr>
        <w:t>101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ED5171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ED5171">
        <w:rPr>
          <w:rFonts w:ascii="Arial" w:eastAsia="Arial" w:hAnsi="Arial" w:cs="Arial"/>
          <w:sz w:val="22"/>
          <w:szCs w:val="22"/>
        </w:rPr>
        <w:t>24</w:t>
      </w:r>
      <w:r w:rsidR="00ED5171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ED5171">
        <w:rPr>
          <w:rFonts w:ascii="Arial" w:eastAsia="Arial" w:hAnsi="Arial" w:cs="Arial"/>
          <w:sz w:val="22"/>
          <w:szCs w:val="22"/>
        </w:rPr>
        <w:t>dito por un monto de $438,643.66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ED5171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8636A5" w:rsidRDefault="008636A5" w:rsidP="008636A5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 w:rsidR="0058081F">
        <w:rPr>
          <w:rFonts w:ascii="Arial" w:eastAsia="Arial" w:hAnsi="Arial" w:cs="Arial"/>
          <w:b/>
          <w:i/>
        </w:rPr>
        <w:t xml:space="preserve">Erick </w:t>
      </w:r>
      <w:bookmarkStart w:id="0" w:name="_GoBack"/>
      <w:bookmarkEnd w:id="0"/>
      <w:r>
        <w:rPr>
          <w:rFonts w:ascii="Arial" w:eastAsia="Arial" w:hAnsi="Arial" w:cs="Arial"/>
          <w:b/>
          <w:i/>
        </w:rPr>
        <w:t xml:space="preserve">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081F"/>
    <w:rsid w:val="00592612"/>
    <w:rsid w:val="005A5759"/>
    <w:rsid w:val="005A6181"/>
    <w:rsid w:val="005D27F1"/>
    <w:rsid w:val="005D3D56"/>
    <w:rsid w:val="005D6E88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636A5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D4136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8847735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7</cp:revision>
  <cp:lastPrinted>2019-07-24T17:59:00Z</cp:lastPrinted>
  <dcterms:created xsi:type="dcterms:W3CDTF">2019-07-08T18:06:00Z</dcterms:created>
  <dcterms:modified xsi:type="dcterms:W3CDTF">2019-07-24T18:04:00Z</dcterms:modified>
</cp:coreProperties>
</file>