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13" w:rsidRDefault="00812413" w:rsidP="00812413">
      <w:pPr>
        <w:jc w:val="center"/>
        <w:rPr>
          <w:b/>
        </w:rPr>
      </w:pPr>
      <w:r>
        <w:rPr>
          <w:b/>
        </w:rPr>
        <w:t>ACTAS CONSEJO DE VIGILANCIA</w:t>
      </w:r>
    </w:p>
    <w:p w:rsidR="00812413" w:rsidRDefault="00812413" w:rsidP="00812413">
      <w:pPr>
        <w:jc w:val="center"/>
        <w:rPr>
          <w:b/>
        </w:rPr>
      </w:pPr>
      <w:r>
        <w:rPr>
          <w:b/>
        </w:rPr>
        <w:t>ABRIL 2019</w:t>
      </w:r>
    </w:p>
    <w:p w:rsidR="00812413" w:rsidRDefault="00812413" w:rsidP="00812413">
      <w:pPr>
        <w:jc w:val="both"/>
        <w:rPr>
          <w:b/>
        </w:rPr>
      </w:pPr>
    </w:p>
    <w:p w:rsidR="00812413" w:rsidRDefault="00812413" w:rsidP="00812413">
      <w:pPr>
        <w:jc w:val="both"/>
      </w:pPr>
      <w:r w:rsidRPr="003025D8">
        <w:rPr>
          <w:b/>
        </w:rPr>
        <w:t>ACTA No. CV</w:t>
      </w:r>
      <w:r>
        <w:rPr>
          <w:b/>
        </w:rPr>
        <w:t>-13</w:t>
      </w:r>
      <w:r w:rsidRPr="003025D8">
        <w:rPr>
          <w:b/>
        </w:rPr>
        <w:t>/20</w:t>
      </w:r>
      <w:r>
        <w:rPr>
          <w:b/>
        </w:rPr>
        <w:t xml:space="preserve">19.  </w:t>
      </w:r>
      <w:r w:rsidRPr="00BF59B3">
        <w:rPr>
          <w:sz w:val="22"/>
        </w:rPr>
        <w:t>E</w:t>
      </w:r>
      <w:r>
        <w:t xml:space="preserve">n la Sala de Sesiones del Consejo de Vigilancia del Fondo Social para la Vivienda; San Salvador, a las diez horas del día jueves 4 de abril del año 2019. Se realizó la reunión de los señores Miembros del Consejo de Vigilancia: Licenciada  </w:t>
      </w:r>
      <w:r w:rsidRPr="00E83049">
        <w:rPr>
          <w:b/>
        </w:rPr>
        <w:t>VERONICA ELIZABETH GIL DE MARTINEZ</w:t>
      </w:r>
      <w:r>
        <w:t xml:space="preserve">, nombrada por el Ministerio de Obras Públicas Transporte, Vivienda y Desarrollo Urbano, Presidente según el artículo treinta  y nueve de la Ley y Reglamento Básico del FSV  y Licenciado </w:t>
      </w:r>
      <w:r w:rsidRPr="006004FD">
        <w:rPr>
          <w:b/>
        </w:rPr>
        <w:t>LUIS MARIO FLORES GUILLEN,</w:t>
      </w:r>
      <w:r w:rsidRPr="00FD28A4">
        <w:rPr>
          <w:b/>
        </w:rPr>
        <w:t xml:space="preserve"> </w:t>
      </w:r>
      <w:r>
        <w:t xml:space="preserve">Secretario; nombrado por el Ministerio de Trabajo y Previsión Social; ambos en representación del </w:t>
      </w:r>
      <w:r>
        <w:rPr>
          <w:b/>
        </w:rPr>
        <w:t>SECTOR PUBLICO</w:t>
      </w:r>
      <w:r>
        <w:t xml:space="preserve">; Ingeniero </w:t>
      </w:r>
      <w:r w:rsidRPr="00A86198">
        <w:rPr>
          <w:b/>
        </w:rPr>
        <w:t>HERBERT DANILO ALVARADO,</w:t>
      </w:r>
      <w:r>
        <w:rPr>
          <w:b/>
        </w:rPr>
        <w:t xml:space="preserve"> </w:t>
      </w:r>
      <w:r>
        <w:t xml:space="preserve">en representación del  </w:t>
      </w:r>
      <w:r>
        <w:rPr>
          <w:b/>
        </w:rPr>
        <w:t>SECTOR  PATRONAL</w:t>
      </w:r>
      <w:r>
        <w:t xml:space="preserve">;  la  señora </w:t>
      </w:r>
      <w:r w:rsidRPr="00CE0AE4">
        <w:rPr>
          <w:b/>
        </w:rPr>
        <w:t>L</w:t>
      </w:r>
      <w:r>
        <w:rPr>
          <w:b/>
        </w:rPr>
        <w:t>Y</w:t>
      </w:r>
      <w:r w:rsidRPr="00CE0AE4">
        <w:rPr>
          <w:b/>
        </w:rPr>
        <w:t xml:space="preserve">Z MILIZEN </w:t>
      </w:r>
      <w:r>
        <w:rPr>
          <w:b/>
        </w:rPr>
        <w:t xml:space="preserve">C. </w:t>
      </w:r>
      <w:r w:rsidRPr="00CE0AE4">
        <w:rPr>
          <w:b/>
        </w:rPr>
        <w:t xml:space="preserve">S. CERNA DE GALLEGOS, </w:t>
      </w:r>
      <w:r>
        <w:t xml:space="preserve">en representación del </w:t>
      </w:r>
      <w:r>
        <w:rPr>
          <w:b/>
        </w:rPr>
        <w:t>SECTOR LABORAL</w:t>
      </w:r>
      <w:r>
        <w:t xml:space="preserve">;   comprobada la asistencia del Consejo la Licenciada Verónica Elizabeth Gil de Martínez, Presidenta; declara  abierta  la sesión y somete a consideración de los demás Miembros la agenda siguiente: </w:t>
      </w:r>
      <w:r>
        <w:rPr>
          <w:b/>
        </w:rPr>
        <w:t>I.</w:t>
      </w:r>
      <w:r>
        <w:t xml:space="preserve">  Aprobación de Agenda.  </w:t>
      </w:r>
      <w:r>
        <w:rPr>
          <w:b/>
        </w:rPr>
        <w:t>II.</w:t>
      </w:r>
      <w:r>
        <w:t xml:space="preserve"> Lectura y Aprobación del acta anterior No. CV-12/2019.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027</w:t>
      </w:r>
      <w:r w:rsidRPr="00366165">
        <w:rPr>
          <w:bCs/>
        </w:rPr>
        <w:t>/</w:t>
      </w:r>
      <w:r>
        <w:rPr>
          <w:bCs/>
        </w:rPr>
        <w:t>2019 d</w:t>
      </w:r>
      <w:r w:rsidRPr="00366165">
        <w:rPr>
          <w:bCs/>
        </w:rPr>
        <w:t xml:space="preserve">el </w:t>
      </w:r>
      <w:r>
        <w:rPr>
          <w:bCs/>
        </w:rPr>
        <w:t>8 de febrero</w:t>
      </w:r>
      <w:r w:rsidRPr="00366165">
        <w:rPr>
          <w:bCs/>
        </w:rPr>
        <w:t xml:space="preserve"> </w:t>
      </w:r>
      <w:r>
        <w:rPr>
          <w:bCs/>
        </w:rPr>
        <w:t>d</w:t>
      </w:r>
      <w:r w:rsidRPr="00366165">
        <w:rPr>
          <w:bCs/>
        </w:rPr>
        <w:t xml:space="preserve">el </w:t>
      </w:r>
      <w:r>
        <w:rPr>
          <w:bCs/>
        </w:rPr>
        <w:t>a</w:t>
      </w:r>
      <w:r w:rsidRPr="00366165">
        <w:rPr>
          <w:bCs/>
        </w:rPr>
        <w:t xml:space="preserve">ño </w:t>
      </w:r>
      <w:r>
        <w:rPr>
          <w:bCs/>
        </w:rPr>
        <w:t>2019</w:t>
      </w:r>
      <w:r w:rsidRPr="00366165">
        <w:rPr>
          <w:bCs/>
        </w:rPr>
        <w:t xml:space="preserve">.  </w:t>
      </w:r>
      <w:r w:rsidRPr="001500CA">
        <w:rPr>
          <w:b/>
          <w:bCs/>
        </w:rPr>
        <w:t>IV.</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028</w:t>
      </w:r>
      <w:r w:rsidRPr="00366165">
        <w:rPr>
          <w:bCs/>
        </w:rPr>
        <w:t>/</w:t>
      </w:r>
      <w:r>
        <w:rPr>
          <w:bCs/>
        </w:rPr>
        <w:t>2019 del</w:t>
      </w:r>
      <w:r w:rsidRPr="00366165">
        <w:rPr>
          <w:bCs/>
        </w:rPr>
        <w:t xml:space="preserve"> </w:t>
      </w:r>
      <w:r>
        <w:rPr>
          <w:bCs/>
        </w:rPr>
        <w:t>11 de febrero</w:t>
      </w:r>
      <w:r w:rsidRPr="00366165">
        <w:rPr>
          <w:bCs/>
        </w:rPr>
        <w:t xml:space="preserve"> </w:t>
      </w:r>
      <w:r>
        <w:rPr>
          <w:bCs/>
        </w:rPr>
        <w:t>d</w:t>
      </w:r>
      <w:r w:rsidRPr="00366165">
        <w:rPr>
          <w:bCs/>
        </w:rPr>
        <w:t xml:space="preserve">el </w:t>
      </w:r>
      <w:r>
        <w:rPr>
          <w:bCs/>
        </w:rPr>
        <w:t>a</w:t>
      </w:r>
      <w:r w:rsidRPr="00366165">
        <w:rPr>
          <w:bCs/>
        </w:rPr>
        <w:t xml:space="preserve">ño </w:t>
      </w:r>
      <w:r>
        <w:rPr>
          <w:bCs/>
        </w:rPr>
        <w:t>2019</w:t>
      </w:r>
      <w:r w:rsidRPr="00366165">
        <w:rPr>
          <w:bCs/>
        </w:rPr>
        <w:t xml:space="preserve">.  </w:t>
      </w:r>
      <w:r w:rsidRPr="003025D8">
        <w:rPr>
          <w:b/>
          <w:bCs/>
        </w:rPr>
        <w:t>V.</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029</w:t>
      </w:r>
      <w:r w:rsidRPr="00366165">
        <w:rPr>
          <w:bCs/>
        </w:rPr>
        <w:t>/</w:t>
      </w:r>
      <w:r>
        <w:rPr>
          <w:bCs/>
        </w:rPr>
        <w:t>2019 d</w:t>
      </w:r>
      <w:r w:rsidRPr="00366165">
        <w:rPr>
          <w:bCs/>
        </w:rPr>
        <w:t xml:space="preserve">el </w:t>
      </w:r>
      <w:r>
        <w:rPr>
          <w:bCs/>
        </w:rPr>
        <w:t>12 de febrero</w:t>
      </w:r>
      <w:r w:rsidRPr="00366165">
        <w:rPr>
          <w:bCs/>
        </w:rPr>
        <w:t xml:space="preserve"> </w:t>
      </w:r>
      <w:r>
        <w:rPr>
          <w:bCs/>
        </w:rPr>
        <w:t>d</w:t>
      </w:r>
      <w:r w:rsidRPr="00366165">
        <w:rPr>
          <w:bCs/>
        </w:rPr>
        <w:t xml:space="preserve">el </w:t>
      </w:r>
      <w:r>
        <w:rPr>
          <w:bCs/>
        </w:rPr>
        <w:t>a</w:t>
      </w:r>
      <w:r w:rsidRPr="00366165">
        <w:rPr>
          <w:bCs/>
        </w:rPr>
        <w:t xml:space="preserve">ño </w:t>
      </w:r>
      <w:r>
        <w:rPr>
          <w:bCs/>
        </w:rPr>
        <w:t>2019</w:t>
      </w:r>
      <w:r w:rsidRPr="00366165">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030/2019 d</w:t>
      </w:r>
      <w:r w:rsidRPr="00366165">
        <w:rPr>
          <w:bCs/>
        </w:rPr>
        <w:t xml:space="preserve">el </w:t>
      </w:r>
      <w:r>
        <w:rPr>
          <w:bCs/>
        </w:rPr>
        <w:t>13 de febrero</w:t>
      </w:r>
      <w:r w:rsidRPr="00366165">
        <w:rPr>
          <w:bCs/>
        </w:rPr>
        <w:t xml:space="preserve"> </w:t>
      </w:r>
      <w:r>
        <w:rPr>
          <w:bCs/>
        </w:rPr>
        <w:t>d</w:t>
      </w:r>
      <w:r w:rsidRPr="00366165">
        <w:rPr>
          <w:bCs/>
        </w:rPr>
        <w:t xml:space="preserve">el </w:t>
      </w:r>
      <w:r>
        <w:rPr>
          <w:bCs/>
        </w:rPr>
        <w:t>a</w:t>
      </w:r>
      <w:r w:rsidRPr="00366165">
        <w:rPr>
          <w:bCs/>
        </w:rPr>
        <w:t xml:space="preserve">ño </w:t>
      </w:r>
      <w:r>
        <w:rPr>
          <w:bCs/>
        </w:rPr>
        <w:t>2019</w:t>
      </w:r>
      <w:r w:rsidRPr="00366165">
        <w:rPr>
          <w:bCs/>
        </w:rPr>
        <w:t xml:space="preserve">. </w:t>
      </w:r>
      <w:r>
        <w:rPr>
          <w:bCs/>
        </w:rPr>
        <w:t xml:space="preserve"> </w:t>
      </w:r>
      <w:r w:rsidRPr="00EB2129">
        <w:rPr>
          <w:b/>
        </w:rPr>
        <w:t>VII.</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JD-031/19 d</w:t>
      </w:r>
      <w:r w:rsidRPr="00366165">
        <w:rPr>
          <w:bCs/>
        </w:rPr>
        <w:t>el</w:t>
      </w:r>
      <w:r>
        <w:rPr>
          <w:bCs/>
        </w:rPr>
        <w:t xml:space="preserve"> 14 de febrero</w:t>
      </w:r>
      <w:r w:rsidRPr="00366165">
        <w:rPr>
          <w:bCs/>
        </w:rPr>
        <w:t xml:space="preserve"> </w:t>
      </w:r>
      <w:r>
        <w:rPr>
          <w:bCs/>
        </w:rPr>
        <w:t>d</w:t>
      </w:r>
      <w:r w:rsidRPr="00366165">
        <w:rPr>
          <w:bCs/>
        </w:rPr>
        <w:t xml:space="preserve">el </w:t>
      </w:r>
      <w:r>
        <w:rPr>
          <w:bCs/>
        </w:rPr>
        <w:t>a</w:t>
      </w:r>
      <w:r w:rsidRPr="00366165">
        <w:rPr>
          <w:bCs/>
        </w:rPr>
        <w:t xml:space="preserve">ño </w:t>
      </w:r>
      <w:r>
        <w:rPr>
          <w:bCs/>
        </w:rPr>
        <w:t>2019</w:t>
      </w:r>
      <w:r w:rsidRPr="00366165">
        <w:rPr>
          <w:bCs/>
        </w:rPr>
        <w:t>.</w:t>
      </w:r>
      <w:r>
        <w:rPr>
          <w:bCs/>
        </w:rPr>
        <w:t xml:space="preserve"> </w:t>
      </w:r>
      <w:r w:rsidRPr="00AB3B75">
        <w:rPr>
          <w:b/>
        </w:rPr>
        <w:t>VIII</w:t>
      </w:r>
      <w:r>
        <w:rPr>
          <w:b/>
        </w:rPr>
        <w:t xml:space="preserve">. </w:t>
      </w:r>
      <w:r w:rsidRPr="009F0E13">
        <w:t xml:space="preserve"> </w:t>
      </w:r>
      <w:r w:rsidRPr="001629F8">
        <w:t xml:space="preserve">Acuerdos de Resolución sobre Información Reservada de </w:t>
      </w:r>
      <w:r>
        <w:t>e</w:t>
      </w:r>
      <w:r w:rsidRPr="001629F8">
        <w:t>sta Sesión</w:t>
      </w:r>
      <w:r w:rsidRPr="00AB3B75">
        <w:rPr>
          <w:b/>
        </w:rPr>
        <w:t>.</w:t>
      </w:r>
      <w:r>
        <w:rPr>
          <w:b/>
        </w:rPr>
        <w:t xml:space="preserve"> </w:t>
      </w:r>
      <w:r w:rsidRPr="006950DC">
        <w:rPr>
          <w:b/>
        </w:rPr>
        <w:t>IX.</w:t>
      </w:r>
      <w:r>
        <w:t xml:space="preserve"> 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CV-12/2019, de fecha 26 de marzo del año 2019, la cual fue aprobada. </w:t>
      </w:r>
      <w:r>
        <w:rPr>
          <w:b/>
        </w:rPr>
        <w:t xml:space="preserve">III.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 xml:space="preserve">027/2019 </w:t>
      </w:r>
      <w:r w:rsidRPr="004A3AF9">
        <w:rPr>
          <w:b/>
          <w:bCs/>
        </w:rPr>
        <w:t xml:space="preserve">DEL </w:t>
      </w:r>
      <w:r>
        <w:rPr>
          <w:b/>
          <w:bCs/>
        </w:rPr>
        <w:t>8 DE</w:t>
      </w:r>
      <w:r w:rsidRPr="004A3AF9">
        <w:rPr>
          <w:b/>
          <w:bCs/>
        </w:rPr>
        <w:t xml:space="preserve"> </w:t>
      </w:r>
      <w:r>
        <w:rPr>
          <w:b/>
          <w:bCs/>
        </w:rPr>
        <w:t>FEBRERO</w:t>
      </w:r>
      <w:r w:rsidRPr="004A3AF9">
        <w:rPr>
          <w:b/>
          <w:bCs/>
        </w:rPr>
        <w:t xml:space="preserve"> DEL AÑO </w:t>
      </w:r>
      <w:r>
        <w:rPr>
          <w:b/>
          <w:bCs/>
        </w:rPr>
        <w:t>2019</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b/>
          <w:color w:val="000000"/>
        </w:rPr>
        <w:t xml:space="preserve"> </w:t>
      </w:r>
      <w:r w:rsidRPr="00C34BD5">
        <w:rPr>
          <w:color w:val="000000"/>
        </w:rPr>
        <w:t>Aprobación de Agenda</w:t>
      </w:r>
      <w:r>
        <w:rPr>
          <w:color w:val="000000"/>
        </w:rPr>
        <w:t xml:space="preserve">; </w:t>
      </w:r>
      <w:r w:rsidRPr="0077010C">
        <w:rPr>
          <w:b/>
          <w:color w:val="000000"/>
        </w:rPr>
        <w:t>II.</w:t>
      </w:r>
      <w:r>
        <w:rPr>
          <w:color w:val="000000"/>
        </w:rPr>
        <w:t xml:space="preserve"> Aprobación y Ratificación de Acta anterior; y   </w:t>
      </w:r>
      <w:r w:rsidRPr="0077010C">
        <w:rPr>
          <w:b/>
          <w:color w:val="000000"/>
        </w:rPr>
        <w:t>III.</w:t>
      </w:r>
      <w:r>
        <w:rPr>
          <w:b/>
          <w:color w:val="000000"/>
        </w:rPr>
        <w:t xml:space="preserve">  </w:t>
      </w:r>
      <w:r w:rsidRPr="00C7574F">
        <w:rPr>
          <w:color w:val="000000"/>
        </w:rPr>
        <w:t>Resolución de Créditos</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relacionada. </w:t>
      </w:r>
      <w:r>
        <w:rPr>
          <w:bCs/>
        </w:rPr>
        <w:t xml:space="preserve"> </w:t>
      </w:r>
      <w:r>
        <w:rPr>
          <w:b/>
          <w:bCs/>
        </w:rPr>
        <w:t xml:space="preserve">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028</w:t>
      </w:r>
      <w:r w:rsidRPr="004A3AF9">
        <w:rPr>
          <w:b/>
          <w:bCs/>
        </w:rPr>
        <w:t>/</w:t>
      </w:r>
      <w:r>
        <w:rPr>
          <w:b/>
          <w:bCs/>
        </w:rPr>
        <w:t xml:space="preserve">2019 </w:t>
      </w:r>
      <w:r w:rsidRPr="004A3AF9">
        <w:rPr>
          <w:b/>
          <w:bCs/>
        </w:rPr>
        <w:t xml:space="preserve">DEL </w:t>
      </w:r>
      <w:r>
        <w:rPr>
          <w:b/>
          <w:bCs/>
        </w:rPr>
        <w:t xml:space="preserve">11 </w:t>
      </w:r>
      <w:r w:rsidRPr="004A3AF9">
        <w:rPr>
          <w:b/>
          <w:bCs/>
        </w:rPr>
        <w:t xml:space="preserve">DE </w:t>
      </w:r>
      <w:r>
        <w:rPr>
          <w:b/>
          <w:bCs/>
        </w:rPr>
        <w:t>FEBRERO</w:t>
      </w:r>
      <w:r w:rsidRPr="004A3AF9">
        <w:rPr>
          <w:b/>
          <w:bCs/>
        </w:rPr>
        <w:t xml:space="preserve"> DEL AÑO </w:t>
      </w:r>
      <w:r>
        <w:rPr>
          <w:b/>
          <w:bCs/>
        </w:rPr>
        <w:t>2019</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029</w:t>
      </w:r>
      <w:r w:rsidRPr="004A3AF9">
        <w:rPr>
          <w:b/>
          <w:bCs/>
        </w:rPr>
        <w:t>/</w:t>
      </w:r>
      <w:r>
        <w:rPr>
          <w:b/>
          <w:bCs/>
        </w:rPr>
        <w:t>2019</w:t>
      </w:r>
      <w:r w:rsidRPr="004A3AF9">
        <w:rPr>
          <w:b/>
          <w:bCs/>
        </w:rPr>
        <w:t xml:space="preserve"> DEL </w:t>
      </w:r>
      <w:r>
        <w:rPr>
          <w:b/>
          <w:bCs/>
        </w:rPr>
        <w:t xml:space="preserve">12 </w:t>
      </w:r>
      <w:r w:rsidRPr="004A3AF9">
        <w:rPr>
          <w:b/>
          <w:bCs/>
        </w:rPr>
        <w:t xml:space="preserve">DE </w:t>
      </w:r>
      <w:r>
        <w:rPr>
          <w:b/>
          <w:bCs/>
        </w:rPr>
        <w:t>FEBRERO</w:t>
      </w:r>
      <w:r w:rsidRPr="004A3AF9">
        <w:rPr>
          <w:b/>
          <w:bCs/>
        </w:rPr>
        <w:t xml:space="preserve"> DEL AÑO</w:t>
      </w:r>
      <w:r>
        <w:rPr>
          <w:b/>
          <w:bCs/>
        </w:rPr>
        <w:t xml:space="preserve"> 2019</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030</w:t>
      </w:r>
      <w:r w:rsidRPr="004A3AF9">
        <w:rPr>
          <w:b/>
          <w:bCs/>
        </w:rPr>
        <w:t>/</w:t>
      </w:r>
      <w:r>
        <w:rPr>
          <w:b/>
          <w:bCs/>
        </w:rPr>
        <w:t>2019</w:t>
      </w:r>
      <w:r w:rsidRPr="004A3AF9">
        <w:rPr>
          <w:b/>
          <w:bCs/>
        </w:rPr>
        <w:t xml:space="preserve"> DEL </w:t>
      </w:r>
      <w:r>
        <w:rPr>
          <w:b/>
          <w:bCs/>
        </w:rPr>
        <w:t xml:space="preserve">13 </w:t>
      </w:r>
      <w:r w:rsidRPr="004A3AF9">
        <w:rPr>
          <w:b/>
          <w:bCs/>
        </w:rPr>
        <w:t xml:space="preserve">DE </w:t>
      </w:r>
      <w:r>
        <w:rPr>
          <w:b/>
          <w:bCs/>
        </w:rPr>
        <w:t>FEBRERO</w:t>
      </w:r>
      <w:r w:rsidRPr="004A3AF9">
        <w:rPr>
          <w:b/>
          <w:bCs/>
        </w:rPr>
        <w:t xml:space="preserve"> DEL AÑO </w:t>
      </w:r>
      <w:r>
        <w:rPr>
          <w:b/>
          <w:bCs/>
        </w:rPr>
        <w:t>2019</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w:t>
      </w:r>
      <w:r>
        <w:rPr>
          <w:color w:val="000000"/>
        </w:rPr>
        <w:lastRenderedPageBreak/>
        <w:t xml:space="preserve">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VII.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031</w:t>
      </w:r>
      <w:r w:rsidRPr="004A3AF9">
        <w:rPr>
          <w:b/>
          <w:bCs/>
        </w:rPr>
        <w:t>/</w:t>
      </w:r>
      <w:r>
        <w:rPr>
          <w:b/>
          <w:bCs/>
        </w:rPr>
        <w:t>2019</w:t>
      </w:r>
      <w:r w:rsidRPr="004A3AF9">
        <w:rPr>
          <w:b/>
          <w:bCs/>
        </w:rPr>
        <w:t xml:space="preserve"> DEL </w:t>
      </w:r>
      <w:r>
        <w:rPr>
          <w:b/>
          <w:bCs/>
        </w:rPr>
        <w:t xml:space="preserve">14 </w:t>
      </w:r>
      <w:r w:rsidRPr="004A3AF9">
        <w:rPr>
          <w:b/>
          <w:bCs/>
        </w:rPr>
        <w:t xml:space="preserve">DE </w:t>
      </w:r>
      <w:r>
        <w:rPr>
          <w:b/>
          <w:bCs/>
        </w:rPr>
        <w:t>FEBRERO</w:t>
      </w:r>
      <w:r w:rsidRPr="004A3AF9">
        <w:rPr>
          <w:b/>
          <w:bCs/>
        </w:rPr>
        <w:t xml:space="preserve"> DEL AÑO</w:t>
      </w:r>
      <w:r>
        <w:rPr>
          <w:b/>
          <w:bCs/>
        </w:rPr>
        <w:t xml:space="preserve"> 2019</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w:t>
      </w:r>
      <w:r w:rsidRPr="0077010C">
        <w:rPr>
          <w:b/>
          <w:color w:val="000000"/>
        </w:rPr>
        <w:t xml:space="preserve"> IV</w:t>
      </w:r>
      <w:r>
        <w:rPr>
          <w:color w:val="000000"/>
        </w:rPr>
        <w:t xml:space="preserve">. Aprobación de préstamos personales; </w:t>
      </w:r>
      <w:r w:rsidRPr="00AE0F09">
        <w:rPr>
          <w:b/>
          <w:color w:val="000000"/>
        </w:rPr>
        <w:t>V.</w:t>
      </w:r>
      <w:r>
        <w:rPr>
          <w:b/>
          <w:color w:val="000000"/>
        </w:rPr>
        <w:t xml:space="preserve"> </w:t>
      </w:r>
      <w:r w:rsidRPr="00EF21E6">
        <w:rPr>
          <w:color w:val="000000"/>
        </w:rPr>
        <w:t>Inducción sobre Ley de Procedimiento a Administrativo LPA</w:t>
      </w:r>
      <w:r>
        <w:rPr>
          <w:b/>
          <w:color w:val="000000"/>
        </w:rPr>
        <w:t>;</w:t>
      </w:r>
      <w:r>
        <w:rPr>
          <w:color w:val="000000"/>
        </w:rPr>
        <w:t xml:space="preserve"> </w:t>
      </w:r>
      <w:r w:rsidRPr="00D70419">
        <w:rPr>
          <w:b/>
          <w:color w:val="000000"/>
        </w:rPr>
        <w:t>VI.</w:t>
      </w:r>
      <w:r>
        <w:rPr>
          <w:b/>
          <w:color w:val="000000"/>
        </w:rPr>
        <w:t xml:space="preserve"> </w:t>
      </w:r>
      <w:r w:rsidRPr="00F62A11">
        <w:rPr>
          <w:color w:val="000000"/>
        </w:rPr>
        <w:t>Informe de Avance en la Ejecución del Plan de Inscripción de documentos en CNR al mes de enero de 2018;</w:t>
      </w:r>
      <w:r>
        <w:rPr>
          <w:b/>
          <w:color w:val="000000"/>
        </w:rPr>
        <w:t xml:space="preserve"> </w:t>
      </w:r>
      <w:r w:rsidRPr="00D70419">
        <w:rPr>
          <w:b/>
          <w:color w:val="000000"/>
        </w:rPr>
        <w:t>VII.</w:t>
      </w:r>
      <w:r>
        <w:rPr>
          <w:b/>
          <w:color w:val="000000"/>
        </w:rPr>
        <w:t xml:space="preserve"> </w:t>
      </w:r>
      <w:r w:rsidRPr="00F07C72">
        <w:rPr>
          <w:color w:val="000000"/>
        </w:rPr>
        <w:t>Lineamientos de Ministerio de Hacienda</w:t>
      </w:r>
      <w:r>
        <w:rPr>
          <w:b/>
          <w:color w:val="000000"/>
        </w:rPr>
        <w:t>;</w:t>
      </w:r>
      <w:r>
        <w:rPr>
          <w:color w:val="000000"/>
        </w:rPr>
        <w:t xml:space="preserve"> </w:t>
      </w:r>
      <w:r w:rsidRPr="00D70419">
        <w:rPr>
          <w:b/>
          <w:color w:val="000000"/>
        </w:rPr>
        <w:t>VIII.</w:t>
      </w:r>
      <w:r>
        <w:rPr>
          <w:b/>
          <w:color w:val="000000"/>
        </w:rPr>
        <w:t xml:space="preserve"> </w:t>
      </w:r>
      <w:r w:rsidRPr="0060224A">
        <w:rPr>
          <w:color w:val="000000"/>
        </w:rPr>
        <w:t xml:space="preserve">Autorización de precios de venta de activos extraordinarios; </w:t>
      </w:r>
      <w:r w:rsidRPr="00D70419">
        <w:rPr>
          <w:b/>
          <w:color w:val="000000"/>
        </w:rPr>
        <w:t>IX.</w:t>
      </w:r>
      <w:r>
        <w:rPr>
          <w:b/>
          <w:color w:val="000000"/>
        </w:rPr>
        <w:t xml:space="preserve"> </w:t>
      </w:r>
      <w:r w:rsidRPr="0060224A">
        <w:rPr>
          <w:color w:val="000000"/>
        </w:rPr>
        <w:t>Aprobación y autorización de ejecución del presupuesto Institucional 2019;</w:t>
      </w:r>
      <w:r w:rsidRPr="00A81C97">
        <w:rPr>
          <w:b/>
          <w:color w:val="000000"/>
        </w:rPr>
        <w:t xml:space="preserve"> </w:t>
      </w:r>
      <w:r w:rsidRPr="00D70419">
        <w:rPr>
          <w:b/>
          <w:color w:val="000000"/>
        </w:rPr>
        <w:t>X.</w:t>
      </w:r>
      <w:r>
        <w:rPr>
          <w:color w:val="000000"/>
        </w:rPr>
        <w:t xml:space="preserve">  Informes del Auditor Externo ejercicio 2018; </w:t>
      </w:r>
      <w:r w:rsidRPr="00D70419">
        <w:rPr>
          <w:b/>
          <w:color w:val="000000"/>
        </w:rPr>
        <w:t>XI.</w:t>
      </w:r>
      <w:r>
        <w:rPr>
          <w:color w:val="000000"/>
        </w:rPr>
        <w:t xml:space="preserve">  Informe de Evaluación Técnica sobre a Gestión Integral de Riesgos, con cifras al 31 de diciembre de 2018; </w:t>
      </w:r>
      <w:r w:rsidRPr="00D70419">
        <w:rPr>
          <w:b/>
          <w:color w:val="000000"/>
        </w:rPr>
        <w:t>XII</w:t>
      </w:r>
      <w:r>
        <w:rPr>
          <w:color w:val="000000"/>
        </w:rPr>
        <w:t xml:space="preserve">. Manual de metodología para la Gestión del Riesgo </w:t>
      </w:r>
      <w:proofErr w:type="spellStart"/>
      <w:r>
        <w:rPr>
          <w:color w:val="000000"/>
        </w:rPr>
        <w:t>reputacional</w:t>
      </w:r>
      <w:proofErr w:type="spellEnd"/>
      <w:r>
        <w:rPr>
          <w:color w:val="000000"/>
        </w:rPr>
        <w:t xml:space="preserve">; </w:t>
      </w:r>
      <w:r w:rsidRPr="006C2232">
        <w:rPr>
          <w:b/>
          <w:color w:val="000000"/>
        </w:rPr>
        <w:t>XIII.</w:t>
      </w:r>
      <w:r>
        <w:rPr>
          <w:color w:val="000000"/>
        </w:rPr>
        <w:t xml:space="preserve"> Informe de Gobierno Corporativo, ejercicio 2018; </w:t>
      </w:r>
      <w:r w:rsidRPr="006C2232">
        <w:rPr>
          <w:b/>
          <w:color w:val="000000"/>
        </w:rPr>
        <w:t>IV.</w:t>
      </w:r>
      <w:r>
        <w:rPr>
          <w:color w:val="000000"/>
        </w:rPr>
        <w:t xml:space="preserve"> Pronunciamiento sobre suficiencia de reservas; </w:t>
      </w:r>
      <w:r w:rsidRPr="006C2232">
        <w:rPr>
          <w:b/>
          <w:color w:val="000000"/>
        </w:rPr>
        <w:t>XV.</w:t>
      </w:r>
      <w:r>
        <w:rPr>
          <w:color w:val="000000"/>
        </w:rPr>
        <w:t xml:space="preserve">   Informe sobre la Situación actual del Inmueble Finca La Bretaña y solicitud de Compra de CNTS; </w:t>
      </w:r>
      <w:r w:rsidRPr="00E0767C">
        <w:rPr>
          <w:b/>
          <w:color w:val="000000"/>
        </w:rPr>
        <w:t>XVI.</w:t>
      </w:r>
      <w:r>
        <w:rPr>
          <w:color w:val="000000"/>
        </w:rPr>
        <w:t xml:space="preserve">  Acuerdo de resolución sobre información reservada de 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y con relación a los puntos siguientes:</w:t>
      </w:r>
      <w:r>
        <w:rPr>
          <w:color w:val="000000"/>
        </w:rPr>
        <w:t xml:space="preserve"> </w:t>
      </w:r>
      <w:r w:rsidRPr="00E527A3">
        <w:rPr>
          <w:b/>
          <w:bCs/>
        </w:rPr>
        <w:t>Punto</w:t>
      </w:r>
      <w:r>
        <w:rPr>
          <w:color w:val="000000"/>
        </w:rPr>
        <w:t xml:space="preserve"> </w:t>
      </w:r>
      <w:r w:rsidRPr="00AE0F09">
        <w:rPr>
          <w:b/>
          <w:color w:val="000000"/>
        </w:rPr>
        <w:t>V.</w:t>
      </w:r>
      <w:r>
        <w:rPr>
          <w:b/>
          <w:color w:val="000000"/>
        </w:rPr>
        <w:t xml:space="preserve"> </w:t>
      </w:r>
      <w:r w:rsidRPr="00EF21E6">
        <w:rPr>
          <w:color w:val="000000"/>
        </w:rPr>
        <w:t>Inducción sobre Ley de Procedimiento a Administrativo LPA</w:t>
      </w:r>
      <w:r>
        <w:rPr>
          <w:color w:val="000000"/>
        </w:rPr>
        <w:t xml:space="preserve">, </w:t>
      </w:r>
      <w:r w:rsidRPr="00BA7FE2">
        <w:rPr>
          <w:b/>
          <w:color w:val="000000"/>
        </w:rPr>
        <w:t>el Consejo</w:t>
      </w:r>
      <w:r>
        <w:rPr>
          <w:b/>
          <w:color w:val="000000"/>
        </w:rPr>
        <w:t xml:space="preserve"> se da por enterado sobre la </w:t>
      </w:r>
      <w:r w:rsidRPr="00072B4F">
        <w:rPr>
          <w:b/>
          <w:color w:val="000000"/>
        </w:rPr>
        <w:t>Inducción sobre Ley de Procedimiento a Administrativo LPA</w:t>
      </w:r>
      <w:r>
        <w:rPr>
          <w:b/>
          <w:color w:val="000000"/>
        </w:rPr>
        <w:t>.</w:t>
      </w:r>
      <w:r>
        <w:rPr>
          <w:color w:val="000000"/>
        </w:rPr>
        <w:t xml:space="preserve"> </w:t>
      </w:r>
      <w:r w:rsidRPr="00E527A3">
        <w:rPr>
          <w:b/>
          <w:bCs/>
        </w:rPr>
        <w:t>Punto</w:t>
      </w:r>
      <w:r>
        <w:rPr>
          <w:bCs/>
        </w:rPr>
        <w:t xml:space="preserve"> </w:t>
      </w:r>
      <w:r w:rsidRPr="00D70419">
        <w:rPr>
          <w:b/>
          <w:color w:val="000000"/>
        </w:rPr>
        <w:t>VI.</w:t>
      </w:r>
      <w:r>
        <w:rPr>
          <w:b/>
          <w:color w:val="000000"/>
        </w:rPr>
        <w:t xml:space="preserve"> </w:t>
      </w:r>
      <w:r w:rsidRPr="00F62A11">
        <w:rPr>
          <w:color w:val="000000"/>
        </w:rPr>
        <w:t>Informe de Avance en la Ejecución del Plan de Inscripción de documentos en CNR al mes de enero de 2018</w:t>
      </w:r>
      <w:r>
        <w:rPr>
          <w:color w:val="000000"/>
        </w:rPr>
        <w:t xml:space="preserve">, </w:t>
      </w:r>
      <w:r w:rsidRPr="00BA7FE2">
        <w:rPr>
          <w:b/>
          <w:color w:val="000000"/>
        </w:rPr>
        <w:t>el Consejo</w:t>
      </w:r>
      <w:r>
        <w:rPr>
          <w:b/>
          <w:color w:val="000000"/>
        </w:rPr>
        <w:t xml:space="preserve"> se da por enterado sobre el </w:t>
      </w:r>
      <w:r w:rsidRPr="00072B4F">
        <w:rPr>
          <w:b/>
          <w:color w:val="000000"/>
        </w:rPr>
        <w:t>Avance en la Ejecución del Plan de Inscripción de documentos en CNR el cual</w:t>
      </w:r>
      <w:r>
        <w:rPr>
          <w:b/>
          <w:color w:val="000000"/>
        </w:rPr>
        <w:t xml:space="preserve"> refleja un porcentaje del 99.17</w:t>
      </w:r>
      <w:r w:rsidRPr="00072B4F">
        <w:rPr>
          <w:b/>
          <w:color w:val="000000"/>
        </w:rPr>
        <w:t>% al mes de enero de 2018</w:t>
      </w:r>
      <w:r>
        <w:rPr>
          <w:b/>
          <w:color w:val="000000"/>
        </w:rPr>
        <w:t xml:space="preserve">.  </w:t>
      </w:r>
      <w:r w:rsidRPr="00E527A3">
        <w:rPr>
          <w:b/>
          <w:bCs/>
        </w:rPr>
        <w:t>Punto</w:t>
      </w:r>
      <w:r>
        <w:rPr>
          <w:bCs/>
        </w:rPr>
        <w:t xml:space="preserve"> </w:t>
      </w:r>
      <w:r w:rsidRPr="00D70419">
        <w:rPr>
          <w:b/>
          <w:color w:val="000000"/>
        </w:rPr>
        <w:t>VII.</w:t>
      </w:r>
      <w:r>
        <w:rPr>
          <w:b/>
          <w:color w:val="000000"/>
        </w:rPr>
        <w:t xml:space="preserve"> </w:t>
      </w:r>
      <w:r w:rsidRPr="00F07C72">
        <w:rPr>
          <w:color w:val="000000"/>
        </w:rPr>
        <w:t>Lineamientos de Ministerio de Hacienda</w:t>
      </w:r>
      <w:r>
        <w:rPr>
          <w:color w:val="000000"/>
        </w:rPr>
        <w:t xml:space="preserve">, </w:t>
      </w:r>
      <w:r w:rsidRPr="00BA7FE2">
        <w:rPr>
          <w:b/>
          <w:color w:val="000000"/>
        </w:rPr>
        <w:t>el Consejo</w:t>
      </w:r>
      <w:r>
        <w:rPr>
          <w:b/>
          <w:color w:val="000000"/>
        </w:rPr>
        <w:t xml:space="preserve"> se da por enterado sobre los </w:t>
      </w:r>
      <w:r w:rsidRPr="00072B4F">
        <w:rPr>
          <w:b/>
          <w:color w:val="000000"/>
        </w:rPr>
        <w:t>Lineamientos de Ministerio de Hacienda.</w:t>
      </w:r>
      <w:r>
        <w:rPr>
          <w:color w:val="000000"/>
        </w:rPr>
        <w:t xml:space="preserve"> </w:t>
      </w:r>
      <w:r w:rsidRPr="00E527A3">
        <w:rPr>
          <w:b/>
          <w:bCs/>
        </w:rPr>
        <w:t>Punto</w:t>
      </w:r>
      <w:r>
        <w:rPr>
          <w:bCs/>
        </w:rPr>
        <w:t xml:space="preserve"> </w:t>
      </w:r>
      <w:r w:rsidRPr="00D70419">
        <w:rPr>
          <w:b/>
          <w:color w:val="000000"/>
        </w:rPr>
        <w:t>VIII.</w:t>
      </w:r>
      <w:r>
        <w:rPr>
          <w:b/>
          <w:color w:val="000000"/>
        </w:rPr>
        <w:t xml:space="preserve"> </w:t>
      </w:r>
      <w:r w:rsidRPr="0060224A">
        <w:rPr>
          <w:color w:val="000000"/>
        </w:rPr>
        <w:t>Autorización de precios de venta de activos extraordinarios</w:t>
      </w:r>
      <w:r>
        <w:rPr>
          <w:color w:val="000000"/>
        </w:rPr>
        <w:t xml:space="preserve">, </w:t>
      </w:r>
      <w:r w:rsidRPr="00BA7FE2">
        <w:rPr>
          <w:b/>
          <w:color w:val="000000"/>
        </w:rPr>
        <w:t>el Consejo</w:t>
      </w:r>
      <w:r>
        <w:rPr>
          <w:b/>
          <w:color w:val="000000"/>
        </w:rPr>
        <w:t xml:space="preserve"> </w:t>
      </w:r>
      <w:r w:rsidRPr="0091377E">
        <w:rPr>
          <w:b/>
          <w:color w:val="000000"/>
        </w:rPr>
        <w:t>toma nota y se incorporará a la matriz de toda la información que se viene preparando, para su próximo análisis</w:t>
      </w:r>
      <w:r>
        <w:rPr>
          <w:b/>
          <w:color w:val="000000"/>
        </w:rPr>
        <w:t>.</w:t>
      </w:r>
      <w:r w:rsidRPr="0060224A">
        <w:rPr>
          <w:color w:val="000000"/>
        </w:rPr>
        <w:t xml:space="preserve"> </w:t>
      </w:r>
      <w:r w:rsidRPr="00E527A3">
        <w:rPr>
          <w:b/>
          <w:bCs/>
        </w:rPr>
        <w:t>Punto</w:t>
      </w:r>
      <w:r>
        <w:rPr>
          <w:bCs/>
        </w:rPr>
        <w:t xml:space="preserve"> </w:t>
      </w:r>
      <w:r w:rsidRPr="00D70419">
        <w:rPr>
          <w:b/>
          <w:color w:val="000000"/>
        </w:rPr>
        <w:t>IX.</w:t>
      </w:r>
      <w:r>
        <w:rPr>
          <w:b/>
          <w:color w:val="000000"/>
        </w:rPr>
        <w:t xml:space="preserve"> </w:t>
      </w:r>
      <w:r w:rsidRPr="0060224A">
        <w:rPr>
          <w:color w:val="000000"/>
        </w:rPr>
        <w:t>Aprobación y autorización de ejecución del presupuesto Institucional 2019</w:t>
      </w:r>
      <w:r>
        <w:rPr>
          <w:color w:val="000000"/>
        </w:rPr>
        <w:t xml:space="preserve">, </w:t>
      </w:r>
      <w:r w:rsidRPr="00BA7FE2">
        <w:rPr>
          <w:b/>
          <w:color w:val="000000"/>
        </w:rPr>
        <w:t>el Consejo</w:t>
      </w:r>
      <w:r>
        <w:rPr>
          <w:b/>
          <w:color w:val="000000"/>
        </w:rPr>
        <w:t xml:space="preserve"> se da por enterado sobre la </w:t>
      </w:r>
      <w:r w:rsidRPr="00072B4F">
        <w:rPr>
          <w:b/>
          <w:color w:val="000000"/>
        </w:rPr>
        <w:t>Aprobación y autorización de ejecución del presupuesto Institucional 2019</w:t>
      </w:r>
      <w:r>
        <w:rPr>
          <w:b/>
          <w:color w:val="000000"/>
        </w:rPr>
        <w:t>.</w:t>
      </w:r>
      <w:r w:rsidRPr="00A81C97">
        <w:rPr>
          <w:b/>
          <w:color w:val="000000"/>
        </w:rPr>
        <w:t xml:space="preserve"> </w:t>
      </w:r>
      <w:r w:rsidRPr="00E527A3">
        <w:rPr>
          <w:b/>
          <w:bCs/>
        </w:rPr>
        <w:t>Punto</w:t>
      </w:r>
      <w:r>
        <w:rPr>
          <w:bCs/>
        </w:rPr>
        <w:t xml:space="preserve"> </w:t>
      </w:r>
      <w:r w:rsidRPr="00D70419">
        <w:rPr>
          <w:b/>
          <w:color w:val="000000"/>
        </w:rPr>
        <w:t>X.</w:t>
      </w:r>
      <w:r>
        <w:rPr>
          <w:color w:val="000000"/>
        </w:rPr>
        <w:t xml:space="preserve">  Informe del Auditor Externo ejercicio 2018, </w:t>
      </w:r>
      <w:r w:rsidRPr="00BA7FE2">
        <w:rPr>
          <w:b/>
          <w:color w:val="000000"/>
        </w:rPr>
        <w:t>el Consejo</w:t>
      </w:r>
      <w:r>
        <w:rPr>
          <w:b/>
          <w:color w:val="000000"/>
        </w:rPr>
        <w:t xml:space="preserve"> se da por enterado sobre el</w:t>
      </w:r>
      <w:r w:rsidRPr="004A56A0">
        <w:rPr>
          <w:b/>
          <w:color w:val="000000"/>
        </w:rPr>
        <w:t xml:space="preserve"> Informe del Auditor Externo ejercicio 2018, el cual presenta en sus resultados lo que se cita textual “…En nuestra opinión, los estados financieros antes mencionados presentan razonablemente, en todos los aspectos importantes, la situación financiera del Fondo Social para la Vivienda al 31 de diciembre de 2018, su Rendimiento Económico, Ejecución Presupuestaria y Flujos de Fondos por el año terminado en esa fecha, de acuerdo con los Principios, Normas y Procedimientos contenidos en Manual Técnico del Sistema de Administración Financiera Integrado, Subsistema de Contabilidad Gubernamental, aplicable a  Instituciones Gubernamentales y aprobado por la Dirección General de Contabilidad Gubernamental, del Ministerio de Hacienda”</w:t>
      </w:r>
      <w:r>
        <w:rPr>
          <w:color w:val="000000"/>
        </w:rPr>
        <w:t xml:space="preserve">. </w:t>
      </w:r>
      <w:r w:rsidRPr="00E527A3">
        <w:rPr>
          <w:b/>
          <w:bCs/>
        </w:rPr>
        <w:t>Punto</w:t>
      </w:r>
      <w:r>
        <w:rPr>
          <w:bCs/>
        </w:rPr>
        <w:t xml:space="preserve"> </w:t>
      </w:r>
      <w:r w:rsidRPr="00D70419">
        <w:rPr>
          <w:b/>
          <w:color w:val="000000"/>
        </w:rPr>
        <w:t>XI.</w:t>
      </w:r>
      <w:r>
        <w:rPr>
          <w:color w:val="000000"/>
        </w:rPr>
        <w:t xml:space="preserve">  Informe de Evaluación Técnica sobre a Gestión Integral de Riesgos, con cifras al 31 de diciembre de 2018, </w:t>
      </w:r>
      <w:r w:rsidRPr="00BA7FE2">
        <w:rPr>
          <w:b/>
          <w:color w:val="000000"/>
        </w:rPr>
        <w:t>el Consejo</w:t>
      </w:r>
      <w:r>
        <w:rPr>
          <w:b/>
          <w:color w:val="000000"/>
        </w:rPr>
        <w:t xml:space="preserve"> se da por enterado del </w:t>
      </w:r>
      <w:r w:rsidRPr="004A56A0">
        <w:rPr>
          <w:b/>
          <w:color w:val="000000"/>
        </w:rPr>
        <w:t>Informe de Evaluación Técnica sobre a Gestión Integral de Riesgos, con cifras al 31 de diciembre de 2018</w:t>
      </w:r>
      <w:r>
        <w:rPr>
          <w:b/>
          <w:color w:val="000000"/>
        </w:rPr>
        <w:t>.</w:t>
      </w:r>
      <w:r>
        <w:rPr>
          <w:color w:val="000000"/>
        </w:rPr>
        <w:t xml:space="preserve"> </w:t>
      </w:r>
      <w:r w:rsidRPr="00E527A3">
        <w:rPr>
          <w:b/>
          <w:bCs/>
        </w:rPr>
        <w:t>Punto</w:t>
      </w:r>
      <w:r>
        <w:rPr>
          <w:bCs/>
        </w:rPr>
        <w:t xml:space="preserve"> </w:t>
      </w:r>
      <w:r w:rsidRPr="00D70419">
        <w:rPr>
          <w:b/>
          <w:color w:val="000000"/>
        </w:rPr>
        <w:t>XII</w:t>
      </w:r>
      <w:r>
        <w:rPr>
          <w:color w:val="000000"/>
        </w:rPr>
        <w:t xml:space="preserve">. Manual de metodología para la Gestión del Riesgo </w:t>
      </w:r>
      <w:proofErr w:type="spellStart"/>
      <w:r>
        <w:rPr>
          <w:color w:val="000000"/>
        </w:rPr>
        <w:t>reputacional</w:t>
      </w:r>
      <w:proofErr w:type="spellEnd"/>
      <w:r>
        <w:rPr>
          <w:color w:val="000000"/>
        </w:rPr>
        <w:t xml:space="preserve">, </w:t>
      </w:r>
      <w:r w:rsidRPr="00BA7FE2">
        <w:rPr>
          <w:b/>
          <w:color w:val="000000"/>
        </w:rPr>
        <w:t>el Consejo</w:t>
      </w:r>
      <w:r>
        <w:rPr>
          <w:b/>
          <w:color w:val="000000"/>
        </w:rPr>
        <w:t xml:space="preserve"> se da por enterado sobre la aprobación del </w:t>
      </w:r>
      <w:r w:rsidRPr="004A56A0">
        <w:rPr>
          <w:b/>
          <w:color w:val="000000"/>
        </w:rPr>
        <w:t xml:space="preserve">Manual de metodología para la Gestión del Riesgo </w:t>
      </w:r>
      <w:proofErr w:type="spellStart"/>
      <w:r w:rsidRPr="004A56A0">
        <w:rPr>
          <w:b/>
          <w:color w:val="000000"/>
        </w:rPr>
        <w:t>reputacional</w:t>
      </w:r>
      <w:proofErr w:type="spellEnd"/>
      <w:r>
        <w:rPr>
          <w:b/>
          <w:color w:val="000000"/>
        </w:rPr>
        <w:t>.</w:t>
      </w:r>
      <w:r>
        <w:rPr>
          <w:color w:val="000000"/>
        </w:rPr>
        <w:t xml:space="preserve">  </w:t>
      </w:r>
      <w:r w:rsidRPr="00E527A3">
        <w:rPr>
          <w:b/>
          <w:bCs/>
        </w:rPr>
        <w:t>Punto</w:t>
      </w:r>
      <w:r>
        <w:rPr>
          <w:bCs/>
        </w:rPr>
        <w:t xml:space="preserve"> </w:t>
      </w:r>
      <w:r w:rsidRPr="006C2232">
        <w:rPr>
          <w:b/>
          <w:color w:val="000000"/>
        </w:rPr>
        <w:t>XIII.</w:t>
      </w:r>
      <w:r>
        <w:rPr>
          <w:color w:val="000000"/>
        </w:rPr>
        <w:t xml:space="preserve"> Informe de Gobierno Corporativo, ejercicio 2018, </w:t>
      </w:r>
      <w:r w:rsidRPr="00BA7FE2">
        <w:rPr>
          <w:b/>
          <w:color w:val="000000"/>
        </w:rPr>
        <w:t>el Consejo</w:t>
      </w:r>
      <w:r>
        <w:rPr>
          <w:b/>
          <w:color w:val="000000"/>
        </w:rPr>
        <w:t xml:space="preserve"> se da por enterado sobre el </w:t>
      </w:r>
      <w:r w:rsidRPr="004A56A0">
        <w:rPr>
          <w:b/>
          <w:color w:val="000000"/>
        </w:rPr>
        <w:t>Informe de Gobierno Corporativo, ejercicio 2018</w:t>
      </w:r>
      <w:r>
        <w:rPr>
          <w:b/>
          <w:color w:val="000000"/>
        </w:rPr>
        <w:t>.</w:t>
      </w:r>
      <w:r>
        <w:rPr>
          <w:color w:val="000000"/>
        </w:rPr>
        <w:t xml:space="preserve"> </w:t>
      </w:r>
      <w:r w:rsidRPr="006C2232">
        <w:rPr>
          <w:b/>
          <w:color w:val="000000"/>
        </w:rPr>
        <w:t>IV.</w:t>
      </w:r>
      <w:r>
        <w:rPr>
          <w:color w:val="000000"/>
        </w:rPr>
        <w:t xml:space="preserve"> </w:t>
      </w:r>
      <w:r>
        <w:rPr>
          <w:color w:val="000000"/>
        </w:rPr>
        <w:lastRenderedPageBreak/>
        <w:t xml:space="preserve">Pronunciamiento sobre suficiencia de reservas, </w:t>
      </w:r>
      <w:r w:rsidRPr="00BA7FE2">
        <w:rPr>
          <w:b/>
          <w:color w:val="000000"/>
        </w:rPr>
        <w:t>e</w:t>
      </w:r>
      <w:r w:rsidRPr="004A56A0">
        <w:rPr>
          <w:b/>
          <w:color w:val="000000"/>
        </w:rPr>
        <w:t>l Consejo se da por enterado sobre el Pronunciamiento sobre suficiencia de reservas</w:t>
      </w:r>
      <w:r>
        <w:rPr>
          <w:b/>
          <w:color w:val="000000"/>
        </w:rPr>
        <w:t>.</w:t>
      </w:r>
      <w:r>
        <w:rPr>
          <w:color w:val="000000"/>
        </w:rPr>
        <w:t xml:space="preserve"> </w:t>
      </w:r>
      <w:r w:rsidRPr="00E527A3">
        <w:rPr>
          <w:b/>
          <w:bCs/>
        </w:rPr>
        <w:t>Punto</w:t>
      </w:r>
      <w:r>
        <w:rPr>
          <w:bCs/>
        </w:rPr>
        <w:t xml:space="preserve"> </w:t>
      </w:r>
      <w:r w:rsidRPr="006C2232">
        <w:rPr>
          <w:b/>
          <w:color w:val="000000"/>
        </w:rPr>
        <w:t>XV.</w:t>
      </w:r>
      <w:r>
        <w:rPr>
          <w:color w:val="000000"/>
        </w:rPr>
        <w:t xml:space="preserve"> Informe sobre la Situación actual del Inmueble Finca La Bretaña y solicitud de Compra de CNTS, </w:t>
      </w:r>
      <w:r w:rsidRPr="00BA7FE2">
        <w:rPr>
          <w:b/>
          <w:color w:val="000000"/>
        </w:rPr>
        <w:t>el Consejo</w:t>
      </w:r>
      <w:r>
        <w:rPr>
          <w:b/>
          <w:color w:val="000000"/>
        </w:rPr>
        <w:t xml:space="preserve"> se da por enterado sobre el </w:t>
      </w:r>
      <w:r w:rsidRPr="004A56A0">
        <w:rPr>
          <w:b/>
          <w:color w:val="000000"/>
        </w:rPr>
        <w:t>Informe sobre la Situación actual del Inmueble Finca La Bretaña y solicitud de Compra de CNTS</w:t>
      </w:r>
      <w:r>
        <w:rPr>
          <w:b/>
          <w:color w:val="000000"/>
        </w:rPr>
        <w:t xml:space="preserve">. </w:t>
      </w:r>
      <w:r>
        <w:rPr>
          <w:b/>
          <w:bCs/>
        </w:rPr>
        <w:t xml:space="preserve">VIII. </w:t>
      </w:r>
      <w:r w:rsidRPr="00A93C9D">
        <w:rPr>
          <w:b/>
          <w:color w:val="000000"/>
        </w:rPr>
        <w:t>ACUERDO DE RESOLUCIÓN SOBRE INFORMACIÓN RESERVADA DE ESTA SESIÓN,</w:t>
      </w:r>
      <w:r>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914E31">
        <w:rPr>
          <w:b/>
          <w:bCs/>
        </w:rPr>
        <w:t>Actas no hay puntos con declaratoria de reserva</w:t>
      </w:r>
      <w:r w:rsidRPr="00BC77DD">
        <w:rPr>
          <w:color w:val="000000"/>
        </w:rPr>
        <w:t>.</w:t>
      </w:r>
      <w:r>
        <w:rPr>
          <w:color w:val="000000"/>
        </w:rPr>
        <w:t xml:space="preserve"> </w:t>
      </w:r>
      <w:r>
        <w:rPr>
          <w:b/>
          <w:bCs/>
        </w:rPr>
        <w:t xml:space="preserve">IX. </w:t>
      </w:r>
      <w:r>
        <w:rPr>
          <w:b/>
        </w:rPr>
        <w:t>VARIOS</w:t>
      </w:r>
      <w:r>
        <w:t>. En este punto el Consejo no hubo nada que tratar.  La Presidenta del Consejo convoca para la próxima reunión el día martes 9 de abril del año 2019, a la misma hora y lugar. Y no habiendo más que hacer constar, se da por finalizada la reunión a las catorce horas, ratificamos su contenido y   firmamos.</w:t>
      </w:r>
    </w:p>
    <w:p w:rsidR="00812413" w:rsidRDefault="00812413" w:rsidP="00812413">
      <w:pPr>
        <w:jc w:val="both"/>
        <w:rPr>
          <w:sz w:val="22"/>
          <w:lang w:val="pt-BR"/>
        </w:rPr>
      </w:pPr>
    </w:p>
    <w:p w:rsidR="00812413" w:rsidRDefault="00812413" w:rsidP="00812413">
      <w:pPr>
        <w:jc w:val="both"/>
        <w:rPr>
          <w:sz w:val="22"/>
          <w:lang w:val="pt-BR"/>
        </w:rPr>
      </w:pPr>
    </w:p>
    <w:p w:rsidR="00952204" w:rsidRPr="00952204" w:rsidRDefault="00952204" w:rsidP="00952204">
      <w:pPr>
        <w:spacing w:line="360" w:lineRule="auto"/>
        <w:jc w:val="both"/>
        <w:rPr>
          <w:i/>
        </w:rPr>
      </w:pPr>
      <w:r w:rsidRPr="00952204">
        <w:rPr>
          <w:rFonts w:ascii="Arial" w:hAnsi="Arial" w:cs="Arial"/>
          <w:b/>
          <w:i/>
          <w:sz w:val="20"/>
          <w:lang w:val="es-SV"/>
        </w:rPr>
        <w:t xml:space="preserve">La presente acta es conforme con su original, la cual se encuentra firmada por los señores miembros del Consejo de Vigilancia: Licda. Verónica Elizabeth Gil de Martínez, </w:t>
      </w:r>
      <w:r w:rsidR="002C792D">
        <w:rPr>
          <w:rFonts w:ascii="Arial" w:hAnsi="Arial" w:cs="Arial"/>
          <w:b/>
          <w:i/>
          <w:sz w:val="20"/>
          <w:lang w:val="es-SV"/>
        </w:rPr>
        <w:t xml:space="preserve">Lic. Luis Mario Flores Guillen, </w:t>
      </w:r>
      <w:r w:rsidRPr="00952204">
        <w:rPr>
          <w:rFonts w:ascii="Arial" w:hAnsi="Arial" w:cs="Arial"/>
          <w:b/>
          <w:i/>
          <w:sz w:val="20"/>
          <w:lang w:val="es-SV"/>
        </w:rPr>
        <w:t xml:space="preserve">Ing. Herbert Danilo Alvarado y la Señora Lyz </w:t>
      </w:r>
      <w:bookmarkStart w:id="0" w:name="_GoBack"/>
      <w:bookmarkEnd w:id="0"/>
      <w:r w:rsidRPr="00952204">
        <w:rPr>
          <w:rFonts w:ascii="Arial" w:hAnsi="Arial" w:cs="Arial"/>
          <w:b/>
          <w:i/>
          <w:sz w:val="20"/>
          <w:lang w:val="es-SV"/>
        </w:rPr>
        <w:t xml:space="preserve">Milizen C. S. Cerna de </w:t>
      </w:r>
      <w:proofErr w:type="gramStart"/>
      <w:r w:rsidRPr="00952204">
        <w:rPr>
          <w:rFonts w:ascii="Arial" w:hAnsi="Arial" w:cs="Arial"/>
          <w:b/>
          <w:i/>
          <w:sz w:val="20"/>
          <w:lang w:val="es-SV"/>
        </w:rPr>
        <w:t>Gallegos</w:t>
      </w:r>
      <w:proofErr w:type="gramEnd"/>
      <w:r w:rsidRPr="00952204">
        <w:rPr>
          <w:rFonts w:ascii="Arial" w:hAnsi="Arial" w:cs="Arial"/>
          <w:b/>
          <w:i/>
          <w:sz w:val="20"/>
          <w:lang w:val="es-SV"/>
        </w:rPr>
        <w:t>.</w:t>
      </w:r>
    </w:p>
    <w:p w:rsidR="00AD2F86" w:rsidRDefault="002C792D"/>
    <w:sectPr w:rsidR="00AD2F8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204" w:rsidRDefault="00952204" w:rsidP="00952204">
      <w:r>
        <w:separator/>
      </w:r>
    </w:p>
  </w:endnote>
  <w:endnote w:type="continuationSeparator" w:id="0">
    <w:p w:rsidR="00952204" w:rsidRDefault="00952204" w:rsidP="0095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204" w:rsidRDefault="00952204" w:rsidP="00952204">
      <w:r>
        <w:separator/>
      </w:r>
    </w:p>
  </w:footnote>
  <w:footnote w:type="continuationSeparator" w:id="0">
    <w:p w:rsidR="00952204" w:rsidRDefault="00952204" w:rsidP="009522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204" w:rsidRPr="00A13633" w:rsidRDefault="00952204" w:rsidP="00952204">
    <w:pPr>
      <w:rPr>
        <w:rFonts w:ascii="Arial" w:hAnsi="Arial" w:cs="Arial"/>
        <w:b/>
        <w:color w:val="FF0000"/>
        <w:sz w:val="22"/>
        <w:szCs w:val="20"/>
      </w:rPr>
    </w:pPr>
    <w:r w:rsidRPr="00A13633">
      <w:rPr>
        <w:rFonts w:ascii="Arial" w:hAnsi="Arial" w:cs="Arial"/>
        <w:b/>
        <w:color w:val="FF0000"/>
        <w:sz w:val="22"/>
        <w:szCs w:val="20"/>
      </w:rPr>
      <w:t>DOCUMENTO ELABORADO EN VERSIÓN PÚBLICA ART. 30 LAIP.</w:t>
    </w:r>
  </w:p>
  <w:p w:rsidR="00952204" w:rsidRPr="00A13633" w:rsidRDefault="00952204" w:rsidP="00952204">
    <w:pPr>
      <w:rPr>
        <w:rFonts w:ascii="Arial" w:hAnsi="Arial" w:cs="Arial"/>
        <w:b/>
        <w:color w:val="FF0000"/>
        <w:sz w:val="22"/>
        <w:szCs w:val="20"/>
      </w:rPr>
    </w:pPr>
    <w:r w:rsidRPr="00A13633">
      <w:rPr>
        <w:rFonts w:ascii="Arial" w:hAnsi="Arial" w:cs="Arial"/>
        <w:b/>
        <w:color w:val="FF0000"/>
        <w:sz w:val="22"/>
        <w:szCs w:val="20"/>
      </w:rPr>
      <w:t>SUPRESIÓN DE FIRMAS Y SELLOS.</w:t>
    </w:r>
  </w:p>
  <w:p w:rsidR="00952204" w:rsidRDefault="0095220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13"/>
    <w:rsid w:val="002C792D"/>
    <w:rsid w:val="004677A7"/>
    <w:rsid w:val="00812413"/>
    <w:rsid w:val="00952204"/>
    <w:rsid w:val="00D325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D51D"/>
  <w15:chartTrackingRefBased/>
  <w15:docId w15:val="{1977C784-31C0-4965-87DF-11046FCA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41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2204"/>
    <w:pPr>
      <w:tabs>
        <w:tab w:val="center" w:pos="4419"/>
        <w:tab w:val="right" w:pos="8838"/>
      </w:tabs>
    </w:pPr>
  </w:style>
  <w:style w:type="character" w:customStyle="1" w:styleId="EncabezadoCar">
    <w:name w:val="Encabezado Car"/>
    <w:basedOn w:val="Fuentedeprrafopredeter"/>
    <w:link w:val="Encabezado"/>
    <w:uiPriority w:val="99"/>
    <w:rsid w:val="0095220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52204"/>
    <w:pPr>
      <w:tabs>
        <w:tab w:val="center" w:pos="4419"/>
        <w:tab w:val="right" w:pos="8838"/>
      </w:tabs>
    </w:pPr>
  </w:style>
  <w:style w:type="character" w:customStyle="1" w:styleId="PiedepginaCar">
    <w:name w:val="Pie de página Car"/>
    <w:basedOn w:val="Fuentedeprrafopredeter"/>
    <w:link w:val="Piedepgina"/>
    <w:uiPriority w:val="99"/>
    <w:rsid w:val="0095220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1344</Words>
  <Characters>7393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Sussethy Yasmin Gamez Leon</cp:lastModifiedBy>
  <cp:revision>2</cp:revision>
  <dcterms:created xsi:type="dcterms:W3CDTF">2019-05-16T21:36:00Z</dcterms:created>
  <dcterms:modified xsi:type="dcterms:W3CDTF">2019-05-16T22:12:00Z</dcterms:modified>
</cp:coreProperties>
</file>