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A4A" w:rsidRDefault="004C0A4A" w:rsidP="004C0A4A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-26</w:t>
      </w:r>
      <w:r w:rsidRPr="003025D8">
        <w:rPr>
          <w:b/>
        </w:rPr>
        <w:t>/20</w:t>
      </w:r>
      <w:r>
        <w:rPr>
          <w:b/>
        </w:rPr>
        <w:t xml:space="preserve">18.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diez horas del día martes 17 de julio del año 2018.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  de Agenda.  </w:t>
      </w:r>
      <w:r>
        <w:rPr>
          <w:b/>
        </w:rPr>
        <w:t>II.</w:t>
      </w:r>
      <w:r>
        <w:t xml:space="preserve"> Lectura y Aprobación del acta anterior No. CV-25/2018.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103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8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104</w:t>
      </w:r>
      <w:r w:rsidRPr="00366165">
        <w:rPr>
          <w:bCs/>
        </w:rPr>
        <w:t>/</w:t>
      </w:r>
      <w:r>
        <w:rPr>
          <w:bCs/>
        </w:rPr>
        <w:t>2018 del</w:t>
      </w:r>
      <w:r w:rsidRPr="00366165">
        <w:rPr>
          <w:bCs/>
        </w:rPr>
        <w:t xml:space="preserve"> </w:t>
      </w:r>
      <w:r>
        <w:rPr>
          <w:bCs/>
        </w:rPr>
        <w:t>11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105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12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106/2018 d</w:t>
      </w:r>
      <w:r w:rsidRPr="00366165">
        <w:rPr>
          <w:bCs/>
        </w:rPr>
        <w:t xml:space="preserve">el </w:t>
      </w:r>
      <w:r>
        <w:rPr>
          <w:bCs/>
        </w:rPr>
        <w:t>13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107/2018 d</w:t>
      </w:r>
      <w:r w:rsidRPr="00366165">
        <w:rPr>
          <w:bCs/>
        </w:rPr>
        <w:t xml:space="preserve">el </w:t>
      </w:r>
      <w:r>
        <w:rPr>
          <w:bCs/>
        </w:rPr>
        <w:t>14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F0E13"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6950DC">
        <w:rPr>
          <w:b/>
        </w:rPr>
        <w:t>IX.</w:t>
      </w:r>
      <w:r>
        <w:t xml:space="preserve"> 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  DEL ACTA ANTERIOR.</w:t>
      </w:r>
      <w:r>
        <w:t xml:space="preserve">  Se dio lectura al Acta CV-25/2018, de fecha 10 de junio del año 2018,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103/2018 </w:t>
      </w:r>
      <w:r w:rsidRPr="004A3AF9">
        <w:rPr>
          <w:b/>
          <w:bCs/>
        </w:rPr>
        <w:t xml:space="preserve">DEL </w:t>
      </w:r>
      <w:r>
        <w:rPr>
          <w:b/>
          <w:bCs/>
        </w:rPr>
        <w:t>8 DE</w:t>
      </w:r>
      <w:r w:rsidRPr="004A3AF9">
        <w:rPr>
          <w:b/>
          <w:bCs/>
        </w:rPr>
        <w:t xml:space="preserve">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104</w:t>
      </w:r>
      <w:r w:rsidRPr="004A3AF9">
        <w:rPr>
          <w:b/>
          <w:bCs/>
        </w:rPr>
        <w:t>/</w:t>
      </w:r>
      <w:r>
        <w:rPr>
          <w:b/>
          <w:bCs/>
        </w:rPr>
        <w:t xml:space="preserve">2018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11 </w:t>
      </w:r>
      <w:r w:rsidRPr="004A3AF9">
        <w:rPr>
          <w:b/>
          <w:bCs/>
        </w:rPr>
        <w:t xml:space="preserve">DE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</w:t>
      </w:r>
      <w:r>
        <w:rPr>
          <w:color w:val="000000"/>
        </w:rPr>
        <w:lastRenderedPageBreak/>
        <w:t xml:space="preserve">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105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12 </w:t>
      </w:r>
      <w:r w:rsidRPr="004A3AF9">
        <w:rPr>
          <w:b/>
          <w:bCs/>
        </w:rPr>
        <w:t xml:space="preserve">DE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105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12 </w:t>
      </w:r>
      <w:r w:rsidRPr="004A3AF9">
        <w:rPr>
          <w:b/>
          <w:bCs/>
        </w:rPr>
        <w:t xml:space="preserve">DE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106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13 </w:t>
      </w:r>
      <w:r w:rsidRPr="004A3AF9">
        <w:rPr>
          <w:b/>
          <w:bCs/>
        </w:rPr>
        <w:t xml:space="preserve">DE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de Acta</w:t>
      </w:r>
      <w:r>
        <w:rPr>
          <w:color w:val="000000"/>
        </w:rPr>
        <w:t xml:space="preserve"> anterior</w:t>
      </w:r>
      <w:proofErr w:type="gramStart"/>
      <w:r w:rsidRPr="000D1719">
        <w:rPr>
          <w:color w:val="000000"/>
        </w:rPr>
        <w:t>;</w:t>
      </w:r>
      <w:r>
        <w:rPr>
          <w:color w:val="000000"/>
        </w:rPr>
        <w:t xml:space="preserve">  </w:t>
      </w:r>
      <w:r w:rsidRPr="0077010C">
        <w:rPr>
          <w:b/>
          <w:color w:val="000000"/>
        </w:rPr>
        <w:t>III.</w:t>
      </w:r>
      <w:proofErr w:type="gramEnd"/>
      <w:r>
        <w:rPr>
          <w:b/>
          <w:color w:val="000000"/>
        </w:rPr>
        <w:t xml:space="preserve">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Aprobación de préstamos personales;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Autorización de precios de venta para activos extraordinarios;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</w:t>
      </w:r>
      <w:r w:rsidRPr="007700F3">
        <w:rPr>
          <w:color w:val="000000"/>
        </w:rPr>
        <w:t>Informe de Avance en la ejecución del Plan de Inscripción de documentos en CNR al mes de mayo de 2018;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7700F3">
        <w:rPr>
          <w:color w:val="000000"/>
        </w:rPr>
        <w:t>Propuesta de reforma de art.223 de la Ley SAP;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FB472F">
        <w:rPr>
          <w:color w:val="000000"/>
        </w:rPr>
        <w:t xml:space="preserve">Informe de Gestión de la Cartera Hipotecaria e Informe Cartera Hipotecaria de FONAVIPO;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567288">
        <w:rPr>
          <w:color w:val="000000"/>
        </w:rPr>
        <w:t>Propuesta de Actualización de la Política Crediticia;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Propuesta de Nuevo Programa de Crédito “Casa Mujer”;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Solicitud de Modificación de Normativa para Pago Directo de cuotas de préstamos para el Sector Formal;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Solicitud de Gobernador de incluir en el financiamiento de vivienda nueva el impuesto sobre la transferencia de bienes raíces; </w:t>
      </w:r>
      <w:r w:rsidRPr="003D790A">
        <w:rPr>
          <w:b/>
          <w:color w:val="000000"/>
        </w:rPr>
        <w:t>XIII.</w:t>
      </w:r>
      <w:r>
        <w:rPr>
          <w:color w:val="000000"/>
        </w:rPr>
        <w:t xml:space="preserve"> Especificaciones Técnicas MB-02/2018 “Servicios de Agencia de Publicidad para Desarrollar campaña para Promover la Línea de Vivienda usada”; </w:t>
      </w:r>
      <w:r w:rsidRPr="003D790A">
        <w:rPr>
          <w:b/>
          <w:color w:val="000000"/>
        </w:rPr>
        <w:t>XIV.</w:t>
      </w:r>
      <w:r>
        <w:rPr>
          <w:color w:val="000000"/>
        </w:rPr>
        <w:t xml:space="preserve">  Solicitud de modificación de cuadro de valores de Residencial Tenerife de la Empresa Salazar Romero, S.A. de C.V.; </w:t>
      </w:r>
      <w:r w:rsidRPr="003D790A">
        <w:rPr>
          <w:b/>
          <w:color w:val="000000"/>
        </w:rPr>
        <w:t>XV.</w:t>
      </w:r>
      <w:r>
        <w:rPr>
          <w:color w:val="000000"/>
        </w:rPr>
        <w:t xml:space="preserve"> Solicitud de Modificación de </w:t>
      </w:r>
      <w:r>
        <w:rPr>
          <w:color w:val="000000"/>
        </w:rPr>
        <w:lastRenderedPageBreak/>
        <w:t xml:space="preserve">Cuadro de valores del Residencial Altos de la Flores II de la Empresa Ar Ingenieros Asociados, S.A. de C.V.; </w:t>
      </w:r>
      <w:r w:rsidRPr="003D790A">
        <w:rPr>
          <w:b/>
          <w:color w:val="000000"/>
        </w:rPr>
        <w:t>XVI.</w:t>
      </w:r>
      <w:r>
        <w:rPr>
          <w:color w:val="000000"/>
        </w:rPr>
        <w:t xml:space="preserve"> Análisis de Solicitud de Miembro de Asamblea de Gobernadores sobre Criterio de Oficialía de Cumplimento; </w:t>
      </w:r>
      <w:r w:rsidRPr="003D790A">
        <w:rPr>
          <w:b/>
          <w:color w:val="000000"/>
        </w:rPr>
        <w:t>XVII</w:t>
      </w:r>
      <w:r>
        <w:rPr>
          <w:color w:val="000000"/>
        </w:rPr>
        <w:t xml:space="preserve">.  Acuerdo de resolución sobre información reservada de esta sesión. 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 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Aprobación de préstamos personales,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</w:t>
      </w:r>
      <w:r w:rsidRPr="007056E4">
        <w:rPr>
          <w:b/>
          <w:color w:val="000000"/>
        </w:rPr>
        <w:t>préstamos personales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 xml:space="preserve"> V.</w:t>
      </w:r>
      <w:r>
        <w:rPr>
          <w:color w:val="000000"/>
        </w:rPr>
        <w:t xml:space="preserve"> Autorización de precios de venta para activos extraordinarios, </w:t>
      </w:r>
      <w:r w:rsidRPr="00BA7FE2">
        <w:rPr>
          <w:b/>
          <w:color w:val="000000"/>
        </w:rPr>
        <w:t>el Consejo</w:t>
      </w:r>
      <w:r>
        <w:t xml:space="preserve"> </w:t>
      </w:r>
      <w:r w:rsidRPr="007061CA">
        <w:rPr>
          <w:b/>
          <w:color w:val="000000"/>
        </w:rPr>
        <w:t>después de analizar a profundidad los precios de venta de activos extraordinarios toma nota y acuerda dar seguimiento por muestreo en el presente trimestre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 </w:t>
      </w:r>
      <w:r w:rsidRPr="007700F3">
        <w:rPr>
          <w:color w:val="000000"/>
        </w:rPr>
        <w:t>Informe de Avance en la ejecución del Plan de Inscripción de documentos en CNR al mes de mayo de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7056E4">
        <w:rPr>
          <w:b/>
          <w:color w:val="000000"/>
        </w:rPr>
        <w:t>Informe de Avance en la ejecución del Plan de Inscripción de documentos en CNR al mes de mayo de 2018</w:t>
      </w:r>
      <w:r>
        <w:rPr>
          <w:b/>
          <w:color w:val="000000"/>
        </w:rPr>
        <w:t>, el cual refleja un porcentaje de avance de 99.28%</w:t>
      </w:r>
      <w:r w:rsidRPr="007056E4">
        <w:rPr>
          <w:b/>
          <w:color w:val="000000"/>
        </w:rPr>
        <w:t>.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</w:t>
      </w:r>
      <w:r w:rsidRPr="007700F3">
        <w:rPr>
          <w:color w:val="000000"/>
        </w:rPr>
        <w:t>Propuesta de reforma de art.223 de la Ley SAP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propuesta de reforma del artículo 223 de la Ley SAP.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</w:t>
      </w:r>
      <w:r w:rsidRPr="00FB472F">
        <w:rPr>
          <w:color w:val="000000"/>
        </w:rPr>
        <w:t>Informe de Gestión de la Cartera Hipotecaria e Informe Cartera Hipotecaria de FONAVIPO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7056E4">
        <w:rPr>
          <w:b/>
          <w:color w:val="000000"/>
        </w:rPr>
        <w:t>Informe de Gestión de la Cartera Hipotecaria e Informe Cartera Hipotecaria de FONAVIPO</w:t>
      </w:r>
      <w:r>
        <w:rPr>
          <w:b/>
          <w:color w:val="000000"/>
        </w:rPr>
        <w:t xml:space="preserve">. </w:t>
      </w:r>
      <w:r w:rsidRPr="00FB472F"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FB472F"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567288">
        <w:rPr>
          <w:color w:val="000000"/>
        </w:rPr>
        <w:t>Propuesta de Actualización de la Política Crediticia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7056E4">
        <w:rPr>
          <w:b/>
          <w:color w:val="000000"/>
        </w:rPr>
        <w:t>Propuesta de Actualización de la Política Crediticia.</w:t>
      </w:r>
      <w:r>
        <w:rPr>
          <w:b/>
          <w:color w:val="000000"/>
        </w:rPr>
        <w:t xml:space="preserve"> 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Propuesta de Nuevo Programa de Crédito “Casa Mujer”,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7056E4">
        <w:rPr>
          <w:b/>
          <w:color w:val="000000"/>
        </w:rPr>
        <w:t xml:space="preserve">Propuesta de Nuevo Programa de Crédito “Casa Mujer”. 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XI.</w:t>
      </w:r>
      <w:r>
        <w:rPr>
          <w:color w:val="000000"/>
        </w:rPr>
        <w:t xml:space="preserve"> Solicitud de Modificación de Normativa para Pago Directo de cuotas de préstamos para el Sector Formal,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de la </w:t>
      </w:r>
      <w:r w:rsidRPr="00E60956">
        <w:rPr>
          <w:b/>
          <w:color w:val="000000"/>
        </w:rPr>
        <w:t>Solicitud de Modificación de Normativa para Pago Directo de cuotas de préstamos para el Sector Formal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Solicitud de Gobernador de incluir en el financiamiento de vivienda nueva el impuesto sobre la transferencia de bienes raíces,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E60956">
        <w:rPr>
          <w:b/>
          <w:color w:val="000000"/>
        </w:rPr>
        <w:t>Solicitud de Gobernador de incluir en el financiamiento de vivienda nueva el impuesto sobre la transferencia de bienes raíces.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3D790A">
        <w:rPr>
          <w:b/>
          <w:color w:val="000000"/>
        </w:rPr>
        <w:t xml:space="preserve"> XIII.</w:t>
      </w:r>
      <w:r>
        <w:rPr>
          <w:color w:val="000000"/>
        </w:rPr>
        <w:t xml:space="preserve">  Especificaciones Técnicas MB-02/2018 “Servicios de Agencia de Publicidad para Desarrollar campaña para Promover la Línea de Vivienda usada”,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</w:t>
      </w:r>
      <w:r w:rsidRPr="009D1733">
        <w:rPr>
          <w:b/>
          <w:color w:val="000000"/>
        </w:rPr>
        <w:lastRenderedPageBreak/>
        <w:t>Especificaciones Técnicas   MB-02/2018 “Servicios de Agencia de Publicidad para Desarrollar campaña para Promover la Línea de Vivienda usada”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3D790A">
        <w:rPr>
          <w:b/>
          <w:color w:val="000000"/>
        </w:rPr>
        <w:t>XIV.</w:t>
      </w:r>
      <w:r>
        <w:rPr>
          <w:color w:val="000000"/>
        </w:rPr>
        <w:t xml:space="preserve">  Solicitud de modificación de cuadro de valores de Residencial Tenerife de la Empresa Salazar Romero, S.A. de C.V.,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</w:t>
      </w:r>
      <w:r w:rsidRPr="009D1733">
        <w:rPr>
          <w:b/>
          <w:color w:val="000000"/>
        </w:rPr>
        <w:t>modificación de cuadro de valores de Residencial Tenerife de la Empr</w:t>
      </w:r>
      <w:r>
        <w:rPr>
          <w:b/>
          <w:color w:val="000000"/>
        </w:rPr>
        <w:t>esa Salazar Romero, S.A. de C.V</w:t>
      </w:r>
      <w:r w:rsidRPr="009D1733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 w:rsidRPr="003D790A">
        <w:rPr>
          <w:b/>
          <w:color w:val="000000"/>
        </w:rPr>
        <w:t xml:space="preserve"> XV.</w:t>
      </w:r>
      <w:r>
        <w:rPr>
          <w:color w:val="000000"/>
        </w:rPr>
        <w:t xml:space="preserve"> Solicitud de Modificación de Cuadro de valores del Residencial Altos de la Flores II de la Empresa Ar Ingenieros Asociados, S.A. de C.V.,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otorgamiento de la </w:t>
      </w:r>
      <w:r w:rsidRPr="009D1733">
        <w:rPr>
          <w:b/>
          <w:color w:val="000000"/>
        </w:rPr>
        <w:t>Modificación de Cuadro de valores del Residencial Altos de la Flores II de la Empresa Ar Ingenieros Asociados, S.A. de C.V.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3D790A">
        <w:rPr>
          <w:b/>
          <w:color w:val="000000"/>
        </w:rPr>
        <w:t>XVI.</w:t>
      </w:r>
      <w:r>
        <w:rPr>
          <w:color w:val="000000"/>
        </w:rPr>
        <w:t xml:space="preserve"> Análisis de Solicitud de Miembro de Asamblea de Gobernadores sobre Criterio de Oficialía de Cumplimento,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de </w:t>
      </w:r>
      <w:r w:rsidRPr="009D1733">
        <w:rPr>
          <w:b/>
          <w:color w:val="000000"/>
        </w:rPr>
        <w:t>Análisis de Solicitud de Miembro de Asamblea de Gobernadores sobre Criterio de Oficialía de Cumplimento</w:t>
      </w:r>
      <w:r>
        <w:rPr>
          <w:b/>
          <w:color w:val="000000"/>
        </w:rPr>
        <w:t xml:space="preserve">. </w:t>
      </w:r>
      <w:r>
        <w:rPr>
          <w:b/>
          <w:bCs/>
        </w:rPr>
        <w:t xml:space="preserve">VIII.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IX. </w:t>
      </w:r>
      <w:r>
        <w:rPr>
          <w:b/>
        </w:rPr>
        <w:t>VARIOS</w:t>
      </w:r>
      <w:r>
        <w:t xml:space="preserve">. En este punto el Consejo no hubo nada que tratar.  La Presidenta del Consejo convoca para la próxima reunión el día martes 24 de julio del año 2018, a la misma hora y lugar. Y no habiendo más que hacer constar, se da por finalizada la reunión a las catorce horas, ratificamos </w:t>
      </w:r>
      <w:bookmarkStart w:id="0" w:name="_GoBack"/>
      <w:bookmarkEnd w:id="0"/>
      <w:r>
        <w:t>su contenido y firmamos.</w:t>
      </w:r>
    </w:p>
    <w:p w:rsidR="004C0A4A" w:rsidRDefault="004C0A4A" w:rsidP="004C0A4A">
      <w:pPr>
        <w:spacing w:line="360" w:lineRule="auto"/>
        <w:jc w:val="both"/>
        <w:rPr>
          <w:sz w:val="22"/>
          <w:lang w:val="pt-BR"/>
        </w:rPr>
      </w:pPr>
    </w:p>
    <w:p w:rsidR="004C0A4A" w:rsidRDefault="004C0A4A" w:rsidP="004C0A4A">
      <w:pPr>
        <w:spacing w:line="360" w:lineRule="auto"/>
        <w:jc w:val="both"/>
      </w:pPr>
      <w:r w:rsidRPr="00E726FC">
        <w:rPr>
          <w:rFonts w:ascii="Arial" w:hAnsi="Arial" w:cs="Arial"/>
          <w:b/>
          <w:sz w:val="20"/>
          <w:lang w:val="es-SV"/>
        </w:rPr>
        <w:t xml:space="preserve">La presente acta es conforme con su original, la cual se encuentra firmada por los señores miembros del Consejo de Vigilancia: Licda. Verónica Elizabeth Gil de Martínez, </w:t>
      </w:r>
      <w:r>
        <w:rPr>
          <w:rFonts w:ascii="Arial" w:hAnsi="Arial" w:cs="Arial"/>
          <w:b/>
          <w:sz w:val="20"/>
          <w:lang w:val="es-SV"/>
        </w:rPr>
        <w:t xml:space="preserve">Lic. </w:t>
      </w:r>
      <w:r w:rsidRPr="00E726FC">
        <w:rPr>
          <w:rFonts w:ascii="Arial" w:hAnsi="Arial" w:cs="Arial"/>
          <w:b/>
          <w:sz w:val="20"/>
          <w:lang w:val="es-SV"/>
        </w:rPr>
        <w:t xml:space="preserve">Luís Mario Flores Guillén, </w:t>
      </w:r>
      <w:r>
        <w:rPr>
          <w:rFonts w:ascii="Arial" w:hAnsi="Arial" w:cs="Arial"/>
          <w:b/>
          <w:sz w:val="20"/>
          <w:lang w:val="es-SV"/>
        </w:rPr>
        <w:t xml:space="preserve">Ing. Herbert Danilo Alvarado y </w:t>
      </w:r>
      <w:r w:rsidRPr="00E726FC">
        <w:rPr>
          <w:rFonts w:ascii="Arial" w:hAnsi="Arial" w:cs="Arial"/>
          <w:b/>
          <w:sz w:val="20"/>
          <w:lang w:val="es-SV"/>
        </w:rPr>
        <w:t>l</w:t>
      </w:r>
      <w:r>
        <w:rPr>
          <w:rFonts w:ascii="Arial" w:hAnsi="Arial" w:cs="Arial"/>
          <w:b/>
          <w:sz w:val="20"/>
          <w:lang w:val="es-SV"/>
        </w:rPr>
        <w:t xml:space="preserve">a Señora </w:t>
      </w:r>
      <w:r w:rsidRPr="00DC0E9D">
        <w:rPr>
          <w:rFonts w:ascii="Arial" w:hAnsi="Arial" w:cs="Arial"/>
          <w:b/>
          <w:sz w:val="20"/>
          <w:lang w:val="es-SV"/>
        </w:rPr>
        <w:t xml:space="preserve">Lyz Milizen C. S. Cerna de </w:t>
      </w:r>
      <w:proofErr w:type="gramStart"/>
      <w:r w:rsidRPr="00DC0E9D">
        <w:rPr>
          <w:rFonts w:ascii="Arial" w:hAnsi="Arial" w:cs="Arial"/>
          <w:b/>
          <w:sz w:val="20"/>
          <w:lang w:val="es-SV"/>
        </w:rPr>
        <w:t>Gallegos</w:t>
      </w:r>
      <w:proofErr w:type="gramEnd"/>
    </w:p>
    <w:p w:rsidR="00AD2F86" w:rsidRDefault="004C0A4A"/>
    <w:sectPr w:rsidR="00AD2F8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A4A" w:rsidRDefault="004C0A4A" w:rsidP="004C0A4A">
      <w:r>
        <w:separator/>
      </w:r>
    </w:p>
  </w:endnote>
  <w:endnote w:type="continuationSeparator" w:id="0">
    <w:p w:rsidR="004C0A4A" w:rsidRDefault="004C0A4A" w:rsidP="004C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A4A" w:rsidRDefault="004C0A4A" w:rsidP="004C0A4A">
      <w:r>
        <w:separator/>
      </w:r>
    </w:p>
  </w:footnote>
  <w:footnote w:type="continuationSeparator" w:id="0">
    <w:p w:rsidR="004C0A4A" w:rsidRDefault="004C0A4A" w:rsidP="004C0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A4A" w:rsidRPr="00A13633" w:rsidRDefault="004C0A4A" w:rsidP="004C0A4A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4C0A4A" w:rsidRPr="00A13633" w:rsidRDefault="004C0A4A" w:rsidP="004C0A4A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4C0A4A" w:rsidRDefault="004C0A4A" w:rsidP="004C0A4A">
    <w:pPr>
      <w:pStyle w:val="Encabezado"/>
    </w:pPr>
  </w:p>
  <w:p w:rsidR="004C0A4A" w:rsidRDefault="004C0A4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4A"/>
    <w:rsid w:val="004677A7"/>
    <w:rsid w:val="004C0A4A"/>
    <w:rsid w:val="00D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53865E"/>
  <w15:chartTrackingRefBased/>
  <w15:docId w15:val="{8C685107-09B1-4A92-9704-B3B67A44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0A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0A4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A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A4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1453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1</cp:revision>
  <dcterms:created xsi:type="dcterms:W3CDTF">2019-02-14T20:18:00Z</dcterms:created>
  <dcterms:modified xsi:type="dcterms:W3CDTF">2019-02-14T20:29:00Z</dcterms:modified>
</cp:coreProperties>
</file>