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A" w:rsidRDefault="0075337A" w:rsidP="0075337A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-12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jueves 15  de marzo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CV-11/2018.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9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029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12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13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031/2018 d</w:t>
      </w:r>
      <w:r w:rsidRPr="00366165">
        <w:rPr>
          <w:bCs/>
        </w:rPr>
        <w:t xml:space="preserve">el </w:t>
      </w:r>
      <w:r>
        <w:rPr>
          <w:bCs/>
        </w:rPr>
        <w:t xml:space="preserve">14 de febrero 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032/2018 d</w:t>
      </w:r>
      <w:r w:rsidRPr="00366165">
        <w:rPr>
          <w:bCs/>
        </w:rPr>
        <w:t xml:space="preserve">el </w:t>
      </w:r>
      <w:r>
        <w:rPr>
          <w:bCs/>
        </w:rPr>
        <w:t>15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033/2018 d</w:t>
      </w:r>
      <w:r w:rsidRPr="00366165">
        <w:rPr>
          <w:bCs/>
        </w:rPr>
        <w:t xml:space="preserve">el </w:t>
      </w:r>
      <w:r>
        <w:rPr>
          <w:bCs/>
        </w:rPr>
        <w:t>16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 </w:t>
      </w:r>
      <w:r w:rsidRPr="009F0E13">
        <w:t xml:space="preserve"> </w:t>
      </w:r>
      <w:r w:rsidRPr="006950DC">
        <w:rPr>
          <w:b/>
        </w:rPr>
        <w:t>IX.</w:t>
      </w:r>
      <w:r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X.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CV-11/2018,  de fecha 13 de marzo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028/2018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9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029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lastRenderedPageBreak/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681642">
        <w:rPr>
          <w:color w:val="000000"/>
        </w:rPr>
        <w:t>Decisión sobre distribución de excedentes ejercicio 2017;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B6B3F">
        <w:rPr>
          <w:color w:val="000000"/>
        </w:rPr>
        <w:t>Informe del Auditor Externo sobre estados financieros al 31 de diciembre de 2017;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F2C62">
        <w:rPr>
          <w:color w:val="000000"/>
        </w:rPr>
        <w:t>Informe de Avance en la ejecución del Plan de inscripción de documentos en CNR al mes de enero de 2018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EF2C62">
        <w:rPr>
          <w:color w:val="000000"/>
        </w:rPr>
        <w:t>Solicitud de autorización para Inscribir remedición de inmueble de Urbanización El Pinar, Santa Ana;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144D88">
        <w:rPr>
          <w:color w:val="000000"/>
        </w:rPr>
        <w:t>Resolución razonada de Contratación Directa para contratar servicios de Asesoría Legal en materia de derecho administrativo y conexos para el Fondo Social para la Vivienda;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144D88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 </w:t>
      </w:r>
      <w:r w:rsidRPr="00144D88">
        <w:rPr>
          <w:color w:val="000000"/>
        </w:rPr>
        <w:t>Aprobación de términos de referencia de Contratación Directa No. FSV-01/2018 “Servicios de Asesoría Legal en Materia de Derecho Administrativo y conexos para el Fondo Social para la Vivienda”;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Informe de evaluación Técnica sobre la Gestión Integral de riesgos, </w:t>
      </w:r>
      <w:r>
        <w:rPr>
          <w:color w:val="000000"/>
        </w:rPr>
        <w:lastRenderedPageBreak/>
        <w:t xml:space="preserve">correspondiente al 31 de diciembre de 2017; </w:t>
      </w:r>
      <w:r w:rsidRPr="00AD7E7E">
        <w:rPr>
          <w:b/>
          <w:color w:val="000000"/>
        </w:rPr>
        <w:t>XIII.</w:t>
      </w:r>
      <w:r>
        <w:rPr>
          <w:color w:val="000000"/>
        </w:rPr>
        <w:t xml:space="preserve">  Informe de Gobierno Corporativo del ejercicio 2017;  </w:t>
      </w:r>
      <w:r w:rsidRPr="00AD7E7E">
        <w:rPr>
          <w:b/>
          <w:color w:val="000000"/>
        </w:rPr>
        <w:t>XIV.</w:t>
      </w:r>
      <w:r>
        <w:rPr>
          <w:color w:val="000000"/>
        </w:rPr>
        <w:t xml:space="preserve">  Informe de Licitación Pública No. FSV-12/2017 “Servicios de Seguridad para el FSV”;  </w:t>
      </w:r>
      <w:r w:rsidRPr="00AD7E7E">
        <w:rPr>
          <w:b/>
          <w:color w:val="000000"/>
        </w:rPr>
        <w:t>XV.</w:t>
      </w:r>
      <w:r>
        <w:rPr>
          <w:color w:val="000000"/>
        </w:rPr>
        <w:t xml:space="preserve">  Pronunciamiento sobre la suficiencia de reservas de saneamiento al 31 de diciembre de 2017;  </w:t>
      </w:r>
      <w:r w:rsidRPr="00AD7E7E">
        <w:rPr>
          <w:b/>
          <w:color w:val="000000"/>
        </w:rPr>
        <w:t>XVI.</w:t>
      </w:r>
      <w:r>
        <w:rPr>
          <w:color w:val="000000"/>
        </w:rPr>
        <w:t xml:space="preserve">  Acuerdo de resolución sobre información reservada de esta sesión. 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681642">
        <w:rPr>
          <w:color w:val="000000"/>
        </w:rPr>
        <w:t>Decisión sobre distribución de excedentes ejercicio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C0FCB">
        <w:rPr>
          <w:b/>
          <w:color w:val="000000"/>
        </w:rPr>
        <w:t>decisión sobre distribución de excedentes ejercicio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6B6B3F">
        <w:rPr>
          <w:color w:val="000000"/>
        </w:rPr>
        <w:t>Informe del Auditor Externo sobre estados financieros al 31 de diciembre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dictamen limpio del informe </w:t>
      </w:r>
      <w:r w:rsidRPr="001C1A61">
        <w:rPr>
          <w:b/>
          <w:color w:val="000000"/>
        </w:rPr>
        <w:t>del Auditor Externo sobre estados financieros al 31 de diciembre de 2017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EF2C62">
        <w:rPr>
          <w:color w:val="000000"/>
        </w:rPr>
        <w:t>Informe de Avance en la ejecución del Plan de inscripción de documentos en CNR al mes de enero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</w:t>
      </w:r>
      <w:r w:rsidRPr="001C1A61">
        <w:rPr>
          <w:b/>
          <w:color w:val="000000"/>
        </w:rPr>
        <w:t>Informe de Avance en la ejecución del Plan de inscripción de documentos en CNR al mes de enero de 2018, el cual refleja un porcentaje de avance de 99.15%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EF2C62">
        <w:rPr>
          <w:color w:val="000000"/>
        </w:rPr>
        <w:t>Solicitud de autorización para Inscribir remedición de inmueble de Urbanización El Pinar, Santa Ana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1C1A61">
        <w:rPr>
          <w:b/>
          <w:color w:val="000000"/>
        </w:rPr>
        <w:t>Solicitud de autorización para Inscribir remedición de inmueble de Urbanización El Pinar, Santa Ana.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144D88">
        <w:rPr>
          <w:color w:val="000000"/>
        </w:rPr>
        <w:t>Resolución razonada de Contratación Directa para contratar servicios de Asesoría Legal en materia de derecho administrativo y conexos para el Fondo Social para la Vivienda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para realizar el proceso de </w:t>
      </w:r>
      <w:r w:rsidRPr="00985039">
        <w:rPr>
          <w:b/>
          <w:color w:val="000000"/>
        </w:rPr>
        <w:t>Resolución razonada de Contratación Directa para contratar servicios de Asesoría Legal en materia de derecho administrativo y conexos para el Fondo Social para la Vivienda.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144D88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>
        <w:rPr>
          <w:b/>
          <w:color w:val="000000"/>
        </w:rPr>
        <w:t>el</w:t>
      </w:r>
      <w:r w:rsidRPr="0091377E">
        <w:rPr>
          <w:b/>
          <w:color w:val="000000"/>
        </w:rPr>
        <w:t xml:space="preserve"> Consejo 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 </w:t>
      </w:r>
      <w:r w:rsidRPr="00144D88">
        <w:rPr>
          <w:color w:val="000000"/>
        </w:rPr>
        <w:t>Aprobación de términos de referencia de Contratación Directa No. FSV-01/2018 “Servicios de Asesoría Legal en Materia de Derecho Administrativo y conexos para el Fondo Social para la Vivienda”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985039">
        <w:rPr>
          <w:b/>
          <w:color w:val="000000"/>
        </w:rPr>
        <w:t>términos de referencia de Contratación Directa No. FSV-01/2018 “Servicios de Asesoría Legal en Materia de Derecho Administrativo y conexos para el Fondo Social para la Vivienda”.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Informe de evaluación Técnica sobre la Gestión Integral de riesgos, correspondiente al 31 de </w:t>
      </w:r>
      <w:r>
        <w:rPr>
          <w:color w:val="000000"/>
        </w:rPr>
        <w:lastRenderedPageBreak/>
        <w:t xml:space="preserve">diciembre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985039">
        <w:rPr>
          <w:b/>
          <w:color w:val="000000"/>
        </w:rPr>
        <w:t>Informe de evaluación Técnica sobre la Gestión Integral de riesgos, correspondiente al 31 de diciembre de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D7E7E">
        <w:rPr>
          <w:b/>
          <w:color w:val="000000"/>
        </w:rPr>
        <w:t xml:space="preserve"> XIII.</w:t>
      </w:r>
      <w:r>
        <w:rPr>
          <w:color w:val="000000"/>
        </w:rPr>
        <w:t xml:space="preserve">  Informe de Gobierno Corporativo del ejercicio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985039">
        <w:rPr>
          <w:b/>
          <w:color w:val="000000"/>
        </w:rPr>
        <w:t>Informe de Gobierno Corporativo del ejercicio 2017.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AD7E7E">
        <w:rPr>
          <w:b/>
          <w:color w:val="000000"/>
        </w:rPr>
        <w:t xml:space="preserve"> XIV.</w:t>
      </w:r>
      <w:r>
        <w:rPr>
          <w:color w:val="000000"/>
        </w:rPr>
        <w:t xml:space="preserve">  Informe de Licitación Pública No. FSV-12/2017 “Servicios de Seguridad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adjudicación de </w:t>
      </w:r>
      <w:r w:rsidRPr="000A3E7C">
        <w:rPr>
          <w:b/>
          <w:color w:val="000000"/>
        </w:rPr>
        <w:t>Licitación Pública No. FSV-12/2017 “Servicios de Seguridad para el FSV”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AD7E7E">
        <w:rPr>
          <w:b/>
          <w:color w:val="000000"/>
        </w:rPr>
        <w:t>XV.</w:t>
      </w:r>
      <w:r>
        <w:rPr>
          <w:color w:val="000000"/>
        </w:rPr>
        <w:t xml:space="preserve">  Pronunciamiento sobre la suficiencia de reservas de saneamiento al 31 de diciembre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A3E7C">
        <w:rPr>
          <w:b/>
          <w:color w:val="000000"/>
        </w:rPr>
        <w:t>Pronunciamiento sobre la suficiencia de reservas de saneamiento al 31 de diciembre de 2017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>DE</w:t>
      </w:r>
      <w:r>
        <w:rPr>
          <w:b/>
          <w:bCs/>
        </w:rPr>
        <w:t xml:space="preserve"> 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r w:rsidRPr="00DF21EA">
        <w:rPr>
          <w:color w:val="000000"/>
        </w:rPr>
        <w:t>Créditos de Vivienda.</w:t>
      </w:r>
      <w:r w:rsidRPr="00DF21EA">
        <w:rPr>
          <w:b/>
          <w:color w:val="000000"/>
        </w:rPr>
        <w:t xml:space="preserve"> </w:t>
      </w:r>
      <w:r w:rsidRPr="00DF21EA">
        <w:rPr>
          <w:color w:val="000000"/>
        </w:rPr>
        <w:t xml:space="preserve">  Después de haber leído y analizado</w:t>
      </w:r>
      <w:r>
        <w:rPr>
          <w:color w:val="000000"/>
        </w:rPr>
        <w:t xml:space="preserve">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6E69C3">
        <w:rPr>
          <w:b/>
          <w:color w:val="000000"/>
        </w:rPr>
        <w:t>X.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>. En este punto el Consejo no hubo nada que tratar.  La  Presidenta del Consejo convoca  para la próxima reunión el día martes 10  de abril  del año 2018,  a la misma hora y lugar. Y no habiendo más que  hacer  constar,  se  da  por  finalizada  la reunión   a  las  catorce horas, ratificamos su  contenido  y   firmamos.</w:t>
      </w:r>
    </w:p>
    <w:p w:rsidR="0075337A" w:rsidRDefault="0075337A" w:rsidP="0075337A">
      <w:pPr>
        <w:spacing w:line="360" w:lineRule="auto"/>
        <w:jc w:val="both"/>
        <w:rPr>
          <w:sz w:val="22"/>
          <w:lang w:val="pt-BR"/>
        </w:rPr>
      </w:pPr>
    </w:p>
    <w:p w:rsidR="0075337A" w:rsidRDefault="0075337A" w:rsidP="0030017F">
      <w:pPr>
        <w:spacing w:line="360" w:lineRule="auto"/>
        <w:jc w:val="both"/>
        <w:rPr>
          <w:sz w:val="22"/>
          <w:lang w:val="pt-BR"/>
        </w:rPr>
      </w:pPr>
    </w:p>
    <w:p w:rsidR="002F4660" w:rsidRPr="00E726FC" w:rsidRDefault="002F4660" w:rsidP="0030017F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694739" w:rsidRPr="002F4660" w:rsidRDefault="00694739" w:rsidP="0030017F">
      <w:pPr>
        <w:jc w:val="both"/>
        <w:rPr>
          <w:lang w:val="es-SV"/>
        </w:rPr>
      </w:pPr>
    </w:p>
    <w:sectPr w:rsidR="00694739" w:rsidRPr="002F466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D2" w:rsidRDefault="000D4DD2" w:rsidP="000D4DD2">
      <w:r>
        <w:separator/>
      </w:r>
    </w:p>
  </w:endnote>
  <w:endnote w:type="continuationSeparator" w:id="0">
    <w:p w:rsidR="000D4DD2" w:rsidRDefault="000D4DD2" w:rsidP="000D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D2" w:rsidRDefault="000D4DD2" w:rsidP="000D4DD2">
      <w:r>
        <w:separator/>
      </w:r>
    </w:p>
  </w:footnote>
  <w:footnote w:type="continuationSeparator" w:id="0">
    <w:p w:rsidR="000D4DD2" w:rsidRDefault="000D4DD2" w:rsidP="000D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D2" w:rsidRDefault="000D4DD2" w:rsidP="000D4DD2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:rsidR="000D4DD2" w:rsidRPr="00765A04" w:rsidRDefault="000D4DD2" w:rsidP="000D4DD2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SUPRESIÓN DE FIRMAS Y SELLOS.</w:t>
    </w:r>
  </w:p>
  <w:p w:rsidR="000D4DD2" w:rsidRDefault="000D4DD2">
    <w:pPr>
      <w:pStyle w:val="Encabezado"/>
    </w:pPr>
  </w:p>
  <w:p w:rsidR="000D4DD2" w:rsidRDefault="000D4D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A"/>
    <w:rsid w:val="00027ACC"/>
    <w:rsid w:val="00067DD4"/>
    <w:rsid w:val="000D4DD2"/>
    <w:rsid w:val="000D7CB7"/>
    <w:rsid w:val="001002F0"/>
    <w:rsid w:val="00112F20"/>
    <w:rsid w:val="00133087"/>
    <w:rsid w:val="00134C30"/>
    <w:rsid w:val="001829FF"/>
    <w:rsid w:val="001A1772"/>
    <w:rsid w:val="001E360C"/>
    <w:rsid w:val="00242F6C"/>
    <w:rsid w:val="002A0CA5"/>
    <w:rsid w:val="002B44AD"/>
    <w:rsid w:val="002D3753"/>
    <w:rsid w:val="002D58FF"/>
    <w:rsid w:val="002F4660"/>
    <w:rsid w:val="0030017F"/>
    <w:rsid w:val="003F0407"/>
    <w:rsid w:val="003F1504"/>
    <w:rsid w:val="00416A77"/>
    <w:rsid w:val="0041736A"/>
    <w:rsid w:val="00440AF9"/>
    <w:rsid w:val="0047640C"/>
    <w:rsid w:val="004C0D1F"/>
    <w:rsid w:val="00555B8B"/>
    <w:rsid w:val="005741FB"/>
    <w:rsid w:val="005848D5"/>
    <w:rsid w:val="005D25EE"/>
    <w:rsid w:val="0061752A"/>
    <w:rsid w:val="00621133"/>
    <w:rsid w:val="00623B33"/>
    <w:rsid w:val="00641508"/>
    <w:rsid w:val="0068134B"/>
    <w:rsid w:val="00681B88"/>
    <w:rsid w:val="00694739"/>
    <w:rsid w:val="00697E4B"/>
    <w:rsid w:val="006A3D62"/>
    <w:rsid w:val="006F5477"/>
    <w:rsid w:val="006F6009"/>
    <w:rsid w:val="00707AE0"/>
    <w:rsid w:val="0071129E"/>
    <w:rsid w:val="0075337A"/>
    <w:rsid w:val="00883868"/>
    <w:rsid w:val="00934BB4"/>
    <w:rsid w:val="009E538C"/>
    <w:rsid w:val="00A24930"/>
    <w:rsid w:val="00A263C0"/>
    <w:rsid w:val="00A93C22"/>
    <w:rsid w:val="00AA6280"/>
    <w:rsid w:val="00B747D9"/>
    <w:rsid w:val="00BC03D2"/>
    <w:rsid w:val="00C0786E"/>
    <w:rsid w:val="00C26D4F"/>
    <w:rsid w:val="00C80387"/>
    <w:rsid w:val="00CF79D4"/>
    <w:rsid w:val="00DB3B2A"/>
    <w:rsid w:val="00DB646C"/>
    <w:rsid w:val="00DF66A4"/>
    <w:rsid w:val="00E20BD3"/>
    <w:rsid w:val="00E24AD7"/>
    <w:rsid w:val="00E61D53"/>
    <w:rsid w:val="00F03630"/>
    <w:rsid w:val="00F06823"/>
    <w:rsid w:val="00F42712"/>
    <w:rsid w:val="00F62D30"/>
    <w:rsid w:val="00F64542"/>
    <w:rsid w:val="00F73508"/>
    <w:rsid w:val="00F85E15"/>
    <w:rsid w:val="00F927CF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AC6CF"/>
  <w15:docId w15:val="{FA4715D1-B768-4110-87AB-19A5371A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337A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37A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75337A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533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5337A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0D4D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4D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D4D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DD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5</cp:revision>
  <dcterms:created xsi:type="dcterms:W3CDTF">2018-04-17T20:28:00Z</dcterms:created>
  <dcterms:modified xsi:type="dcterms:W3CDTF">2019-02-14T16:35:00Z</dcterms:modified>
</cp:coreProperties>
</file>