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>Fondo Social para la Vivienda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 xml:space="preserve">estadística 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1973 - </w:t>
      </w:r>
      <w:r w:rsidR="001C3AB6">
        <w:rPr>
          <w:rFonts w:ascii="Arial Narrow" w:eastAsia="Times New Roman" w:hAnsi="Arial Narrow" w:cs="Arial"/>
          <w:bCs/>
          <w:sz w:val="16"/>
          <w:szCs w:val="20"/>
        </w:rPr>
        <w:t>dic</w:t>
      </w:r>
      <w:r w:rsidR="003200DB" w:rsidRPr="003D43A7">
        <w:rPr>
          <w:rFonts w:ascii="Arial Narrow" w:eastAsia="Times New Roman" w:hAnsi="Arial Narrow" w:cs="Arial"/>
          <w:bCs/>
          <w:sz w:val="16"/>
          <w:szCs w:val="20"/>
        </w:rPr>
        <w:t>iembre</w:t>
      </w:r>
      <w:r w:rsidR="004768B7" w:rsidRPr="003D43A7">
        <w:rPr>
          <w:rFonts w:ascii="Arial Narrow" w:eastAsia="Times New Roman" w:hAnsi="Arial Narrow" w:cs="Arial"/>
          <w:bCs/>
          <w:sz w:val="16"/>
          <w:szCs w:val="20"/>
        </w:rPr>
        <w:t xml:space="preserve"> 2016</w:t>
      </w:r>
      <w:r w:rsidR="0059341C" w:rsidRPr="003D43A7">
        <w:rPr>
          <w:rFonts w:ascii="Arial Narrow" w:eastAsia="Times New Roman" w:hAnsi="Arial Narrow" w:cs="Arial"/>
          <w:bCs/>
          <w:sz w:val="16"/>
          <w:szCs w:val="20"/>
        </w:rPr>
        <w:t>.</w:t>
      </w:r>
    </w:p>
    <w:p w:rsidR="00D066A9" w:rsidRPr="003D43A7" w:rsidRDefault="00D066A9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(Monto en miles de </w:t>
      </w:r>
      <w:r w:rsidR="00154CF8" w:rsidRPr="003D43A7">
        <w:rPr>
          <w:rFonts w:ascii="Arial Narrow" w:eastAsia="Times New Roman" w:hAnsi="Arial Narrow" w:cs="Arial"/>
          <w:bCs/>
          <w:sz w:val="16"/>
          <w:szCs w:val="20"/>
        </w:rPr>
        <w:t>dólares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730"/>
        <w:gridCol w:w="1071"/>
        <w:gridCol w:w="2024"/>
        <w:gridCol w:w="730"/>
        <w:gridCol w:w="1071"/>
        <w:gridCol w:w="1179"/>
        <w:gridCol w:w="1067"/>
        <w:gridCol w:w="1065"/>
        <w:gridCol w:w="1063"/>
      </w:tblGrid>
      <w:tr w:rsidR="00FC64C4" w:rsidRPr="00FC64C4" w:rsidTr="00FC64C4">
        <w:trPr>
          <w:trHeight w:val="255"/>
        </w:trPr>
        <w:tc>
          <w:tcPr>
            <w:tcW w:w="286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Año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Créditos escriturados </w:t>
            </w:r>
            <w:r w:rsidRPr="00FC64C4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95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Salvadoreños beneficiados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Créditos escriturados</w:t>
            </w: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br/>
              <w:t>Vivienda Nueva</w:t>
            </w:r>
          </w:p>
        </w:tc>
        <w:tc>
          <w:tcPr>
            <w:tcW w:w="1059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Saldos Cartera Hipotecaria</w:t>
            </w:r>
          </w:p>
        </w:tc>
        <w:tc>
          <w:tcPr>
            <w:tcW w:w="1004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Tasa de Interés Ponderada</w:t>
            </w:r>
          </w:p>
        </w:tc>
      </w:tr>
      <w:tr w:rsidR="00FC64C4" w:rsidRPr="00FC64C4" w:rsidTr="00FC64C4">
        <w:trPr>
          <w:trHeight w:val="255"/>
        </w:trPr>
        <w:tc>
          <w:tcPr>
            <w:tcW w:w="286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49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5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49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59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C64C4" w:rsidRPr="00FC64C4" w:rsidTr="00FC64C4">
        <w:trPr>
          <w:trHeight w:val="315"/>
        </w:trPr>
        <w:tc>
          <w:tcPr>
            <w:tcW w:w="286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95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Activa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Pasiva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-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-   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$250.3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$248.0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1,516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$1,900.3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7,580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$2,121.9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2,008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$2,722.3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10,040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$4,759.6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6.30%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2,239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$3,169.7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11,195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$7,777.9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6.20%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1,876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$2,899.5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9,380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$10,459.2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7.10%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3,583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$7,169.6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17,915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$17,328.4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6.80%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2,870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$6,155.4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14,350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$22,446.7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2,922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$5,995.0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14,610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$27,827.6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7,019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$14,569.0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35,095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D.N.D</w:t>
            </w:r>
            <w:proofErr w:type="spellEnd"/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$41,653.8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7,665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$15,602.4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38,325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30,790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$56,260.8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4,246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$8,966.7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21,230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34,721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$63,799.3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4,565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$9,845.2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22,825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38,786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$71,767.1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4,867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$14,393.8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24,335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43,002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$83,250.7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5,552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$19,604.4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27,760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47,441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$98,452.1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4,731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$16,450.8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23,655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3,158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$11,569.7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50,588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$109,349.6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5,127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$16,805.3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25,635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3,223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$11,996.3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53,911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$119,823.3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7.40%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6,837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$23,855.9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34,185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4,566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$18,611.2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59,170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$137,216.7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8.50%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7,327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$29,409.2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36,635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5,758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$24,490.7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64,592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$158,420.6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8.80%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8,212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$34,721.3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41,060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6,432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$27,890.4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70,456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$183,381.4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9.00%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10,283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$50,680.2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51,415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8,099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$40,653.2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77,531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$222,469.6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8.10%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1.30%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10,523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$61,714.3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52,615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7,851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$46,551.5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84,655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$273,355.8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10.70%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2.80%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9,056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$58,763.9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45,280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6,232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$41,638.7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89,412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$322,598.6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11.80%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6.10%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8,770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$66,578.1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43,850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5,871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$46,043.2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92,685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$366,950.9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11.90%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$77,418.9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49,765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6,777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$54,936.8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99,062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$442,547.7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11.60%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7.50%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$119,920.3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69,695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10,689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$96,426.7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107,324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$539,115.3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8.70%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6.25%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$148,272.5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79,910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12,350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$121,079.5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118,325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$657,408.4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8.97%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5.97%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$126,103.1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64,520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9,904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$102,531.2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125,587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$751,562.3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6.47%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4.41%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$115,075.5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59,035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9,548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$97,176.5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130,849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$819,988.1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2.63%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$85,829.9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45,525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6,567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$66,667.2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130,676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$842,078.6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2.34%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49,780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2.52%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48,585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2.55%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40,420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32,845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3.45%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28,250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28,375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27,955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2.82%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22,777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26,271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24,759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2.53%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26,943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2.85%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25,082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31,748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3.39%</w:t>
            </w:r>
          </w:p>
        </w:tc>
      </w:tr>
      <w:tr w:rsidR="00FC64C4" w:rsidRPr="00FC64C4" w:rsidTr="00FC64C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24,952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3.56%</w:t>
            </w:r>
          </w:p>
        </w:tc>
      </w:tr>
      <w:tr w:rsidR="00FC64C4" w:rsidRPr="00FC64C4" w:rsidTr="00FC64C4">
        <w:trPr>
          <w:trHeight w:val="360"/>
        </w:trPr>
        <w:tc>
          <w:tcPr>
            <w:tcW w:w="286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291,481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$2,380,598.1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1,417,312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139,376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$1,314,000.4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7E7823" w:rsidRPr="003D43A7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1/ a partir de 1996 los créditos escriturados incluye generación de hipotecas.</w:t>
      </w:r>
    </w:p>
    <w:p w:rsidR="007E7823" w:rsidRPr="003D43A7" w:rsidRDefault="007E7823" w:rsidP="004768B7">
      <w:pPr>
        <w:spacing w:after="0" w:line="240" w:lineRule="auto"/>
        <w:ind w:left="55"/>
        <w:rPr>
          <w:rFonts w:ascii="Arial Narrow" w:eastAsia="Times New Roman" w:hAnsi="Arial Narrow" w:cs="Arial"/>
          <w:sz w:val="14"/>
          <w:szCs w:val="20"/>
        </w:rPr>
      </w:pPr>
      <w:proofErr w:type="gramStart"/>
      <w:r w:rsidRPr="003D43A7">
        <w:rPr>
          <w:rFonts w:ascii="Arial Narrow" w:eastAsia="Times New Roman" w:hAnsi="Arial Narrow" w:cs="Arial"/>
          <w:sz w:val="14"/>
          <w:szCs w:val="20"/>
        </w:rPr>
        <w:t>ND :</w:t>
      </w:r>
      <w:proofErr w:type="gramEnd"/>
      <w:r w:rsidRPr="003D43A7">
        <w:rPr>
          <w:rFonts w:ascii="Arial Narrow" w:eastAsia="Times New Roman" w:hAnsi="Arial Narrow" w:cs="Arial"/>
          <w:sz w:val="14"/>
          <w:szCs w:val="20"/>
        </w:rPr>
        <w:t xml:space="preserve"> No disponible.</w:t>
      </w:r>
      <w:r w:rsidRPr="003D43A7">
        <w:rPr>
          <w:rFonts w:ascii="Arial Narrow" w:eastAsia="Times New Roman" w:hAnsi="Arial Narrow" w:cs="Arial"/>
          <w:sz w:val="14"/>
          <w:szCs w:val="20"/>
        </w:rPr>
        <w:br w:type="page"/>
      </w:r>
    </w:p>
    <w:p w:rsidR="007E7823" w:rsidRPr="003D43A7" w:rsidRDefault="007E7823" w:rsidP="00D066A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  <w:r w:rsidRPr="003D43A7">
        <w:rPr>
          <w:rFonts w:ascii="Arial Narrow" w:eastAsia="Times New Roman" w:hAnsi="Arial Narrow" w:cs="Arial"/>
          <w:bCs/>
          <w:sz w:val="16"/>
          <w:szCs w:val="16"/>
        </w:rPr>
        <w:t xml:space="preserve">Fondo Social para la Vivienda </w:t>
      </w:r>
    </w:p>
    <w:p w:rsidR="00AC5E2C" w:rsidRPr="003D43A7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20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Síntesis estadística 1973 - </w:t>
      </w:r>
      <w:r w:rsidR="001C3AB6">
        <w:rPr>
          <w:rFonts w:ascii="Arial Narrow" w:eastAsia="Times New Roman" w:hAnsi="Arial Narrow" w:cs="Arial"/>
          <w:bCs/>
          <w:sz w:val="16"/>
          <w:szCs w:val="20"/>
        </w:rPr>
        <w:t>dic</w:t>
      </w:r>
      <w:r w:rsidR="003200DB" w:rsidRPr="003D43A7">
        <w:rPr>
          <w:rFonts w:ascii="Arial Narrow" w:eastAsia="Times New Roman" w:hAnsi="Arial Narrow" w:cs="Arial"/>
          <w:bCs/>
          <w:sz w:val="16"/>
          <w:szCs w:val="20"/>
        </w:rPr>
        <w:t>iembre</w:t>
      </w:r>
      <w:r w:rsidRPr="003D43A7">
        <w:rPr>
          <w:rFonts w:ascii="Arial Narrow" w:eastAsia="Times New Roman" w:hAnsi="Arial Narrow" w:cs="Arial"/>
          <w:bCs/>
          <w:sz w:val="16"/>
          <w:szCs w:val="20"/>
        </w:rPr>
        <w:t xml:space="preserve"> 2016.</w:t>
      </w:r>
    </w:p>
    <w:p w:rsidR="00C55814" w:rsidRPr="003D43A7" w:rsidRDefault="00AC5E2C" w:rsidP="00AC5E2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16"/>
          <w:szCs w:val="16"/>
        </w:rPr>
      </w:pPr>
      <w:r w:rsidRPr="003D43A7">
        <w:rPr>
          <w:rFonts w:ascii="Arial Narrow" w:eastAsia="Times New Roman" w:hAnsi="Arial Narrow" w:cs="Arial"/>
          <w:bCs/>
          <w:sz w:val="16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1061"/>
        <w:gridCol w:w="1061"/>
        <w:gridCol w:w="1082"/>
        <w:gridCol w:w="1014"/>
        <w:gridCol w:w="904"/>
        <w:gridCol w:w="904"/>
        <w:gridCol w:w="1029"/>
        <w:gridCol w:w="726"/>
        <w:gridCol w:w="1126"/>
        <w:gridCol w:w="1084"/>
      </w:tblGrid>
      <w:tr w:rsidR="00FC64C4" w:rsidRPr="00FC64C4" w:rsidTr="00FC64C4">
        <w:trPr>
          <w:trHeight w:val="255"/>
        </w:trPr>
        <w:tc>
          <w:tcPr>
            <w:tcW w:w="29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51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Saldos Balance</w:t>
            </w:r>
          </w:p>
        </w:tc>
        <w:tc>
          <w:tcPr>
            <w:tcW w:w="1330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Estados de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Colocación Títulos Valores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Devolución Cotizaciones</w:t>
            </w:r>
          </w:p>
        </w:tc>
        <w:tc>
          <w:tcPr>
            <w:tcW w:w="51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Saldos depósitos Cotizaciones</w:t>
            </w:r>
          </w:p>
        </w:tc>
      </w:tr>
      <w:tr w:rsidR="00FC64C4" w:rsidRPr="00FC64C4" w:rsidTr="00FC64C4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1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  <w:tr w:rsidR="00FC64C4" w:rsidRPr="00FC64C4" w:rsidTr="00FC64C4">
        <w:trPr>
          <w:trHeight w:val="255"/>
        </w:trPr>
        <w:tc>
          <w:tcPr>
            <w:tcW w:w="29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Activo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Pasivo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Patrimonio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Ingresos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Gasto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Superávit</w:t>
            </w: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Número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Miles de US$</w:t>
            </w:r>
          </w:p>
        </w:tc>
        <w:tc>
          <w:tcPr>
            <w:tcW w:w="51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$989.9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$704.2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$285.7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-$16.5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$704.1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$5,034.3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$4,747.8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$286.5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$127.8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-$36.6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$3,224.6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$10,267.2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$9,400.4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$866.8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$257.5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$6,771.9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$12,257.9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$10,704.6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$1,553.3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$494.4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$369.7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$29.3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$10,527.2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$18,066.8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$15,365.9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$2,700.9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$824.9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$491.1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$333.8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$15,239.0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$24,617.3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$20,992.8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$3,624.5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$967.5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$617.3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$350.2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798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$65.7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$20,659.3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$31,387.8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$27,321.1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$4,066.7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$1,259.6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$817.5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$442.1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763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$78.8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$26,725.5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$38,820.4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$33,979.0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$4,841.4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$1,747.3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$972.6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$774.7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1,350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$163.0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$33,424.1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$46,329.4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$40,610.9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$5,718.5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$2,229.3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$1,352.2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$877.1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1,799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$39,867.8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$56,068.5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$49,356.0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$6,712.5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$2,479.5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$1,485.5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$994.0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1,280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$221.6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$46,245.9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$67,969.4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$59,774.1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$8,195.3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$3,809.1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$2,212.1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$1,597.0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1,159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$231.6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$53,238.5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$77,239.5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$72,870.4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$4,369.1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$4,512.3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$3,457.4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$1,054.9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1,033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$242.4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$60,455.3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$83,801.0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$78,202.2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$5,598.8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$5,342.8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$4,113.1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$1,229.6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$360.4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$68,129.0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$94,771.0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$86,363.9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$8,407.1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$6,639.8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$3,831.5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$2,808.3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1,564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$448.2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$76,274.9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$106,199.8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$91,000.2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$15,199.6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$9,912.4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$3,119.8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$6,792.6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1,672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$602.7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$83,526.7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$117,494.4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$99,604.5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$17,889.8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$8,358.9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$4,145.7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$4,213.1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1,730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$678.3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$92,631.8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$132,419.6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$110,499.8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$21,919.7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$9,137.6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$5,107.7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$4,029.9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2,340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$920.8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$103,463.7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$149,835.3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$121,669.9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$28,165.3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$11,076.4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$4,830.8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$6,245.6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3,524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$1,406.9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$114,183.9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$171,003.3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$133,289.9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$37,713.4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$14,141.3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$4,593.3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$9,548.0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3,318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$1,413.6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$126,071.5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$195,114.7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$148,571.7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$46,543.0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$15,013.0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$6,183.4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$8,829.6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3,308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$1,504.2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$140,399.0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$231,664.9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$172,450.0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$59,214.8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$19,826.8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$7,155.0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$12,671.8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4,844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$2,052.1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$160,418.6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$264,111.2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$212,592.3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$51,518.9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$27,134.0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$16,031.3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$11,102.7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3,985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$1,845.9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$191,705.2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$324,708.9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$250,277.5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$74,431.4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$35,971.7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$18,677.3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$17,294.4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5,653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$2,720.5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$230,698.1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$382,472.6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$287,999.9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$94,472.7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$44,393.5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$27,878.9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$16,514.6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6,387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$3,232.0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$275,673.5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$446,969.0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$337,405.3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$109,563.7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$49,001.3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$32,767.3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$16,233.9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6,584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$3,769.7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$326,735.7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$544,015.5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$417,740.9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$126,274.6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$50,521.6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$33,810.7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$16,710.9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$49,085.7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5,792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$3,332.0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$354,438.8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$667,321.5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$534,420.9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$132,900.6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$55,610.1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$50,127.0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$5,483.1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$61,485.7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6,097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$3,885.1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$360,884.7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$759,822.3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$617,109.1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$142,713.3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$71,650.6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$61,801.0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$9,849.6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$133,742.9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6,894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$5,364.2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$359,969.9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$758,103.5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$657,752.1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$100,351.4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$54,923.3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$45,404.1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$9,519.2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$75,991.1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7,248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$5,559.9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$356,408.8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$810,539.5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$700,577.2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$109,962.4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$57,469.6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$47,694.7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$9,774.9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$96,000.0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7,633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$6,294.3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$352,030.1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$327,454.4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$321,510.2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$313,101.6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$300,265.9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$292,552.4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$285,945.7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$279,290.0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$272,789.9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$265,741.9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$257,708.6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$249,127.6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$241,473.7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$232,709.1</w:t>
            </w:r>
          </w:p>
        </w:tc>
      </w:tr>
      <w:tr w:rsidR="00FC64C4" w:rsidRPr="00FC64C4" w:rsidTr="00FC64C4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$222,235.6</w:t>
            </w:r>
          </w:p>
        </w:tc>
      </w:tr>
      <w:tr w:rsidR="00FC64C4" w:rsidRPr="00FC64C4" w:rsidTr="00FC64C4">
        <w:trPr>
          <w:trHeight w:val="360"/>
        </w:trPr>
        <w:tc>
          <w:tcPr>
            <w:tcW w:w="291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50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$587,892.6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242,967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$144,270.5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4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894D40" w:rsidRPr="003D43A7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8"/>
          <w:szCs w:val="20"/>
        </w:rPr>
      </w:pPr>
    </w:p>
    <w:p w:rsidR="004768B7" w:rsidRPr="003D43A7" w:rsidRDefault="004768B7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8"/>
          <w:szCs w:val="20"/>
        </w:rPr>
      </w:pPr>
    </w:p>
    <w:p w:rsidR="004768B7" w:rsidRPr="003D43A7" w:rsidRDefault="004768B7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8"/>
          <w:szCs w:val="20"/>
        </w:rPr>
      </w:pPr>
    </w:p>
    <w:p w:rsidR="004768B7" w:rsidRPr="003D43A7" w:rsidRDefault="004768B7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8"/>
          <w:szCs w:val="20"/>
        </w:rPr>
      </w:pPr>
    </w:p>
    <w:p w:rsidR="00894D40" w:rsidRPr="003D43A7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tbl>
      <w:tblPr>
        <w:tblW w:w="5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7"/>
        <w:gridCol w:w="1097"/>
      </w:tblGrid>
      <w:tr w:rsidR="00FC64C4" w:rsidRPr="00FC64C4" w:rsidTr="00FC64C4">
        <w:trPr>
          <w:trHeight w:val="255"/>
          <w:jc w:val="center"/>
        </w:trPr>
        <w:tc>
          <w:tcPr>
            <w:tcW w:w="576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Cifras Relevantes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576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 xml:space="preserve">Acumulado 1973 - </w:t>
            </w:r>
            <w:r w:rsidR="004773F4" w:rsidRPr="00FC64C4">
              <w:rPr>
                <w:rFonts w:ascii="Calibri" w:eastAsia="Times New Roman" w:hAnsi="Calibri" w:cs="Calibri"/>
                <w:sz w:val="18"/>
                <w:szCs w:val="18"/>
              </w:rPr>
              <w:t xml:space="preserve">diciembre </w:t>
            </w: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2016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57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(monto en miles de US$)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291,481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$2,380,598.1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tcBorders>
              <w:top w:val="dotted" w:sz="4" w:space="0" w:color="BFBFBF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 xml:space="preserve">Familias Beneficiadas                   </w:t>
            </w:r>
          </w:p>
        </w:tc>
        <w:tc>
          <w:tcPr>
            <w:tcW w:w="883" w:type="dxa"/>
            <w:tcBorders>
              <w:top w:val="dotted" w:sz="4" w:space="0" w:color="BFBFBF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291,481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Salvadoreños Beneficiados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1,417,312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139,376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$1,314,000.4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Devolución de Cotizaciones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242,967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$144,270.5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Cartera Hipotecaria</w:t>
            </w:r>
            <w:r w:rsidR="00DA599F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FC64C4">
              <w:rPr>
                <w:rFonts w:ascii="Calibri" w:eastAsia="Times New Roman" w:hAnsi="Calibri" w:cs="Calibri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99,122</w:t>
            </w:r>
          </w:p>
        </w:tc>
      </w:tr>
      <w:tr w:rsidR="00FC64C4" w:rsidRPr="00FC64C4" w:rsidTr="00FC64C4">
        <w:trPr>
          <w:trHeight w:val="285"/>
          <w:jc w:val="center"/>
        </w:trPr>
        <w:tc>
          <w:tcPr>
            <w:tcW w:w="487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$936,357.2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5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Registro en número de hipotecas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Cartera Hipotecaria Total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99,122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Hipotecas Inscritas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98,713</w:t>
            </w:r>
          </w:p>
        </w:tc>
      </w:tr>
      <w:tr w:rsidR="00FC64C4" w:rsidRPr="00FC64C4" w:rsidTr="00FC64C4">
        <w:trPr>
          <w:trHeight w:val="255"/>
          <w:jc w:val="center"/>
        </w:trPr>
        <w:tc>
          <w:tcPr>
            <w:tcW w:w="48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sz w:val="18"/>
                <w:szCs w:val="18"/>
              </w:rPr>
              <w:t>Hipotecas en proceso de Inscripción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C64C4" w:rsidRPr="00FC64C4" w:rsidRDefault="00FC64C4" w:rsidP="00FC6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64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409</w:t>
            </w:r>
          </w:p>
        </w:tc>
      </w:tr>
    </w:tbl>
    <w:p w:rsidR="007E7823" w:rsidRPr="003D43A7" w:rsidRDefault="007E7823" w:rsidP="007E7823">
      <w:pPr>
        <w:spacing w:after="0" w:line="240" w:lineRule="auto"/>
        <w:ind w:left="2268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</w:p>
    <w:p w:rsidR="007E7823" w:rsidRPr="003D43A7" w:rsidRDefault="007E7823" w:rsidP="007E7823">
      <w:pPr>
        <w:spacing w:after="0" w:line="240" w:lineRule="auto"/>
        <w:ind w:left="2268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7E7823" w:rsidRPr="003D43A7" w:rsidRDefault="007E7823" w:rsidP="007E7823">
      <w:pPr>
        <w:spacing w:after="0" w:line="240" w:lineRule="auto"/>
        <w:ind w:left="2268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  <w:vertAlign w:val="superscript"/>
        </w:rPr>
        <w:t>1/</w:t>
      </w:r>
      <w:r w:rsidRPr="003D43A7">
        <w:rPr>
          <w:rFonts w:ascii="Arial Narrow" w:eastAsia="Times New Roman" w:hAnsi="Arial Narrow" w:cs="Arial"/>
          <w:sz w:val="14"/>
          <w:szCs w:val="20"/>
        </w:rPr>
        <w:t xml:space="preserve"> Saldo Cartera hipotecaria bruta.</w:t>
      </w:r>
    </w:p>
    <w:p w:rsidR="007E7823" w:rsidRPr="003D43A7" w:rsidRDefault="007E7823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14"/>
          <w:szCs w:val="20"/>
        </w:rPr>
      </w:pPr>
    </w:p>
    <w:p w:rsidR="00AC24D1" w:rsidRPr="003D43A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arrow" w:eastAsia="Times New Roman" w:hAnsi="Arial Narrow" w:cs="Arial"/>
          <w:sz w:val="2"/>
          <w:szCs w:val="20"/>
        </w:rPr>
      </w:pPr>
    </w:p>
    <w:tbl>
      <w:tblPr>
        <w:tblW w:w="913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320"/>
        <w:gridCol w:w="1320"/>
        <w:gridCol w:w="1320"/>
        <w:gridCol w:w="1320"/>
        <w:gridCol w:w="1320"/>
      </w:tblGrid>
      <w:tr w:rsidR="00DA599F" w:rsidRPr="00DA599F" w:rsidTr="00DA599F">
        <w:trPr>
          <w:trHeight w:val="315"/>
          <w:jc w:val="center"/>
        </w:trPr>
        <w:tc>
          <w:tcPr>
            <w:tcW w:w="9130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Gestión operativa</w:t>
            </w:r>
          </w:p>
        </w:tc>
      </w:tr>
      <w:tr w:rsidR="00DA599F" w:rsidRPr="00DA599F" w:rsidTr="00DA599F">
        <w:trPr>
          <w:trHeight w:val="315"/>
          <w:jc w:val="center"/>
        </w:trPr>
        <w:tc>
          <w:tcPr>
            <w:tcW w:w="9130" w:type="dxa"/>
            <w:gridSpan w:val="6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Período diciembre 2012-2016</w:t>
            </w:r>
          </w:p>
        </w:tc>
      </w:tr>
      <w:tr w:rsidR="00DA599F" w:rsidRPr="00DA599F" w:rsidTr="00DA599F">
        <w:trPr>
          <w:trHeight w:val="315"/>
          <w:jc w:val="center"/>
        </w:trPr>
        <w:tc>
          <w:tcPr>
            <w:tcW w:w="9130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(monto en miles de US$)</w:t>
            </w:r>
          </w:p>
        </w:tc>
      </w:tr>
      <w:tr w:rsidR="00DA599F" w:rsidRPr="00DA599F" w:rsidTr="00DA599F">
        <w:trPr>
          <w:trHeight w:val="315"/>
          <w:jc w:val="center"/>
        </w:trPr>
        <w:tc>
          <w:tcPr>
            <w:tcW w:w="2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Recursos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2016</w:t>
            </w:r>
          </w:p>
        </w:tc>
      </w:tr>
      <w:tr w:rsidR="00DA599F" w:rsidRPr="00DA599F" w:rsidTr="00DA599F">
        <w:trPr>
          <w:trHeight w:val="420"/>
          <w:jc w:val="center"/>
        </w:trPr>
        <w:tc>
          <w:tcPr>
            <w:tcW w:w="2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Recuperación de cuotas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$120,585.0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$127,091.4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$128,230.8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$134,099.1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$140,472.7</w:t>
            </w:r>
          </w:p>
        </w:tc>
      </w:tr>
      <w:tr w:rsidR="00DA599F" w:rsidRPr="00DA599F" w:rsidTr="00DA599F">
        <w:trPr>
          <w:trHeight w:val="420"/>
          <w:jc w:val="center"/>
        </w:trPr>
        <w:tc>
          <w:tcPr>
            <w:tcW w:w="2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Ingresos de cotizaciones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$11.2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$10.6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$9.4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$12.7</w:t>
            </w:r>
          </w:p>
        </w:tc>
      </w:tr>
      <w:tr w:rsidR="00DA599F" w:rsidRPr="00DA599F" w:rsidTr="00DA599F">
        <w:trPr>
          <w:trHeight w:val="420"/>
          <w:jc w:val="center"/>
        </w:trPr>
        <w:tc>
          <w:tcPr>
            <w:tcW w:w="25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Colocación de Títulos valores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$22,500.0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$18,725.3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$12,599.0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$13,762.9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Total Créditos otorgados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5,895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6,415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7,559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5,941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$83,436.2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$93,573.6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$93,693.6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$143,266.6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$115,365.5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Vivienda nueva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1,546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$29,875.6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$38,046.8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$37,229.3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$59,166.2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$47,800.8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Vivienda usada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3,232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$42,565.7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$43,437.9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$44,439.2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$70,699.5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$55,306.4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Viviendas del FSV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817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$7,116.6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$8,105.2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$8,078.8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$8,091.8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$8,248.6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Otras líneas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346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25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$3,878.4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$3,983.6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$3,946.3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$5,309.0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$4,009.7</w:t>
            </w:r>
          </w:p>
        </w:tc>
      </w:tr>
    </w:tbl>
    <w:p w:rsidR="0022427E" w:rsidRPr="003D43A7" w:rsidRDefault="0022427E" w:rsidP="0022427E">
      <w:pPr>
        <w:spacing w:after="0" w:line="240" w:lineRule="auto"/>
        <w:ind w:left="851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</w:p>
    <w:p w:rsidR="0022427E" w:rsidRPr="003D43A7" w:rsidRDefault="0022427E" w:rsidP="0022427E">
      <w:pPr>
        <w:spacing w:after="0" w:line="240" w:lineRule="auto"/>
        <w:ind w:left="851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22427E" w:rsidRPr="003D43A7" w:rsidRDefault="0022427E">
      <w:pPr>
        <w:rPr>
          <w:rFonts w:ascii="Arial Narrow" w:eastAsia="Times New Roman" w:hAnsi="Arial Narrow" w:cs="Arial"/>
          <w:bCs/>
          <w:sz w:val="16"/>
          <w:szCs w:val="12"/>
        </w:rPr>
      </w:pPr>
      <w:r w:rsidRPr="003D43A7">
        <w:rPr>
          <w:rFonts w:ascii="Arial Narrow" w:eastAsia="Times New Roman" w:hAnsi="Arial Narrow" w:cs="Arial"/>
          <w:bCs/>
          <w:sz w:val="16"/>
          <w:szCs w:val="12"/>
        </w:rPr>
        <w:br w:type="page"/>
      </w:r>
    </w:p>
    <w:tbl>
      <w:tblPr>
        <w:tblW w:w="5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6"/>
        <w:gridCol w:w="1604"/>
      </w:tblGrid>
      <w:tr w:rsidR="00DA599F" w:rsidRPr="00DA599F" w:rsidTr="00DA599F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bookmarkStart w:id="0" w:name="RANGE!B1:C11"/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Estados Financieros</w:t>
            </w:r>
            <w:bookmarkEnd w:id="0"/>
          </w:p>
        </w:tc>
      </w:tr>
      <w:tr w:rsidR="00DA599F" w:rsidRPr="00DA599F" w:rsidTr="00DA599F">
        <w:trPr>
          <w:trHeight w:val="255"/>
          <w:jc w:val="center"/>
        </w:trPr>
        <w:tc>
          <w:tcPr>
            <w:tcW w:w="506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 xml:space="preserve">Al mes de </w:t>
            </w:r>
            <w:r w:rsidR="0012041C" w:rsidRPr="00DA599F">
              <w:rPr>
                <w:rFonts w:ascii="Calibri" w:eastAsia="Times New Roman" w:hAnsi="Calibri" w:cs="Calibri"/>
                <w:sz w:val="18"/>
                <w:szCs w:val="18"/>
              </w:rPr>
              <w:t xml:space="preserve">diciembre </w:t>
            </w: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2016</w:t>
            </w:r>
          </w:p>
        </w:tc>
      </w:tr>
      <w:tr w:rsidR="00DA599F" w:rsidRPr="00DA599F" w:rsidTr="00DA599F">
        <w:trPr>
          <w:trHeight w:val="255"/>
          <w:jc w:val="center"/>
        </w:trPr>
        <w:tc>
          <w:tcPr>
            <w:tcW w:w="50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(monto en miles de US$)</w:t>
            </w:r>
          </w:p>
        </w:tc>
      </w:tr>
      <w:tr w:rsidR="00DA599F" w:rsidRPr="00DA599F" w:rsidTr="00DA599F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Balance general</w:t>
            </w:r>
          </w:p>
        </w:tc>
      </w:tr>
      <w:tr w:rsidR="00DA599F" w:rsidRPr="00DA599F" w:rsidTr="00DA599F">
        <w:trPr>
          <w:trHeight w:val="255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Activo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$871,422.1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Pasivo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$487,265.9</w:t>
            </w:r>
          </w:p>
        </w:tc>
      </w:tr>
      <w:tr w:rsidR="00DA599F" w:rsidRPr="00DA599F" w:rsidTr="00DA599F">
        <w:trPr>
          <w:trHeight w:val="345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Patrimonio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$384,156.2</w:t>
            </w:r>
          </w:p>
        </w:tc>
      </w:tr>
      <w:tr w:rsidR="00DA599F" w:rsidRPr="00DA599F" w:rsidTr="00DA599F">
        <w:trPr>
          <w:trHeight w:val="255"/>
          <w:jc w:val="center"/>
        </w:trPr>
        <w:tc>
          <w:tcPr>
            <w:tcW w:w="5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Estado de Resultados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Ingresos de Operación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$101,943.6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Gastos de Operación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$69,615.4</w:t>
            </w:r>
          </w:p>
        </w:tc>
      </w:tr>
      <w:tr w:rsidR="00DA599F" w:rsidRPr="00DA599F" w:rsidTr="00DA599F">
        <w:trPr>
          <w:trHeight w:val="360"/>
          <w:jc w:val="center"/>
        </w:trPr>
        <w:tc>
          <w:tcPr>
            <w:tcW w:w="3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sz w:val="18"/>
                <w:szCs w:val="18"/>
              </w:rPr>
              <w:t>Superávit del Ejercicio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DA599F" w:rsidRPr="00DA599F" w:rsidRDefault="00DA599F" w:rsidP="00DA5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59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$32,328.2</w:t>
            </w:r>
          </w:p>
        </w:tc>
      </w:tr>
    </w:tbl>
    <w:p w:rsidR="00C9603D" w:rsidRPr="003D43A7" w:rsidRDefault="00C9603D" w:rsidP="00C9603D">
      <w:pPr>
        <w:spacing w:after="0" w:line="240" w:lineRule="auto"/>
        <w:ind w:left="3119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Fuente:</w:t>
      </w:r>
    </w:p>
    <w:p w:rsidR="00C9603D" w:rsidRPr="003D43A7" w:rsidRDefault="00C9603D" w:rsidP="00C9603D">
      <w:pPr>
        <w:spacing w:after="0" w:line="240" w:lineRule="auto"/>
        <w:ind w:left="3119"/>
        <w:rPr>
          <w:rFonts w:ascii="Arial Narrow" w:eastAsia="Times New Roman" w:hAnsi="Arial Narrow" w:cs="Arial"/>
          <w:sz w:val="14"/>
          <w:szCs w:val="20"/>
        </w:rPr>
      </w:pPr>
      <w:r w:rsidRPr="003D43A7">
        <w:rPr>
          <w:rFonts w:ascii="Arial Narrow" w:eastAsia="Times New Roman" w:hAnsi="Arial Narrow" w:cs="Arial"/>
          <w:sz w:val="14"/>
          <w:szCs w:val="20"/>
        </w:rPr>
        <w:t>Monitor de Operaciones, Gerencia de Planificación, FSV.</w:t>
      </w:r>
    </w:p>
    <w:p w:rsidR="008D179F" w:rsidRPr="003D43A7" w:rsidRDefault="008D179F" w:rsidP="00894D40">
      <w:pPr>
        <w:ind w:left="426"/>
        <w:jc w:val="center"/>
        <w:rPr>
          <w:rFonts w:ascii="Arial Narrow" w:eastAsia="Times New Roman" w:hAnsi="Arial Narrow" w:cs="Arial"/>
          <w:bCs/>
          <w:sz w:val="16"/>
          <w:szCs w:val="12"/>
        </w:rPr>
      </w:pPr>
    </w:p>
    <w:p w:rsidR="00F37E7C" w:rsidRPr="003D43A7" w:rsidRDefault="00DA599F" w:rsidP="007E49C1">
      <w:pPr>
        <w:jc w:val="center"/>
        <w:rPr>
          <w:rFonts w:ascii="Arial Narrow" w:eastAsia="Times New Roman" w:hAnsi="Arial Narrow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23ED369" wp14:editId="1F4156D6">
            <wp:extent cx="4899212" cy="463952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37E7C" w:rsidRPr="003D43A7" w:rsidSect="00BE6A16">
      <w:pgSz w:w="11907" w:h="16839" w:code="9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594E"/>
    <w:rsid w:val="00005F4E"/>
    <w:rsid w:val="00010700"/>
    <w:rsid w:val="00011AB0"/>
    <w:rsid w:val="00015D48"/>
    <w:rsid w:val="00017C0A"/>
    <w:rsid w:val="00017D52"/>
    <w:rsid w:val="00017EC8"/>
    <w:rsid w:val="000238D3"/>
    <w:rsid w:val="000251A3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7B1"/>
    <w:rsid w:val="000B1E96"/>
    <w:rsid w:val="000C4BF3"/>
    <w:rsid w:val="000C65DF"/>
    <w:rsid w:val="000D500F"/>
    <w:rsid w:val="000D514A"/>
    <w:rsid w:val="000D7AC3"/>
    <w:rsid w:val="000E23E4"/>
    <w:rsid w:val="000E4B46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9F7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D0BC6"/>
    <w:rsid w:val="002D196A"/>
    <w:rsid w:val="002D242F"/>
    <w:rsid w:val="002D2D9F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145F1"/>
    <w:rsid w:val="00317DFE"/>
    <w:rsid w:val="003200DB"/>
    <w:rsid w:val="003206F2"/>
    <w:rsid w:val="00322704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655"/>
    <w:rsid w:val="00353863"/>
    <w:rsid w:val="00354789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3930"/>
    <w:rsid w:val="00394E0F"/>
    <w:rsid w:val="00397352"/>
    <w:rsid w:val="003A6FCD"/>
    <w:rsid w:val="003A7C29"/>
    <w:rsid w:val="003B15F9"/>
    <w:rsid w:val="003C7465"/>
    <w:rsid w:val="003C77DF"/>
    <w:rsid w:val="003D43A7"/>
    <w:rsid w:val="003D48AB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47C7"/>
    <w:rsid w:val="00434D27"/>
    <w:rsid w:val="00436F7E"/>
    <w:rsid w:val="00446D05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39C7"/>
    <w:rsid w:val="004A3B0C"/>
    <w:rsid w:val="004A6CF9"/>
    <w:rsid w:val="004B5C2C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36984"/>
    <w:rsid w:val="00536A63"/>
    <w:rsid w:val="00540B20"/>
    <w:rsid w:val="00542684"/>
    <w:rsid w:val="005454A5"/>
    <w:rsid w:val="00550F06"/>
    <w:rsid w:val="0055332B"/>
    <w:rsid w:val="0055479F"/>
    <w:rsid w:val="00570AD5"/>
    <w:rsid w:val="00571A1A"/>
    <w:rsid w:val="005839B6"/>
    <w:rsid w:val="00586CE7"/>
    <w:rsid w:val="0059311C"/>
    <w:rsid w:val="0059341C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49CC"/>
    <w:rsid w:val="00630CD3"/>
    <w:rsid w:val="0063123B"/>
    <w:rsid w:val="00636E5D"/>
    <w:rsid w:val="0064080A"/>
    <w:rsid w:val="006460C2"/>
    <w:rsid w:val="006464C7"/>
    <w:rsid w:val="006522CD"/>
    <w:rsid w:val="006554C2"/>
    <w:rsid w:val="00662305"/>
    <w:rsid w:val="00666FA3"/>
    <w:rsid w:val="00670F5F"/>
    <w:rsid w:val="0067199A"/>
    <w:rsid w:val="0067794C"/>
    <w:rsid w:val="0068065F"/>
    <w:rsid w:val="00681C79"/>
    <w:rsid w:val="00684223"/>
    <w:rsid w:val="00684DF7"/>
    <w:rsid w:val="0068605B"/>
    <w:rsid w:val="00691BB8"/>
    <w:rsid w:val="0069290E"/>
    <w:rsid w:val="00693428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17D8"/>
    <w:rsid w:val="00771BAF"/>
    <w:rsid w:val="00771EEF"/>
    <w:rsid w:val="00780CB2"/>
    <w:rsid w:val="00783A19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7DD"/>
    <w:rsid w:val="00836983"/>
    <w:rsid w:val="0084063A"/>
    <w:rsid w:val="00840B20"/>
    <w:rsid w:val="00841C66"/>
    <w:rsid w:val="008554BC"/>
    <w:rsid w:val="00855E83"/>
    <w:rsid w:val="00863A6F"/>
    <w:rsid w:val="00875C3B"/>
    <w:rsid w:val="008812ED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7672"/>
    <w:rsid w:val="008D7A5B"/>
    <w:rsid w:val="008E036A"/>
    <w:rsid w:val="008E6E54"/>
    <w:rsid w:val="008F08A1"/>
    <w:rsid w:val="008F1105"/>
    <w:rsid w:val="008F15EA"/>
    <w:rsid w:val="008F2993"/>
    <w:rsid w:val="008F2D24"/>
    <w:rsid w:val="008F3793"/>
    <w:rsid w:val="008F5CEE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30EF5"/>
    <w:rsid w:val="00933067"/>
    <w:rsid w:val="0093376A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6B00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32EF"/>
    <w:rsid w:val="00A34CB5"/>
    <w:rsid w:val="00A4202C"/>
    <w:rsid w:val="00A439FA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B17"/>
    <w:rsid w:val="00AA4547"/>
    <w:rsid w:val="00AA494F"/>
    <w:rsid w:val="00AA7627"/>
    <w:rsid w:val="00AB05C5"/>
    <w:rsid w:val="00AB0E1E"/>
    <w:rsid w:val="00AB6DA1"/>
    <w:rsid w:val="00AC0C97"/>
    <w:rsid w:val="00AC24D1"/>
    <w:rsid w:val="00AC3CA2"/>
    <w:rsid w:val="00AC5922"/>
    <w:rsid w:val="00AC5E2C"/>
    <w:rsid w:val="00AD22B3"/>
    <w:rsid w:val="00AD488B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C6C"/>
    <w:rsid w:val="00B20595"/>
    <w:rsid w:val="00B20722"/>
    <w:rsid w:val="00B326A0"/>
    <w:rsid w:val="00B33105"/>
    <w:rsid w:val="00B37AD2"/>
    <w:rsid w:val="00B400AD"/>
    <w:rsid w:val="00B46E73"/>
    <w:rsid w:val="00B56530"/>
    <w:rsid w:val="00B577A8"/>
    <w:rsid w:val="00B76918"/>
    <w:rsid w:val="00B76A66"/>
    <w:rsid w:val="00B8022E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2B5D"/>
    <w:rsid w:val="00BB32FB"/>
    <w:rsid w:val="00BB3D0A"/>
    <w:rsid w:val="00BB5190"/>
    <w:rsid w:val="00BB6655"/>
    <w:rsid w:val="00BC0EA1"/>
    <w:rsid w:val="00BC4F60"/>
    <w:rsid w:val="00BC5DDA"/>
    <w:rsid w:val="00BC7158"/>
    <w:rsid w:val="00BD6116"/>
    <w:rsid w:val="00BE4C86"/>
    <w:rsid w:val="00BE6A16"/>
    <w:rsid w:val="00BE7E4D"/>
    <w:rsid w:val="00BF390F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51E2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4297"/>
    <w:rsid w:val="00D80502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10BE"/>
    <w:rsid w:val="00E77BB3"/>
    <w:rsid w:val="00E82D68"/>
    <w:rsid w:val="00E8355B"/>
    <w:rsid w:val="00E83BCA"/>
    <w:rsid w:val="00E865E5"/>
    <w:rsid w:val="00E91C89"/>
    <w:rsid w:val="00E94BE1"/>
    <w:rsid w:val="00E94C8A"/>
    <w:rsid w:val="00E96905"/>
    <w:rsid w:val="00E97367"/>
    <w:rsid w:val="00EA34FD"/>
    <w:rsid w:val="00EB1787"/>
    <w:rsid w:val="00EB41F4"/>
    <w:rsid w:val="00EB4419"/>
    <w:rsid w:val="00EB546B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7704"/>
    <w:rsid w:val="00F2021B"/>
    <w:rsid w:val="00F20366"/>
    <w:rsid w:val="00F20A9B"/>
    <w:rsid w:val="00F22105"/>
    <w:rsid w:val="00F23D58"/>
    <w:rsid w:val="00F3058A"/>
    <w:rsid w:val="00F3161B"/>
    <w:rsid w:val="00F31BF3"/>
    <w:rsid w:val="00F31F3E"/>
    <w:rsid w:val="00F34198"/>
    <w:rsid w:val="00F34C96"/>
    <w:rsid w:val="00F34DB3"/>
    <w:rsid w:val="00F37E7C"/>
    <w:rsid w:val="00F40D48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</a:t>
            </a:r>
          </a:p>
          <a:p>
            <a:pPr>
              <a:defRPr/>
            </a:pPr>
            <a:r>
              <a:rPr lang="es-SV"/>
              <a:t>Enero - diciembre 2016</a:t>
            </a:r>
          </a:p>
        </c:rich>
      </c:tx>
      <c:layout>
        <c:manualLayout>
          <c:xMode val="edge"/>
          <c:yMode val="edge"/>
          <c:x val="0.3752158510389017"/>
          <c:y val="4.8369874469772728E-2"/>
        </c:manualLayout>
      </c:layout>
      <c:overlay val="1"/>
    </c:title>
    <c:autoTitleDeleted val="0"/>
    <c:view3D>
      <c:rotX val="70"/>
      <c:hPercent val="30"/>
      <c:rotY val="110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544369176104237E-2"/>
          <c:y val="0.14708310342449221"/>
          <c:w val="0.80958162251398791"/>
          <c:h val="0.713244473566231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 prstMaterial="metal"/>
          </c:spPr>
          <c:explosion val="7"/>
          <c:dPt>
            <c:idx val="0"/>
            <c:bubble3D val="0"/>
            <c:spPr>
              <a:solidFill>
                <a:srgbClr val="FF9966"/>
              </a:solidFill>
              <a:ln w="7620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etal"/>
            </c:spPr>
          </c:dPt>
          <c:dPt>
            <c:idx val="1"/>
            <c:bubble3D val="0"/>
            <c:explosion val="2"/>
            <c:spPr>
              <a:solidFill>
                <a:srgbClr val="CCCC00"/>
              </a:solidFill>
              <a:ln w="7620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etal"/>
            </c:spPr>
          </c:dPt>
          <c:dPt>
            <c:idx val="2"/>
            <c:bubble3D val="0"/>
            <c:spPr>
              <a:solidFill>
                <a:srgbClr val="99CCFF"/>
              </a:solidFill>
              <a:ln w="7620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etal"/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7620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etal"/>
            </c:spPr>
          </c:dPt>
          <c:dLbls>
            <c:dLbl>
              <c:idx val="0"/>
              <c:layout>
                <c:manualLayout>
                  <c:x val="-0.18791797538053059"/>
                  <c:y val="-0.108672017794944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8686858213116723"/>
                  <c:y val="1.3383712108149119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9272846327123627E-2"/>
                  <c:y val="-8.4546030623857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7059988422627965E-2"/>
                  <c:y val="4.30268648480877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dLblPos val="bestFit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1546</c:v>
                </c:pt>
                <c:pt idx="1">
                  <c:v>3232</c:v>
                </c:pt>
                <c:pt idx="2">
                  <c:v>817</c:v>
                </c:pt>
                <c:pt idx="3">
                  <c:v>346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 pitchFamily="34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814BD4-FF51-4E65-B969-33490A3E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1585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Área de Planeación</cp:lastModifiedBy>
  <cp:revision>94</cp:revision>
  <cp:lastPrinted>2015-05-25T16:27:00Z</cp:lastPrinted>
  <dcterms:created xsi:type="dcterms:W3CDTF">2014-04-08T20:56:00Z</dcterms:created>
  <dcterms:modified xsi:type="dcterms:W3CDTF">2017-01-27T20:14:00Z</dcterms:modified>
</cp:coreProperties>
</file>