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dr w:val="none" w:sz="0" w:space="0" w:color="auto" w:frame="1"/>
        </w:rPr>
      </w:pP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dr w:val="none" w:sz="0" w:space="0" w:color="auto" w:frame="1"/>
        </w:rPr>
      </w:pP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Century Gothic" w:hAnsi="Century Gothic"/>
          <w:bdr w:val="none" w:sz="0" w:space="0" w:color="auto" w:frame="1"/>
        </w:rPr>
      </w:pPr>
      <w:r w:rsidRPr="007B0F3D">
        <w:rPr>
          <w:rFonts w:ascii="Calibri" w:eastAsia="Calibri" w:hAnsi="Calibri"/>
          <w:noProof/>
          <w:color w:val="5B9BD5"/>
          <w:sz w:val="28"/>
          <w:szCs w:val="28"/>
        </w:rPr>
        <w:drawing>
          <wp:inline distT="0" distB="0" distL="0" distR="0" wp14:anchorId="7D60AB21" wp14:editId="009208BA">
            <wp:extent cx="1511935" cy="316865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Century Gothic" w:hAnsi="Century Gothic"/>
          <w:bdr w:val="none" w:sz="0" w:space="0" w:color="auto" w:frame="1"/>
        </w:rPr>
      </w:pP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Century Gothic" w:hAnsi="Century Gothic"/>
          <w:bdr w:val="none" w:sz="0" w:space="0" w:color="auto" w:frame="1"/>
        </w:rPr>
      </w:pPr>
    </w:p>
    <w:p w:rsidR="00CE728F" w:rsidRP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bdr w:val="none" w:sz="0" w:space="0" w:color="auto" w:frame="1"/>
        </w:rPr>
      </w:pPr>
      <w:r w:rsidRPr="00CE728F">
        <w:rPr>
          <w:rFonts w:ascii="Century Gothic" w:hAnsi="Century Gothic"/>
          <w:b/>
          <w:bdr w:val="none" w:sz="0" w:space="0" w:color="auto" w:frame="1"/>
        </w:rPr>
        <w:t>RESPUESTA:</w:t>
      </w: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dr w:val="none" w:sz="0" w:space="0" w:color="auto" w:frame="1"/>
        </w:rPr>
      </w:pPr>
    </w:p>
    <w:p w:rsidR="00CE728F" w:rsidRP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/>
          <w:i/>
          <w:bdr w:val="none" w:sz="0" w:space="0" w:color="auto" w:frame="1"/>
        </w:rPr>
      </w:pPr>
      <w:r>
        <w:rPr>
          <w:rFonts w:ascii="Century Gothic" w:hAnsi="Century Gothic"/>
          <w:b/>
          <w:i/>
          <w:bdr w:val="none" w:sz="0" w:space="0" w:color="auto" w:frame="1"/>
        </w:rPr>
        <w:t>Referencia de R</w:t>
      </w:r>
      <w:r w:rsidRPr="00CE728F">
        <w:rPr>
          <w:rFonts w:ascii="Century Gothic" w:hAnsi="Century Gothic"/>
          <w:b/>
          <w:i/>
          <w:bdr w:val="none" w:sz="0" w:space="0" w:color="auto" w:frame="1"/>
        </w:rPr>
        <w:t>espuesta de la Unidad administrativa competente</w:t>
      </w:r>
      <w:r>
        <w:rPr>
          <w:rFonts w:ascii="Century Gothic" w:hAnsi="Century Gothic"/>
          <w:b/>
          <w:i/>
          <w:bdr w:val="none" w:sz="0" w:space="0" w:color="auto" w:frame="1"/>
        </w:rPr>
        <w:t xml:space="preserve"> (GT)</w:t>
      </w:r>
      <w:r w:rsidRPr="00CE728F">
        <w:rPr>
          <w:rFonts w:ascii="Century Gothic" w:hAnsi="Century Gothic"/>
          <w:b/>
          <w:i/>
          <w:bdr w:val="none" w:sz="0" w:space="0" w:color="auto" w:frame="1"/>
        </w:rPr>
        <w:t>:</w:t>
      </w: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dr w:val="none" w:sz="0" w:space="0" w:color="auto" w:frame="1"/>
        </w:rPr>
      </w:pP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  <w:bdr w:val="none" w:sz="0" w:space="0" w:color="auto" w:frame="1"/>
        </w:rPr>
      </w:pPr>
      <w:r w:rsidRPr="00CE728F">
        <w:rPr>
          <w:rFonts w:ascii="Century Gothic" w:hAnsi="Century Gothic"/>
          <w:bdr w:val="none" w:sz="0" w:space="0" w:color="auto" w:frame="1"/>
        </w:rPr>
        <w:t xml:space="preserve">Adjunto detalle de inversión ejecutada en los años 2016 a 2019 y programada para 2020, de las rutas SAN19W, tramos A y B: Santa Rosa </w:t>
      </w:r>
      <w:proofErr w:type="spellStart"/>
      <w:r w:rsidRPr="00CE728F">
        <w:rPr>
          <w:rFonts w:ascii="Century Gothic" w:hAnsi="Century Gothic"/>
          <w:bdr w:val="none" w:sz="0" w:space="0" w:color="auto" w:frame="1"/>
        </w:rPr>
        <w:t>Guachipilin</w:t>
      </w:r>
      <w:proofErr w:type="spellEnd"/>
      <w:r w:rsidRPr="00CE728F">
        <w:rPr>
          <w:rFonts w:ascii="Century Gothic" w:hAnsi="Century Gothic"/>
          <w:bdr w:val="none" w:sz="0" w:space="0" w:color="auto" w:frame="1"/>
        </w:rPr>
        <w:t xml:space="preserve">- </w:t>
      </w:r>
      <w:proofErr w:type="spellStart"/>
      <w:r w:rsidRPr="00CE728F">
        <w:rPr>
          <w:rFonts w:ascii="Century Gothic" w:hAnsi="Century Gothic"/>
          <w:bdr w:val="none" w:sz="0" w:space="0" w:color="auto" w:frame="1"/>
        </w:rPr>
        <w:t>Masahuat</w:t>
      </w:r>
      <w:proofErr w:type="spellEnd"/>
      <w:r w:rsidRPr="00CE728F">
        <w:rPr>
          <w:rFonts w:ascii="Century Gothic" w:hAnsi="Century Gothic"/>
          <w:bdr w:val="none" w:sz="0" w:space="0" w:color="auto" w:frame="1"/>
        </w:rPr>
        <w:t xml:space="preserve"> – </w:t>
      </w:r>
      <w:proofErr w:type="spellStart"/>
      <w:r w:rsidRPr="00CE728F">
        <w:rPr>
          <w:rFonts w:ascii="Century Gothic" w:hAnsi="Century Gothic"/>
          <w:bdr w:val="none" w:sz="0" w:space="0" w:color="auto" w:frame="1"/>
        </w:rPr>
        <w:t>Guajoyo</w:t>
      </w:r>
      <w:proofErr w:type="spellEnd"/>
      <w:r w:rsidRPr="00CE728F">
        <w:rPr>
          <w:rFonts w:ascii="Century Gothic" w:hAnsi="Century Gothic"/>
          <w:bdr w:val="none" w:sz="0" w:space="0" w:color="auto" w:frame="1"/>
        </w:rPr>
        <w:t xml:space="preserve">, y SAN21E, tramos A y B: La Ceibita – Santa Rosa Guachipilín – Cantón El </w:t>
      </w:r>
      <w:proofErr w:type="spellStart"/>
      <w:r w:rsidRPr="00CE728F">
        <w:rPr>
          <w:rFonts w:ascii="Century Gothic" w:hAnsi="Century Gothic"/>
          <w:bdr w:val="none" w:sz="0" w:space="0" w:color="auto" w:frame="1"/>
        </w:rPr>
        <w:t>Matazano</w:t>
      </w:r>
      <w:proofErr w:type="spellEnd"/>
      <w:r w:rsidRPr="00CE728F">
        <w:rPr>
          <w:rFonts w:ascii="Century Gothic" w:hAnsi="Century Gothic"/>
          <w:bdr w:val="none" w:sz="0" w:space="0" w:color="auto" w:frame="1"/>
        </w:rPr>
        <w:t>.</w:t>
      </w:r>
      <w:r>
        <w:rPr>
          <w:rFonts w:ascii="Century Gothic" w:hAnsi="Century Gothic"/>
          <w:bdr w:val="none" w:sz="0" w:space="0" w:color="auto" w:frame="1"/>
        </w:rPr>
        <w:t xml:space="preserve"> (CUADRO ADJUNTO CON DETALLE DE INVERSIO POR AÑO)</w:t>
      </w:r>
      <w:bookmarkStart w:id="0" w:name="_GoBack"/>
      <w:bookmarkEnd w:id="0"/>
    </w:p>
    <w:p w:rsidR="00CE728F" w:rsidRP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</w:rPr>
      </w:pPr>
    </w:p>
    <w:p w:rsidR="00CE728F" w:rsidRPr="00CE728F" w:rsidRDefault="00CE728F" w:rsidP="00CE728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</w:rPr>
      </w:pPr>
      <w:r w:rsidRPr="00CE728F">
        <w:rPr>
          <w:rFonts w:ascii="Century Gothic" w:hAnsi="Century Gothic"/>
          <w:bdr w:val="none" w:sz="0" w:space="0" w:color="auto" w:frame="1"/>
        </w:rPr>
        <w:t>En cuanto a solicitud de carpetas técnicas de proyectos para las rutas, FOVIAL no formula carpetas técnicas por ruta, solo realiza programas de mantenimiento rutinario anual por grupos de vías y zonas; las rutas detalladas forman parte del grupo 7-1 de vías no pavimentadas ubicadas en la zona 3A de El Salvador.</w:t>
      </w:r>
    </w:p>
    <w:p w:rsidR="00CE728F" w:rsidRDefault="00CE728F" w:rsidP="00CE728F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4930A7" w:rsidRDefault="004930A7"/>
    <w:sectPr w:rsidR="004930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8F"/>
    <w:rsid w:val="004930A7"/>
    <w:rsid w:val="00CE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EF89CE-EEF8-44D5-8DBA-1CC9017E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7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594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Xiomara Guardado</dc:creator>
  <cp:keywords/>
  <dc:description/>
  <cp:lastModifiedBy>Xiomara Guardado</cp:lastModifiedBy>
  <cp:revision>1</cp:revision>
  <dcterms:created xsi:type="dcterms:W3CDTF">2020-02-11T20:00:00Z</dcterms:created>
  <dcterms:modified xsi:type="dcterms:W3CDTF">2020-02-11T20:06:00Z</dcterms:modified>
</cp:coreProperties>
</file>