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85AF7" w14:textId="77777777" w:rsidR="00EB21D1" w:rsidRDefault="00EB21D1" w:rsidP="007C1A4E">
      <w:pPr>
        <w:pStyle w:val="Encabezado"/>
        <w:ind w:left="-540"/>
        <w:jc w:val="center"/>
        <w:rPr>
          <w:rFonts w:ascii="Arial" w:hAnsi="Arial" w:cs="Arial"/>
          <w:b/>
          <w:sz w:val="22"/>
          <w:szCs w:val="22"/>
        </w:rPr>
      </w:pPr>
    </w:p>
    <w:p w14:paraId="1206932B" w14:textId="77777777" w:rsidR="00EB21D1" w:rsidRDefault="00EB21D1" w:rsidP="007C1A4E">
      <w:pPr>
        <w:pStyle w:val="Encabezado"/>
        <w:ind w:left="-540"/>
        <w:jc w:val="center"/>
        <w:rPr>
          <w:rFonts w:ascii="Arial" w:hAnsi="Arial" w:cs="Arial"/>
          <w:b/>
          <w:sz w:val="22"/>
          <w:szCs w:val="22"/>
        </w:rPr>
      </w:pPr>
    </w:p>
    <w:p w14:paraId="21489F81" w14:textId="77777777" w:rsidR="007C1A4E" w:rsidRPr="00224388" w:rsidRDefault="007C1A4E" w:rsidP="007C1A4E">
      <w:pPr>
        <w:pStyle w:val="Encabezado"/>
        <w:ind w:left="-540"/>
        <w:jc w:val="center"/>
        <w:rPr>
          <w:rFonts w:ascii="Arial" w:hAnsi="Arial" w:cs="Arial"/>
          <w:sz w:val="22"/>
          <w:szCs w:val="22"/>
        </w:rPr>
      </w:pPr>
      <w:r w:rsidRPr="00224388">
        <w:rPr>
          <w:rFonts w:ascii="Arial" w:hAnsi="Arial" w:cs="Arial"/>
          <w:b/>
          <w:sz w:val="22"/>
          <w:szCs w:val="22"/>
        </w:rPr>
        <w:t>FONDO SALVADOREÑO PARA ESTUDIOS DE PREINVERSIÓN</w:t>
      </w:r>
    </w:p>
    <w:p w14:paraId="7A1BEB41" w14:textId="77777777" w:rsidR="007C1A4E" w:rsidRPr="00224388" w:rsidRDefault="007C1A4E" w:rsidP="007C1A4E">
      <w:pPr>
        <w:pStyle w:val="Encabezado"/>
        <w:rPr>
          <w:rFonts w:ascii="Arial" w:hAnsi="Arial" w:cs="Arial"/>
          <w:sz w:val="22"/>
          <w:szCs w:val="22"/>
        </w:rPr>
      </w:pPr>
    </w:p>
    <w:p w14:paraId="1C1D2330" w14:textId="1B30796D" w:rsidR="007C1A4E" w:rsidRPr="00EB21D1" w:rsidRDefault="007C1A4E" w:rsidP="007C1A4E">
      <w:pPr>
        <w:jc w:val="right"/>
        <w:rPr>
          <w:rFonts w:ascii="Arial" w:hAnsi="Arial" w:cs="Arial"/>
          <w:b/>
          <w:iCs/>
          <w:sz w:val="22"/>
          <w:szCs w:val="22"/>
        </w:rPr>
      </w:pPr>
      <w:r w:rsidRPr="00EB21D1">
        <w:rPr>
          <w:rFonts w:ascii="Arial" w:hAnsi="Arial" w:cs="Arial"/>
          <w:b/>
          <w:iCs/>
          <w:sz w:val="22"/>
          <w:szCs w:val="22"/>
        </w:rPr>
        <w:t>ST</w:t>
      </w:r>
      <w:r w:rsidR="0007325B" w:rsidRPr="00EB21D1">
        <w:rPr>
          <w:rFonts w:ascii="Arial" w:hAnsi="Arial" w:cs="Arial"/>
          <w:b/>
          <w:iCs/>
          <w:sz w:val="22"/>
          <w:szCs w:val="22"/>
        </w:rPr>
        <w:t xml:space="preserve">- </w:t>
      </w:r>
      <w:r w:rsidR="007C1EF6">
        <w:rPr>
          <w:rFonts w:ascii="Arial" w:hAnsi="Arial" w:cs="Arial"/>
          <w:b/>
          <w:iCs/>
          <w:sz w:val="22"/>
          <w:szCs w:val="22"/>
        </w:rPr>
        <w:t>041</w:t>
      </w:r>
      <w:r w:rsidR="0007325B" w:rsidRPr="00EB21D1">
        <w:rPr>
          <w:rFonts w:ascii="Arial" w:hAnsi="Arial" w:cs="Arial"/>
          <w:b/>
          <w:iCs/>
          <w:sz w:val="22"/>
          <w:szCs w:val="22"/>
        </w:rPr>
        <w:t>/</w:t>
      </w:r>
      <w:r w:rsidR="007C1EF6">
        <w:rPr>
          <w:rFonts w:ascii="Arial" w:hAnsi="Arial" w:cs="Arial"/>
          <w:b/>
          <w:iCs/>
          <w:sz w:val="22"/>
          <w:szCs w:val="22"/>
        </w:rPr>
        <w:t>2021</w:t>
      </w:r>
      <w:bookmarkStart w:id="0" w:name="_GoBack"/>
      <w:bookmarkEnd w:id="0"/>
    </w:p>
    <w:p w14:paraId="24DBA49B" w14:textId="77777777" w:rsidR="007C1A4E" w:rsidRPr="00224388" w:rsidRDefault="007C1A4E" w:rsidP="007C1A4E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EB21D1">
        <w:rPr>
          <w:rFonts w:ascii="Arial" w:hAnsi="Arial" w:cs="Arial"/>
          <w:b/>
          <w:iCs/>
          <w:sz w:val="22"/>
          <w:szCs w:val="22"/>
        </w:rPr>
        <w:t>MEMORANDO</w:t>
      </w:r>
    </w:p>
    <w:p w14:paraId="1946A2AE" w14:textId="77777777" w:rsidR="007C1A4E" w:rsidRPr="00224388" w:rsidRDefault="007C1A4E" w:rsidP="007C1A4E">
      <w:pPr>
        <w:jc w:val="center"/>
        <w:rPr>
          <w:rFonts w:ascii="Arial" w:hAnsi="Arial" w:cs="Arial"/>
          <w:iCs/>
          <w:sz w:val="22"/>
          <w:szCs w:val="22"/>
        </w:rPr>
      </w:pPr>
    </w:p>
    <w:p w14:paraId="45DBB4EB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>PARA:</w:t>
      </w:r>
      <w:r w:rsidRPr="00224388">
        <w:rPr>
          <w:rFonts w:ascii="Arial" w:hAnsi="Arial" w:cs="Arial"/>
          <w:iCs/>
          <w:sz w:val="22"/>
          <w:szCs w:val="22"/>
        </w:rPr>
        <w:tab/>
        <w:t>Ing. José Orlando Guillen</w:t>
      </w:r>
    </w:p>
    <w:p w14:paraId="18B86EB2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ab/>
        <w:t xml:space="preserve">Oficial de Información </w:t>
      </w:r>
    </w:p>
    <w:p w14:paraId="767B558A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</w:p>
    <w:p w14:paraId="748D75C8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>CC</w:t>
      </w:r>
      <w:r w:rsidRPr="00224388">
        <w:rPr>
          <w:rFonts w:ascii="Arial" w:hAnsi="Arial" w:cs="Arial"/>
          <w:iCs/>
          <w:sz w:val="22"/>
          <w:szCs w:val="22"/>
        </w:rPr>
        <w:tab/>
        <w:t>Ing. Herbert Portillo</w:t>
      </w:r>
    </w:p>
    <w:p w14:paraId="71EC7429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ab/>
        <w:t>Gerente</w:t>
      </w:r>
    </w:p>
    <w:p w14:paraId="17314880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</w:p>
    <w:p w14:paraId="58B716DD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 xml:space="preserve">DE: </w:t>
      </w:r>
      <w:r w:rsidRPr="00224388">
        <w:rPr>
          <w:rFonts w:ascii="Arial" w:hAnsi="Arial" w:cs="Arial"/>
          <w:iCs/>
          <w:sz w:val="22"/>
          <w:szCs w:val="22"/>
        </w:rPr>
        <w:tab/>
        <w:t xml:space="preserve">Ing. </w:t>
      </w:r>
      <w:r w:rsidR="009D5A63">
        <w:rPr>
          <w:rFonts w:ascii="Arial" w:hAnsi="Arial" w:cs="Arial"/>
          <w:iCs/>
          <w:sz w:val="22"/>
          <w:szCs w:val="22"/>
        </w:rPr>
        <w:t>Silvia Patricia Girón de Mena</w:t>
      </w:r>
    </w:p>
    <w:p w14:paraId="02F4F741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ab/>
        <w:t>Subgerente Técnic</w:t>
      </w:r>
      <w:r w:rsidR="009D5A63">
        <w:rPr>
          <w:rFonts w:ascii="Arial" w:hAnsi="Arial" w:cs="Arial"/>
          <w:iCs/>
          <w:sz w:val="22"/>
          <w:szCs w:val="22"/>
        </w:rPr>
        <w:t>o</w:t>
      </w:r>
    </w:p>
    <w:p w14:paraId="0ABE195C" w14:textId="77777777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</w:p>
    <w:p w14:paraId="39DFA05D" w14:textId="77777777" w:rsidR="007C1A4E" w:rsidRPr="00224388" w:rsidRDefault="007C1A4E" w:rsidP="007C1A4E">
      <w:pPr>
        <w:tabs>
          <w:tab w:val="left" w:pos="2394"/>
          <w:tab w:val="center" w:pos="4560"/>
        </w:tabs>
        <w:ind w:left="2268" w:right="570" w:hanging="1417"/>
        <w:jc w:val="both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 xml:space="preserve">ASUNTO: </w:t>
      </w:r>
      <w:r w:rsidRPr="00224388">
        <w:rPr>
          <w:rFonts w:ascii="Arial" w:hAnsi="Arial" w:cs="Arial"/>
          <w:iCs/>
          <w:sz w:val="22"/>
          <w:szCs w:val="22"/>
        </w:rPr>
        <w:tab/>
        <w:t xml:space="preserve">Respuesta a solicitud de información </w:t>
      </w:r>
    </w:p>
    <w:p w14:paraId="5317D442" w14:textId="77777777" w:rsidR="007C1A4E" w:rsidRPr="00224388" w:rsidRDefault="007C1A4E" w:rsidP="007C1A4E">
      <w:pPr>
        <w:ind w:left="2127" w:hanging="1418"/>
        <w:jc w:val="both"/>
        <w:rPr>
          <w:rFonts w:ascii="Arial" w:hAnsi="Arial" w:cs="Arial"/>
          <w:iCs/>
          <w:sz w:val="22"/>
          <w:szCs w:val="22"/>
        </w:rPr>
      </w:pPr>
    </w:p>
    <w:p w14:paraId="5436D9A4" w14:textId="014A0833" w:rsidR="007C1A4E" w:rsidRPr="00224388" w:rsidRDefault="007C1A4E" w:rsidP="007C1A4E">
      <w:pPr>
        <w:ind w:left="2268" w:hanging="1417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 xml:space="preserve">FECHA:   </w:t>
      </w:r>
      <w:r w:rsidRPr="00224388">
        <w:rPr>
          <w:rFonts w:ascii="Arial" w:hAnsi="Arial" w:cs="Arial"/>
          <w:iCs/>
          <w:sz w:val="22"/>
          <w:szCs w:val="22"/>
        </w:rPr>
        <w:tab/>
      </w:r>
      <w:r w:rsidR="009B616D">
        <w:rPr>
          <w:rFonts w:ascii="Arial" w:hAnsi="Arial" w:cs="Arial"/>
          <w:iCs/>
          <w:sz w:val="22"/>
          <w:szCs w:val="22"/>
        </w:rPr>
        <w:t>26</w:t>
      </w:r>
      <w:r w:rsidRPr="00224388">
        <w:rPr>
          <w:rFonts w:ascii="Arial" w:hAnsi="Arial" w:cs="Arial"/>
          <w:iCs/>
          <w:sz w:val="22"/>
          <w:szCs w:val="22"/>
        </w:rPr>
        <w:t xml:space="preserve"> de </w:t>
      </w:r>
      <w:r w:rsidR="009B616D">
        <w:rPr>
          <w:rFonts w:ascii="Arial" w:hAnsi="Arial" w:cs="Arial"/>
          <w:iCs/>
          <w:sz w:val="22"/>
          <w:szCs w:val="22"/>
        </w:rPr>
        <w:t>enero</w:t>
      </w:r>
      <w:r w:rsidRPr="00224388">
        <w:rPr>
          <w:rFonts w:ascii="Arial" w:hAnsi="Arial" w:cs="Arial"/>
          <w:iCs/>
          <w:sz w:val="22"/>
          <w:szCs w:val="22"/>
        </w:rPr>
        <w:t xml:space="preserve"> de </w:t>
      </w:r>
      <w:r w:rsidR="009B616D">
        <w:rPr>
          <w:rFonts w:ascii="Arial" w:hAnsi="Arial" w:cs="Arial"/>
          <w:iCs/>
          <w:sz w:val="22"/>
          <w:szCs w:val="22"/>
        </w:rPr>
        <w:t>2021</w:t>
      </w:r>
      <w:r w:rsidRPr="00224388">
        <w:rPr>
          <w:rFonts w:ascii="Arial" w:hAnsi="Arial" w:cs="Arial"/>
          <w:iCs/>
          <w:sz w:val="22"/>
          <w:szCs w:val="22"/>
        </w:rPr>
        <w:t xml:space="preserve">     </w:t>
      </w:r>
    </w:p>
    <w:p w14:paraId="57485779" w14:textId="77777777" w:rsidR="007C1A4E" w:rsidRPr="00224388" w:rsidRDefault="007C1A4E" w:rsidP="007C1A4E">
      <w:pPr>
        <w:ind w:left="2160" w:hanging="1440"/>
        <w:rPr>
          <w:rFonts w:ascii="Arial" w:hAnsi="Arial" w:cs="Arial"/>
          <w:iCs/>
          <w:sz w:val="22"/>
          <w:szCs w:val="22"/>
        </w:rPr>
      </w:pPr>
    </w:p>
    <w:p w14:paraId="0D509035" w14:textId="77777777" w:rsidR="007C1A4E" w:rsidRPr="00224388" w:rsidRDefault="007C1A4E" w:rsidP="007C1A4E">
      <w:pPr>
        <w:ind w:left="2160" w:hanging="1440"/>
        <w:rPr>
          <w:rFonts w:ascii="Arial" w:hAnsi="Arial" w:cs="Arial"/>
          <w:b/>
          <w:iCs/>
          <w:sz w:val="22"/>
          <w:szCs w:val="22"/>
        </w:rPr>
      </w:pPr>
      <w:r w:rsidRPr="00224388">
        <w:rPr>
          <w:rFonts w:ascii="Arial" w:hAnsi="Arial" w:cs="Arial"/>
          <w:b/>
          <w:iCs/>
          <w:sz w:val="22"/>
          <w:szCs w:val="22"/>
        </w:rPr>
        <w:t>*******************************************************************</w:t>
      </w:r>
    </w:p>
    <w:p w14:paraId="5F6F28AA" w14:textId="7B29384A" w:rsidR="001F29FC" w:rsidRDefault="007C1A4E" w:rsidP="009D5A63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  <w:r w:rsidRPr="00224388">
        <w:rPr>
          <w:rFonts w:ascii="Arial" w:hAnsi="Arial" w:cs="Arial"/>
          <w:iCs/>
          <w:sz w:val="22"/>
          <w:szCs w:val="22"/>
        </w:rPr>
        <w:t xml:space="preserve">Respondiendo a su solicitud </w:t>
      </w:r>
      <w:r w:rsidR="00C5335B">
        <w:rPr>
          <w:rFonts w:ascii="Arial" w:hAnsi="Arial" w:cs="Arial"/>
          <w:iCs/>
          <w:sz w:val="22"/>
          <w:szCs w:val="22"/>
        </w:rPr>
        <w:t>de memo OI-</w:t>
      </w:r>
      <w:r w:rsidR="009B616D">
        <w:rPr>
          <w:rFonts w:ascii="Arial" w:hAnsi="Arial" w:cs="Arial"/>
          <w:iCs/>
          <w:sz w:val="22"/>
          <w:szCs w:val="22"/>
        </w:rPr>
        <w:t>39</w:t>
      </w:r>
      <w:r w:rsidR="00C5335B">
        <w:rPr>
          <w:rFonts w:ascii="Arial" w:hAnsi="Arial" w:cs="Arial"/>
          <w:iCs/>
          <w:sz w:val="22"/>
          <w:szCs w:val="22"/>
        </w:rPr>
        <w:t>/</w:t>
      </w:r>
      <w:r w:rsidR="00E81898">
        <w:rPr>
          <w:rFonts w:ascii="Arial" w:hAnsi="Arial" w:cs="Arial"/>
          <w:iCs/>
          <w:sz w:val="22"/>
          <w:szCs w:val="22"/>
        </w:rPr>
        <w:t>202</w:t>
      </w:r>
      <w:r w:rsidR="009B616D">
        <w:rPr>
          <w:rFonts w:ascii="Arial" w:hAnsi="Arial" w:cs="Arial"/>
          <w:iCs/>
          <w:sz w:val="22"/>
          <w:szCs w:val="22"/>
        </w:rPr>
        <w:t>1</w:t>
      </w:r>
      <w:r w:rsidR="009D5A63">
        <w:rPr>
          <w:rFonts w:ascii="Arial" w:hAnsi="Arial" w:cs="Arial"/>
          <w:iCs/>
          <w:sz w:val="22"/>
          <w:szCs w:val="22"/>
        </w:rPr>
        <w:t>,</w:t>
      </w:r>
      <w:r w:rsidR="00417828">
        <w:rPr>
          <w:rFonts w:ascii="Arial" w:hAnsi="Arial" w:cs="Arial"/>
          <w:iCs/>
          <w:sz w:val="22"/>
          <w:szCs w:val="22"/>
        </w:rPr>
        <w:t xml:space="preserve"> le </w:t>
      </w:r>
      <w:r w:rsidR="009B616D">
        <w:rPr>
          <w:rFonts w:ascii="Arial" w:hAnsi="Arial" w:cs="Arial"/>
          <w:iCs/>
          <w:sz w:val="22"/>
          <w:szCs w:val="22"/>
        </w:rPr>
        <w:t>remito la siguiente respuesta:</w:t>
      </w:r>
    </w:p>
    <w:p w14:paraId="77615741" w14:textId="6C5D59DD" w:rsidR="009B616D" w:rsidRDefault="009B616D" w:rsidP="009D5A63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</w:p>
    <w:p w14:paraId="544D59DC" w14:textId="0277976A" w:rsidR="009B616D" w:rsidRDefault="009B616D" w:rsidP="009D5A63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El manual de Procedimientos </w:t>
      </w:r>
      <w:r w:rsidR="00BF3148">
        <w:rPr>
          <w:rFonts w:ascii="Arial" w:hAnsi="Arial" w:cs="Arial"/>
          <w:iCs/>
          <w:sz w:val="22"/>
          <w:szCs w:val="22"/>
        </w:rPr>
        <w:t xml:space="preserve">detalla procedimientos internos </w:t>
      </w:r>
      <w:r w:rsidR="00E135E9">
        <w:rPr>
          <w:rFonts w:ascii="Arial" w:hAnsi="Arial" w:cs="Arial"/>
          <w:iCs/>
          <w:sz w:val="22"/>
          <w:szCs w:val="22"/>
        </w:rPr>
        <w:t xml:space="preserve">administrativos </w:t>
      </w:r>
      <w:r w:rsidR="00BF3148">
        <w:rPr>
          <w:rFonts w:ascii="Arial" w:hAnsi="Arial" w:cs="Arial"/>
          <w:iCs/>
          <w:sz w:val="22"/>
          <w:szCs w:val="22"/>
        </w:rPr>
        <w:t>para el financiamiento de estudios de preinversión. Tomando en cuenta que la consulta planteada va orientada a conocer los lineamientos que se aplican en nuestro contexto, a través de los estudios de preinversión, se considera que lo requerido en la consulta no se encuentra en el manual de procedimientos del FOSEP.</w:t>
      </w:r>
    </w:p>
    <w:p w14:paraId="0CF77B2A" w14:textId="77777777" w:rsidR="00BF3148" w:rsidRDefault="00BF3148" w:rsidP="00BF3148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</w:p>
    <w:p w14:paraId="628B133F" w14:textId="3FD72371" w:rsidR="00E81898" w:rsidRDefault="00BF3148" w:rsidP="009D5A63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El FOSEP e</w:t>
      </w:r>
      <w:r w:rsidRPr="00BF3148">
        <w:rPr>
          <w:rFonts w:ascii="Arial" w:hAnsi="Arial" w:cs="Arial"/>
          <w:iCs/>
          <w:sz w:val="22"/>
          <w:szCs w:val="22"/>
        </w:rPr>
        <w:t xml:space="preserve">s una </w:t>
      </w:r>
      <w:r w:rsidR="00075D63">
        <w:rPr>
          <w:rFonts w:ascii="Arial" w:hAnsi="Arial" w:cs="Arial"/>
          <w:iCs/>
          <w:sz w:val="22"/>
          <w:szCs w:val="22"/>
        </w:rPr>
        <w:t>i</w:t>
      </w:r>
      <w:r w:rsidRPr="00BF3148">
        <w:rPr>
          <w:rFonts w:ascii="Arial" w:hAnsi="Arial" w:cs="Arial"/>
          <w:iCs/>
          <w:sz w:val="22"/>
          <w:szCs w:val="22"/>
        </w:rPr>
        <w:t xml:space="preserve">nstitución </w:t>
      </w:r>
      <w:r w:rsidR="00075D63">
        <w:rPr>
          <w:rFonts w:ascii="Arial" w:hAnsi="Arial" w:cs="Arial"/>
          <w:iCs/>
          <w:sz w:val="22"/>
          <w:szCs w:val="22"/>
        </w:rPr>
        <w:t>f</w:t>
      </w:r>
      <w:r w:rsidRPr="00BF3148">
        <w:rPr>
          <w:rFonts w:ascii="Arial" w:hAnsi="Arial" w:cs="Arial"/>
          <w:iCs/>
          <w:sz w:val="22"/>
          <w:szCs w:val="22"/>
        </w:rPr>
        <w:t>inanciera que concede recursos financieros en calidad de préstamos a los sectores público y privado para realizar consultorías, con el objeto de que sus inversiones sean las óptimas o que éstas tengan la certidumbre para llevar adelante una idea de proyecto.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F3148">
        <w:rPr>
          <w:rFonts w:ascii="Arial" w:hAnsi="Arial" w:cs="Arial"/>
          <w:iCs/>
          <w:sz w:val="22"/>
          <w:szCs w:val="22"/>
        </w:rPr>
        <w:t>Para el caso del sector público, la política de crédito del FOSEP está en armonía con la política de preinversión e inversión del Estado, teniendo como requisito la Autorización de la Operación de Crédito del Ministerio de Hacienda.</w:t>
      </w:r>
      <w:r>
        <w:rPr>
          <w:rFonts w:ascii="Arial" w:hAnsi="Arial" w:cs="Arial"/>
          <w:iCs/>
          <w:sz w:val="22"/>
          <w:szCs w:val="22"/>
        </w:rPr>
        <w:t xml:space="preserve"> Por lo que se considera que la institución que puede brindar información en materia de instrumentos y normativa, relacionado al Proceso de Inversión Pública es el Ministerio de Hacienda a través de la Dirección General de Inversión y Crédito Público, la cual coordina el proceso de Inversión Pública.</w:t>
      </w:r>
    </w:p>
    <w:p w14:paraId="3B7769B6" w14:textId="77777777" w:rsidR="00075D63" w:rsidRDefault="00075D63" w:rsidP="009D5A63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</w:p>
    <w:p w14:paraId="7B0ED762" w14:textId="6FA73B98" w:rsidR="00E81898" w:rsidRDefault="00E81898" w:rsidP="009D5A63">
      <w:pPr>
        <w:tabs>
          <w:tab w:val="center" w:pos="4560"/>
        </w:tabs>
        <w:spacing w:line="360" w:lineRule="auto"/>
        <w:ind w:right="4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Atentamente,</w:t>
      </w:r>
    </w:p>
    <w:sectPr w:rsidR="00E81898" w:rsidSect="0022438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17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18E2" w14:textId="77777777" w:rsidR="009A500A" w:rsidRDefault="009A500A">
      <w:r>
        <w:separator/>
      </w:r>
    </w:p>
  </w:endnote>
  <w:endnote w:type="continuationSeparator" w:id="0">
    <w:p w14:paraId="45E3061A" w14:textId="77777777" w:rsidR="009A500A" w:rsidRDefault="009A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5267"/>
      <w:docPartObj>
        <w:docPartGallery w:val="Page Numbers (Bottom of Page)"/>
        <w:docPartUnique/>
      </w:docPartObj>
    </w:sdtPr>
    <w:sdtEndPr/>
    <w:sdtContent>
      <w:p w14:paraId="3B53D971" w14:textId="77777777" w:rsidR="001B6D7B" w:rsidRDefault="00B2582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2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9A3E3" w14:textId="77777777" w:rsidR="001B6D7B" w:rsidRDefault="007C1E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91313" w14:textId="77777777" w:rsidR="009A500A" w:rsidRDefault="009A500A">
      <w:r>
        <w:separator/>
      </w:r>
    </w:p>
  </w:footnote>
  <w:footnote w:type="continuationSeparator" w:id="0">
    <w:p w14:paraId="14A217AE" w14:textId="77777777" w:rsidR="009A500A" w:rsidRDefault="009A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BF39" w14:textId="77777777" w:rsidR="001B6D7B" w:rsidRDefault="00B2582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0EE092" w14:textId="77777777" w:rsidR="001B6D7B" w:rsidRDefault="007C1EF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9D27" w14:textId="77777777" w:rsidR="001B6D7B" w:rsidRDefault="007C1EF6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FF024" w14:textId="77777777" w:rsidR="001B6D7B" w:rsidRDefault="00B2582C">
    <w:pPr>
      <w:pStyle w:val="Encabezado"/>
    </w:pPr>
    <w:r w:rsidRPr="00BE37C5">
      <w:rPr>
        <w:noProof/>
        <w:lang w:eastAsia="es-SV"/>
      </w:rPr>
      <w:drawing>
        <wp:inline distT="0" distB="0" distL="0" distR="0" wp14:anchorId="47BCBFDE" wp14:editId="2F1986F5">
          <wp:extent cx="688236" cy="584200"/>
          <wp:effectExtent l="0" t="0" r="0" b="6350"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81" cy="589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3C8146" w14:textId="77777777" w:rsidR="001B6D7B" w:rsidRDefault="007C1E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0E8D"/>
    <w:multiLevelType w:val="hybridMultilevel"/>
    <w:tmpl w:val="B20E772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3575"/>
    <w:multiLevelType w:val="hybridMultilevel"/>
    <w:tmpl w:val="FED004F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4E"/>
    <w:rsid w:val="0007325B"/>
    <w:rsid w:val="00075D63"/>
    <w:rsid w:val="000B3040"/>
    <w:rsid w:val="001F29FC"/>
    <w:rsid w:val="00224388"/>
    <w:rsid w:val="002675E9"/>
    <w:rsid w:val="002A245A"/>
    <w:rsid w:val="00417828"/>
    <w:rsid w:val="0043055E"/>
    <w:rsid w:val="00447190"/>
    <w:rsid w:val="004B2CF2"/>
    <w:rsid w:val="00522AB3"/>
    <w:rsid w:val="00562374"/>
    <w:rsid w:val="005D15F2"/>
    <w:rsid w:val="006C4381"/>
    <w:rsid w:val="006C457A"/>
    <w:rsid w:val="0072178E"/>
    <w:rsid w:val="007C1A4E"/>
    <w:rsid w:val="007C1EF6"/>
    <w:rsid w:val="00822AA4"/>
    <w:rsid w:val="008815FF"/>
    <w:rsid w:val="009A500A"/>
    <w:rsid w:val="009B616D"/>
    <w:rsid w:val="009D5A63"/>
    <w:rsid w:val="00AC3F23"/>
    <w:rsid w:val="00B16300"/>
    <w:rsid w:val="00B2582C"/>
    <w:rsid w:val="00BB25D3"/>
    <w:rsid w:val="00BF3148"/>
    <w:rsid w:val="00C5335B"/>
    <w:rsid w:val="00C66D0C"/>
    <w:rsid w:val="00C92AF1"/>
    <w:rsid w:val="00D4001E"/>
    <w:rsid w:val="00E135E9"/>
    <w:rsid w:val="00E22AB7"/>
    <w:rsid w:val="00E81898"/>
    <w:rsid w:val="00E92B95"/>
    <w:rsid w:val="00EB21D1"/>
    <w:rsid w:val="00FB061E"/>
    <w:rsid w:val="00FC5A0B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B30A"/>
  <w15:chartTrackingRefBased/>
  <w15:docId w15:val="{1B13265A-0C5B-4190-ACC2-5AA2C94B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A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C1A4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1A4E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semiHidden/>
    <w:rsid w:val="007C1A4E"/>
  </w:style>
  <w:style w:type="paragraph" w:styleId="Piedepgina">
    <w:name w:val="footer"/>
    <w:basedOn w:val="Normal"/>
    <w:link w:val="PiedepginaCar"/>
    <w:uiPriority w:val="99"/>
    <w:rsid w:val="007C1A4E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sz w:val="24"/>
      <w:lang w:val="es-ES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1A4E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7C1A4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3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3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de Mira</dc:creator>
  <cp:keywords/>
  <dc:description/>
  <cp:lastModifiedBy>Orlando Guillen</cp:lastModifiedBy>
  <cp:revision>2</cp:revision>
  <cp:lastPrinted>2021-01-26T21:41:00Z</cp:lastPrinted>
  <dcterms:created xsi:type="dcterms:W3CDTF">2021-01-26T22:14:00Z</dcterms:created>
  <dcterms:modified xsi:type="dcterms:W3CDTF">2021-01-26T22:14:00Z</dcterms:modified>
</cp:coreProperties>
</file>