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071F4" wp14:editId="2FB06C77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65B3" w:rsidRPr="00B1274D" w:rsidRDefault="002265B3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2265B3" w:rsidRPr="00B1274D" w:rsidRDefault="002265B3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2340C8" w:rsidRDefault="002340C8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82095E">
      <w:pPr>
        <w:tabs>
          <w:tab w:val="left" w:pos="4145"/>
        </w:tabs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Pr="002340C8" w:rsidRDefault="002340C8" w:rsidP="002340C8">
      <w:pPr>
        <w:jc w:val="center"/>
        <w:rPr>
          <w:rFonts w:ascii="Calibri" w:hAnsi="Calibri"/>
          <w:b/>
          <w:color w:val="0000FF"/>
          <w:sz w:val="30"/>
          <w:szCs w:val="30"/>
        </w:rPr>
      </w:pPr>
      <w:r w:rsidRPr="002340C8">
        <w:rPr>
          <w:rFonts w:ascii="Calibri" w:hAnsi="Calibri"/>
          <w:b/>
          <w:bCs/>
          <w:sz w:val="30"/>
          <w:szCs w:val="30"/>
        </w:rPr>
        <w:t>PROCEDIMIENTO DE ACCESO A LA INFORMACIÓN PÚBLICA DEL FOSAFFI</w:t>
      </w: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2340C8" w:rsidRDefault="002340C8" w:rsidP="006F521F">
      <w:pPr>
        <w:jc w:val="both"/>
        <w:rPr>
          <w:rFonts w:ascii="Calibri" w:hAnsi="Calibri"/>
          <w:b/>
          <w:color w:val="0000FF"/>
        </w:rPr>
      </w:pPr>
    </w:p>
    <w:p w:rsidR="002340C8" w:rsidRDefault="002340C8" w:rsidP="006F521F">
      <w:pPr>
        <w:jc w:val="both"/>
        <w:rPr>
          <w:rFonts w:ascii="Calibri" w:hAnsi="Calibri"/>
          <w:b/>
          <w:color w:val="0000FF"/>
        </w:rPr>
      </w:pPr>
    </w:p>
    <w:p w:rsidR="002340C8" w:rsidRDefault="002340C8" w:rsidP="006F521F">
      <w:pPr>
        <w:jc w:val="both"/>
        <w:rPr>
          <w:rFonts w:ascii="Calibri" w:hAnsi="Calibri"/>
          <w:b/>
          <w:color w:val="0000FF"/>
        </w:rPr>
      </w:pPr>
    </w:p>
    <w:p w:rsidR="002340C8" w:rsidRDefault="002340C8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tbl>
      <w:tblPr>
        <w:tblStyle w:val="Cuadrcula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54"/>
      </w:tblGrid>
      <w:tr w:rsidR="00652A29" w:rsidTr="00DF7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DF7D59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</w:rPr>
            </w:pPr>
            <w:r w:rsidRPr="00DF7D59">
              <w:rPr>
                <w:rFonts w:ascii="Calibri" w:hAnsi="Calibri"/>
                <w:b w:val="0"/>
                <w:color w:val="FFFFFF" w:themeColor="background1"/>
              </w:rPr>
              <w:t>Proceso:</w:t>
            </w:r>
          </w:p>
        </w:tc>
        <w:tc>
          <w:tcPr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F7D59" w:rsidRDefault="0058557F" w:rsidP="006F5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>Comunicación</w:t>
            </w:r>
          </w:p>
        </w:tc>
      </w:tr>
      <w:tr w:rsidR="00652A29" w:rsidTr="00DF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DF7D59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</w:rPr>
            </w:pPr>
            <w:r w:rsidRPr="00DF7D59">
              <w:rPr>
                <w:rFonts w:ascii="Calibri" w:hAnsi="Calibri"/>
                <w:b w:val="0"/>
                <w:color w:val="FFFFFF" w:themeColor="background1"/>
              </w:rPr>
              <w:t>Sub proceso</w:t>
            </w:r>
            <w:r w:rsidR="00D62539" w:rsidRPr="00DF7D59">
              <w:rPr>
                <w:rFonts w:ascii="Calibri" w:hAnsi="Calibri"/>
                <w:b w:val="0"/>
                <w:color w:val="FFFFFF" w:themeColor="background1"/>
              </w:rPr>
              <w:t>:</w:t>
            </w:r>
          </w:p>
        </w:tc>
        <w:tc>
          <w:tcPr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F7D59" w:rsidRDefault="004F39DE" w:rsidP="006F5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Acceso a la Información </w:t>
            </w:r>
          </w:p>
        </w:tc>
      </w:tr>
    </w:tbl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184357" w:rsidRDefault="00184357">
      <w:pPr>
        <w:spacing w:after="200" w:line="276" w:lineRule="auto"/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br w:type="page"/>
      </w:r>
    </w:p>
    <w:p w:rsidR="00C92A78" w:rsidRPr="00F00804" w:rsidRDefault="006F521F" w:rsidP="00F92BAA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000000" w:themeColor="text1"/>
          <w:sz w:val="22"/>
          <w:szCs w:val="22"/>
        </w:rPr>
      </w:pPr>
      <w:bookmarkStart w:id="0" w:name="_Toc393362169"/>
      <w:bookmarkStart w:id="1" w:name="_Toc397329146"/>
      <w:r w:rsidRPr="00F00804">
        <w:rPr>
          <w:rFonts w:asciiTheme="minorHAnsi" w:hAnsiTheme="minorHAnsi" w:cs="Arial"/>
          <w:bCs w:val="0"/>
          <w:color w:val="000000" w:themeColor="text1"/>
          <w:sz w:val="22"/>
          <w:szCs w:val="22"/>
        </w:rPr>
        <w:lastRenderedPageBreak/>
        <w:t>GENERALIDADES</w:t>
      </w:r>
      <w:bookmarkEnd w:id="0"/>
      <w:bookmarkEnd w:id="1"/>
    </w:p>
    <w:p w:rsidR="00F92BAA" w:rsidRPr="00F00804" w:rsidRDefault="00F92BAA" w:rsidP="00F92BAA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6F521F" w:rsidRPr="00F00804" w:rsidRDefault="006F521F" w:rsidP="006F521F">
      <w:pPr>
        <w:pStyle w:val="Ttulo2"/>
        <w:rPr>
          <w:rFonts w:asciiTheme="minorHAnsi" w:hAnsiTheme="minorHAnsi" w:cs="Arial"/>
          <w:color w:val="000000" w:themeColor="text1"/>
          <w:sz w:val="22"/>
          <w:szCs w:val="22"/>
        </w:rPr>
      </w:pPr>
      <w:bookmarkStart w:id="2" w:name="_Toc396465192"/>
      <w:bookmarkStart w:id="3" w:name="_Toc397329148"/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1.</w:t>
      </w:r>
      <w:r w:rsidR="00B1274D" w:rsidRPr="00F00804">
        <w:rPr>
          <w:rFonts w:asciiTheme="minorHAnsi" w:hAnsiTheme="minorHAnsi" w:cs="Arial"/>
          <w:color w:val="000000" w:themeColor="text1"/>
          <w:sz w:val="22"/>
          <w:szCs w:val="22"/>
        </w:rPr>
        <w:t>1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Objetivo</w:t>
      </w:r>
      <w:bookmarkEnd w:id="2"/>
      <w:bookmarkEnd w:id="3"/>
    </w:p>
    <w:p w:rsidR="004F39DE" w:rsidRPr="00F00804" w:rsidRDefault="004F39DE" w:rsidP="004F39DE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BE02ED" w:rsidRPr="00F00804" w:rsidRDefault="004F39DE" w:rsidP="00F92BAA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bookmarkStart w:id="4" w:name="_Toc396465193"/>
      <w:bookmarkStart w:id="5" w:name="_Toc397329149"/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Establecer </w:t>
      </w:r>
      <w:r w:rsidR="003B20E2" w:rsidRPr="00F00804">
        <w:rPr>
          <w:rFonts w:asciiTheme="minorHAnsi" w:hAnsiTheme="minorHAnsi" w:cs="Arial"/>
          <w:color w:val="000000" w:themeColor="text1"/>
          <w:sz w:val="22"/>
          <w:szCs w:val="22"/>
        </w:rPr>
        <w:t>las fases y actividades necesarias para la publicación de información</w:t>
      </w:r>
      <w:r w:rsidR="0039075F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oficiosa</w:t>
      </w:r>
      <w:r w:rsidR="003B20E2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y la atención de solicitudes en relación al acceso a la información pública de</w:t>
      </w:r>
      <w:r w:rsidR="002340C8">
        <w:rPr>
          <w:rFonts w:asciiTheme="minorHAnsi" w:hAnsiTheme="minorHAnsi" w:cs="Arial"/>
          <w:color w:val="000000" w:themeColor="text1"/>
          <w:sz w:val="22"/>
          <w:szCs w:val="22"/>
        </w:rPr>
        <w:t>l</w:t>
      </w:r>
      <w:r w:rsidR="003B20E2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FOSAFFI.</w:t>
      </w:r>
    </w:p>
    <w:p w:rsidR="006F521F" w:rsidRPr="00F00804" w:rsidRDefault="006F521F" w:rsidP="006F521F">
      <w:pPr>
        <w:pStyle w:val="Ttulo2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1.</w:t>
      </w:r>
      <w:r w:rsidR="00B1274D" w:rsidRPr="00F00804">
        <w:rPr>
          <w:rFonts w:asciiTheme="minorHAnsi" w:hAnsiTheme="minorHAnsi" w:cs="Arial"/>
          <w:color w:val="000000" w:themeColor="text1"/>
          <w:sz w:val="22"/>
          <w:szCs w:val="22"/>
        </w:rPr>
        <w:t>2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Base legal</w:t>
      </w:r>
      <w:bookmarkEnd w:id="4"/>
      <w:bookmarkEnd w:id="5"/>
    </w:p>
    <w:p w:rsidR="00F74BE3" w:rsidRPr="00F00804" w:rsidRDefault="00F74BE3" w:rsidP="008B4331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bookmarkStart w:id="6" w:name="_Toc396465194"/>
      <w:bookmarkStart w:id="7" w:name="_Toc397329150"/>
    </w:p>
    <w:p w:rsidR="00F74BE3" w:rsidRPr="00F00804" w:rsidRDefault="00F74BE3" w:rsidP="00F74BE3">
      <w:pPr>
        <w:pStyle w:val="CM8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804">
        <w:rPr>
          <w:rFonts w:asciiTheme="minorHAnsi" w:hAnsiTheme="minorHAnsi"/>
          <w:color w:val="000000" w:themeColor="text1"/>
          <w:sz w:val="22"/>
          <w:szCs w:val="22"/>
        </w:rPr>
        <w:t>Ley de Acceso a la Información Pública</w:t>
      </w:r>
      <w:r w:rsidR="002340C8">
        <w:rPr>
          <w:rFonts w:asciiTheme="minorHAnsi" w:hAnsiTheme="minorHAnsi"/>
          <w:color w:val="000000" w:themeColor="text1"/>
          <w:sz w:val="22"/>
          <w:szCs w:val="22"/>
        </w:rPr>
        <w:t>.</w:t>
      </w:r>
      <w:r w:rsidRPr="00F0080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773ADF" w:rsidRPr="00F00804" w:rsidRDefault="00773ADF" w:rsidP="00656C01">
      <w:pPr>
        <w:pStyle w:val="Prrafodelista"/>
        <w:numPr>
          <w:ilvl w:val="0"/>
          <w:numId w:val="20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Artículo 50 de la LAIP</w:t>
      </w:r>
      <w:r w:rsidR="002340C8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3C079E" w:rsidRPr="00F00804" w:rsidRDefault="003C079E" w:rsidP="003C079E">
      <w:pPr>
        <w:pStyle w:val="Prrafodelista"/>
        <w:numPr>
          <w:ilvl w:val="0"/>
          <w:numId w:val="20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Instrucciones para la clasificación de la información conforme a LAIP IAF027</w:t>
      </w:r>
      <w:r w:rsidR="002340C8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F74BE3" w:rsidRPr="00F00804" w:rsidRDefault="00656C01" w:rsidP="00656C01">
      <w:pPr>
        <w:pStyle w:val="CM8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804">
        <w:rPr>
          <w:rFonts w:asciiTheme="minorHAnsi" w:hAnsiTheme="minorHAnsi"/>
          <w:color w:val="000000" w:themeColor="text1"/>
          <w:sz w:val="22"/>
          <w:szCs w:val="22"/>
        </w:rPr>
        <w:t>Polític</w:t>
      </w:r>
      <w:r w:rsidR="002340C8">
        <w:rPr>
          <w:rFonts w:asciiTheme="minorHAnsi" w:hAnsiTheme="minorHAnsi"/>
          <w:color w:val="000000" w:themeColor="text1"/>
          <w:sz w:val="22"/>
          <w:szCs w:val="22"/>
        </w:rPr>
        <w:t>a de Comunicación Institucional.</w:t>
      </w:r>
      <w:r w:rsidRPr="00F0080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656C01" w:rsidRPr="00F00804" w:rsidRDefault="00656C01" w:rsidP="00656C01">
      <w:pPr>
        <w:pStyle w:val="CM8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804">
        <w:rPr>
          <w:rFonts w:asciiTheme="minorHAnsi" w:hAnsiTheme="minorHAnsi"/>
          <w:color w:val="000000" w:themeColor="text1"/>
          <w:sz w:val="22"/>
          <w:szCs w:val="22"/>
        </w:rPr>
        <w:t>Instructivos y/o Lineamientos del Instituto de Acceso a la Información Pública y Secretar</w:t>
      </w:r>
      <w:r w:rsidR="002340C8">
        <w:rPr>
          <w:rFonts w:asciiTheme="minorHAnsi" w:hAnsiTheme="minorHAnsi"/>
          <w:color w:val="000000" w:themeColor="text1"/>
          <w:sz w:val="22"/>
          <w:szCs w:val="22"/>
        </w:rPr>
        <w:t>í</w:t>
      </w:r>
      <w:r w:rsidRPr="00F00804">
        <w:rPr>
          <w:rFonts w:asciiTheme="minorHAnsi" w:hAnsiTheme="minorHAnsi"/>
          <w:color w:val="000000" w:themeColor="text1"/>
          <w:sz w:val="22"/>
          <w:szCs w:val="22"/>
        </w:rPr>
        <w:t>a de Participación Ciudadana Transparencia y Anticorrupción, Política de Participación Ciudadana.</w:t>
      </w:r>
    </w:p>
    <w:p w:rsidR="00BE02ED" w:rsidRPr="00F00804" w:rsidRDefault="00C27288" w:rsidP="002340C8">
      <w:pPr>
        <w:pStyle w:val="Prrafodelista"/>
        <w:widowControl w:val="0"/>
        <w:numPr>
          <w:ilvl w:val="0"/>
          <w:numId w:val="20"/>
        </w:numPr>
        <w:ind w:right="-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Mapa de Procesos Institucionales de</w:t>
      </w:r>
      <w:r w:rsidR="002340C8">
        <w:rPr>
          <w:rFonts w:asciiTheme="minorHAnsi" w:hAnsiTheme="minorHAnsi" w:cs="Arial"/>
          <w:color w:val="000000" w:themeColor="text1"/>
          <w:sz w:val="22"/>
          <w:szCs w:val="22"/>
        </w:rPr>
        <w:t xml:space="preserve"> P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rimer</w:t>
      </w:r>
      <w:r w:rsidR="002340C8">
        <w:rPr>
          <w:rFonts w:asciiTheme="minorHAnsi" w:hAnsiTheme="minorHAnsi" w:cs="Arial"/>
          <w:color w:val="000000" w:themeColor="text1"/>
          <w:sz w:val="22"/>
          <w:szCs w:val="22"/>
        </w:rPr>
        <w:t xml:space="preserve"> N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ivel, autorizado en Sesión</w:t>
      </w:r>
      <w:r w:rsidR="002340C8">
        <w:rPr>
          <w:rFonts w:asciiTheme="minorHAnsi" w:hAnsiTheme="minorHAnsi" w:cs="Arial"/>
          <w:color w:val="000000" w:themeColor="text1"/>
          <w:sz w:val="22"/>
          <w:szCs w:val="22"/>
        </w:rPr>
        <w:t xml:space="preserve"> de Comité Administrador No. 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CA-49/2017 del 14 de diciembre de 2017</w:t>
      </w:r>
      <w:r w:rsidRPr="00F0080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6F521F" w:rsidRPr="00F00804" w:rsidRDefault="006F521F" w:rsidP="006F521F">
      <w:pPr>
        <w:pStyle w:val="Ttulo2"/>
        <w:rPr>
          <w:rFonts w:asciiTheme="minorHAnsi" w:hAnsiTheme="minorHAnsi" w:cs="Arial"/>
          <w:b w:val="0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1.</w:t>
      </w:r>
      <w:r w:rsidR="00B1274D" w:rsidRPr="00F00804">
        <w:rPr>
          <w:rFonts w:asciiTheme="minorHAnsi" w:hAnsiTheme="minorHAnsi" w:cs="Arial"/>
          <w:color w:val="000000" w:themeColor="text1"/>
          <w:sz w:val="22"/>
          <w:szCs w:val="22"/>
        </w:rPr>
        <w:t>3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Ámbito de aplicación (alcance)</w:t>
      </w:r>
      <w:bookmarkEnd w:id="6"/>
      <w:bookmarkEnd w:id="7"/>
    </w:p>
    <w:p w:rsidR="006F521F" w:rsidRPr="00F00804" w:rsidRDefault="006F521F" w:rsidP="006F521F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250CF0" w:rsidRPr="00F00804" w:rsidRDefault="003B20E2" w:rsidP="006F521F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Este Procedimiento es aplicable a todas las actividades relativas a la publicación de información</w:t>
      </w:r>
      <w:r w:rsidR="00F74BE3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oficiosa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y al trámite de solicitudes que por su naturaleza deban atenderse conforme a disposiciones de la Ley de Acceso a la Información Pública.</w:t>
      </w:r>
    </w:p>
    <w:p w:rsidR="006F521F" w:rsidRPr="00F00804" w:rsidRDefault="006F521F" w:rsidP="00F915DB">
      <w:pPr>
        <w:pStyle w:val="Ttulo2"/>
        <w:rPr>
          <w:rFonts w:asciiTheme="minorHAnsi" w:hAnsiTheme="minorHAnsi" w:cs="Arial"/>
          <w:b w:val="0"/>
          <w:color w:val="000000" w:themeColor="text1"/>
          <w:sz w:val="22"/>
          <w:szCs w:val="22"/>
        </w:rPr>
      </w:pPr>
      <w:bookmarkStart w:id="8" w:name="_Toc396465195"/>
      <w:bookmarkStart w:id="9" w:name="_Toc397329151"/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1.</w:t>
      </w:r>
      <w:r w:rsidR="00B1274D" w:rsidRPr="00F00804">
        <w:rPr>
          <w:rFonts w:asciiTheme="minorHAnsi" w:hAnsiTheme="minorHAnsi" w:cs="Arial"/>
          <w:color w:val="000000" w:themeColor="text1"/>
          <w:sz w:val="22"/>
          <w:szCs w:val="22"/>
        </w:rPr>
        <w:t>4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Definiciones</w:t>
      </w:r>
      <w:bookmarkEnd w:id="8"/>
      <w:bookmarkEnd w:id="9"/>
    </w:p>
    <w:p w:rsidR="00FA27CE" w:rsidRPr="00F00804" w:rsidRDefault="00F915DB" w:rsidP="00FA27CE">
      <w:pPr>
        <w:pStyle w:val="Ttulo2"/>
        <w:jc w:val="both"/>
        <w:rPr>
          <w:rFonts w:asciiTheme="minorHAnsi" w:eastAsia="MS Mincho" w:hAnsiTheme="minorHAnsi" w:cs="Arial"/>
          <w:b w:val="0"/>
          <w:bCs w:val="0"/>
          <w:color w:val="000000" w:themeColor="text1"/>
          <w:sz w:val="22"/>
          <w:szCs w:val="22"/>
        </w:rPr>
      </w:pPr>
      <w:r w:rsidRPr="00F00804">
        <w:rPr>
          <w:rFonts w:asciiTheme="minorHAnsi" w:eastAsia="MS Mincho" w:hAnsiTheme="minorHAnsi" w:cs="Arial"/>
          <w:bCs w:val="0"/>
          <w:color w:val="000000" w:themeColor="text1"/>
          <w:sz w:val="22"/>
          <w:szCs w:val="22"/>
        </w:rPr>
        <w:t>Acceso a la información</w:t>
      </w:r>
      <w:r w:rsidRPr="00F00804">
        <w:rPr>
          <w:rFonts w:asciiTheme="minorHAnsi" w:eastAsia="MS Mincho" w:hAnsiTheme="minorHAnsi" w:cs="Arial"/>
          <w:b w:val="0"/>
          <w:bCs w:val="0"/>
          <w:color w:val="000000" w:themeColor="text1"/>
          <w:sz w:val="22"/>
          <w:szCs w:val="22"/>
        </w:rPr>
        <w:t>: El derecho al acceso a la información puede interpretarse dentro de los marcos jurídicos que respaldan la libertad de información en lo que respecta a la información que está en manos de los órganos públicos</w:t>
      </w:r>
      <w:r w:rsidR="001125C8" w:rsidRPr="00F00804">
        <w:rPr>
          <w:rFonts w:asciiTheme="minorHAnsi" w:eastAsia="MS Mincho" w:hAnsiTheme="minorHAnsi" w:cs="Arial"/>
          <w:b w:val="0"/>
          <w:bCs w:val="0"/>
          <w:color w:val="000000" w:themeColor="text1"/>
          <w:sz w:val="22"/>
          <w:szCs w:val="22"/>
        </w:rPr>
        <w:t>.</w:t>
      </w:r>
    </w:p>
    <w:p w:rsidR="00F92BAA" w:rsidRPr="00F00804" w:rsidRDefault="00F92BAA" w:rsidP="00F92BAA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F92BAA" w:rsidRPr="00F00804" w:rsidRDefault="00F92BAA" w:rsidP="00F92BAA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>Información pública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:</w:t>
      </w:r>
      <w:r w:rsidR="002340C8">
        <w:rPr>
          <w:rFonts w:asciiTheme="minorHAnsi" w:hAnsiTheme="minorHAnsi" w:cs="Arial"/>
          <w:color w:val="000000" w:themeColor="text1"/>
          <w:sz w:val="22"/>
          <w:szCs w:val="22"/>
        </w:rPr>
        <w:t xml:space="preserve"> E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s aquella en poder de los entes obligados contenida en documentos, archivos, datos, bases de datos, comunicaciones y todo tipo de registros que documenten el ejercicio de sus facultades o actividades que consten en cualquier medio, ya sea impreso, óptico o electrónico, independientemente de su fuente, fecha de elaboración y que no sea confidencial.</w:t>
      </w:r>
    </w:p>
    <w:p w:rsidR="00F92BAA" w:rsidRPr="00F00804" w:rsidRDefault="00F92BAA" w:rsidP="00F92BAA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F92BAA" w:rsidRPr="00F00804" w:rsidRDefault="00F92BAA" w:rsidP="00F92BAA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Información Oficiosa: 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Es la información pública que debe ser dada a conocer de forma inmediata sin que ninguna persona lo solicite a través del Portal de Transparencia.</w:t>
      </w:r>
    </w:p>
    <w:p w:rsidR="00FA27CE" w:rsidRPr="00F00804" w:rsidRDefault="00FA27CE" w:rsidP="00F92BAA">
      <w:pPr>
        <w:pStyle w:val="rtejustify"/>
        <w:shd w:val="clear" w:color="auto" w:fill="FFFFFF"/>
        <w:spacing w:after="240" w:afterAutospacing="0"/>
        <w:jc w:val="both"/>
        <w:rPr>
          <w:rFonts w:asciiTheme="minorHAnsi" w:eastAsia="MS Mincho" w:hAnsiTheme="minorHAnsi" w:cs="Arial"/>
          <w:color w:val="000000" w:themeColor="text1"/>
          <w:sz w:val="22"/>
          <w:szCs w:val="22"/>
          <w:lang w:val="es-ES" w:eastAsia="es-ES"/>
        </w:rPr>
      </w:pPr>
      <w:r w:rsidRPr="00F00804">
        <w:rPr>
          <w:rFonts w:asciiTheme="minorHAnsi" w:eastAsia="MS Mincho" w:hAnsiTheme="minorHAnsi" w:cs="Arial"/>
          <w:b/>
          <w:color w:val="000000" w:themeColor="text1"/>
          <w:sz w:val="22"/>
          <w:szCs w:val="22"/>
          <w:lang w:val="es-ES" w:eastAsia="es-ES"/>
        </w:rPr>
        <w:t>El Portal de Transparencia</w:t>
      </w:r>
      <w:r w:rsidRPr="00F00804">
        <w:rPr>
          <w:rFonts w:asciiTheme="minorHAnsi" w:eastAsia="MS Mincho" w:hAnsiTheme="minorHAnsi" w:cs="Arial"/>
          <w:color w:val="000000" w:themeColor="text1"/>
          <w:sz w:val="22"/>
          <w:szCs w:val="22"/>
          <w:lang w:val="es-ES" w:eastAsia="es-ES"/>
        </w:rPr>
        <w:t xml:space="preserve">: </w:t>
      </w:r>
      <w:r w:rsidR="00B360AA">
        <w:rPr>
          <w:rFonts w:asciiTheme="minorHAnsi" w:eastAsia="MS Mincho" w:hAnsiTheme="minorHAnsi" w:cs="Arial"/>
          <w:color w:val="000000" w:themeColor="text1"/>
          <w:sz w:val="22"/>
          <w:szCs w:val="22"/>
          <w:lang w:val="es-ES" w:eastAsia="es-ES"/>
        </w:rPr>
        <w:t>E</w:t>
      </w:r>
      <w:r w:rsidRPr="00F00804">
        <w:rPr>
          <w:rFonts w:asciiTheme="minorHAnsi" w:eastAsia="MS Mincho" w:hAnsiTheme="minorHAnsi" w:cs="Arial"/>
          <w:color w:val="000000" w:themeColor="text1"/>
          <w:sz w:val="22"/>
          <w:szCs w:val="22"/>
          <w:lang w:val="es-ES" w:eastAsia="es-ES"/>
        </w:rPr>
        <w:t>s el instrumento básico y general para facilitar a la ciudadanía el conocimiento de la información oficiosa producida por instituciones gubernamentales y relacionadas en el ejercicio de sus funciones públicas. Se define como la dirección electrónica disponible a través de redes informáticas cuya titularidad, gestión y administración corresponde a</w:t>
      </w:r>
      <w:r w:rsidR="00B360AA">
        <w:rPr>
          <w:rFonts w:asciiTheme="minorHAnsi" w:eastAsia="MS Mincho" w:hAnsiTheme="minorHAnsi" w:cs="Arial"/>
          <w:color w:val="000000" w:themeColor="text1"/>
          <w:sz w:val="22"/>
          <w:szCs w:val="22"/>
          <w:lang w:val="es-ES" w:eastAsia="es-ES"/>
        </w:rPr>
        <w:t xml:space="preserve"> la</w:t>
      </w:r>
      <w:r w:rsidRPr="00F00804">
        <w:rPr>
          <w:rFonts w:asciiTheme="minorHAnsi" w:eastAsia="MS Mincho" w:hAnsiTheme="minorHAnsi" w:cs="Arial"/>
          <w:color w:val="000000" w:themeColor="text1"/>
          <w:sz w:val="22"/>
          <w:szCs w:val="22"/>
          <w:lang w:val="es-ES" w:eastAsia="es-ES"/>
        </w:rPr>
        <w:t xml:space="preserve"> Presidencia de la República, a través de una plataforma de llenado de datos para que la información producida pueda ponerse a disposición de toda la ciudadanía.</w:t>
      </w:r>
    </w:p>
    <w:p w:rsidR="00605420" w:rsidRPr="00F00804" w:rsidRDefault="00605420" w:rsidP="00614583">
      <w:pPr>
        <w:pStyle w:val="Ttulo2"/>
        <w:jc w:val="both"/>
        <w:rPr>
          <w:rFonts w:asciiTheme="minorHAnsi" w:eastAsia="MS Mincho" w:hAnsiTheme="minorHAnsi" w:cs="Arial"/>
          <w:b w:val="0"/>
          <w:bCs w:val="0"/>
          <w:color w:val="000000" w:themeColor="text1"/>
          <w:sz w:val="22"/>
          <w:szCs w:val="22"/>
        </w:rPr>
      </w:pPr>
      <w:r w:rsidRPr="00F00804">
        <w:rPr>
          <w:rFonts w:asciiTheme="minorHAnsi" w:eastAsia="MS Mincho" w:hAnsiTheme="minorHAnsi" w:cs="Arial"/>
          <w:bCs w:val="0"/>
          <w:color w:val="000000" w:themeColor="text1"/>
          <w:sz w:val="22"/>
          <w:szCs w:val="22"/>
        </w:rPr>
        <w:lastRenderedPageBreak/>
        <w:t>Datos personales confidenciales</w:t>
      </w:r>
      <w:r w:rsidR="00B360AA">
        <w:rPr>
          <w:rFonts w:asciiTheme="minorHAnsi" w:eastAsia="MS Mincho" w:hAnsiTheme="minorHAnsi" w:cs="Arial"/>
          <w:b w:val="0"/>
          <w:bCs w:val="0"/>
          <w:color w:val="000000" w:themeColor="text1"/>
          <w:sz w:val="22"/>
          <w:szCs w:val="22"/>
        </w:rPr>
        <w:t>: L</w:t>
      </w:r>
      <w:r w:rsidRPr="00F00804">
        <w:rPr>
          <w:rFonts w:asciiTheme="minorHAnsi" w:eastAsia="MS Mincho" w:hAnsiTheme="minorHAnsi" w:cs="Arial"/>
          <w:b w:val="0"/>
          <w:bCs w:val="0"/>
          <w:color w:val="000000" w:themeColor="text1"/>
          <w:sz w:val="22"/>
          <w:szCs w:val="22"/>
        </w:rPr>
        <w:t>a información numérica, alfabética, gráfica, acústica o de cualquier otro tipo concerniente a una persona física, identificada o identificable</w:t>
      </w:r>
      <w:r w:rsidR="00B360AA">
        <w:rPr>
          <w:rFonts w:asciiTheme="minorHAnsi" w:eastAsia="MS Mincho" w:hAnsiTheme="minorHAnsi" w:cs="Arial"/>
          <w:b w:val="0"/>
          <w:bCs w:val="0"/>
          <w:color w:val="000000" w:themeColor="text1"/>
          <w:sz w:val="22"/>
          <w:szCs w:val="22"/>
        </w:rPr>
        <w:t>, t</w:t>
      </w:r>
      <w:r w:rsidRPr="00F00804">
        <w:rPr>
          <w:rFonts w:asciiTheme="minorHAnsi" w:eastAsia="MS Mincho" w:hAnsiTheme="minorHAnsi" w:cs="Arial"/>
          <w:b w:val="0"/>
          <w:bCs w:val="0"/>
          <w:color w:val="000000" w:themeColor="text1"/>
          <w:sz w:val="22"/>
          <w:szCs w:val="22"/>
        </w:rPr>
        <w:t xml:space="preserve">al y como son de manera enunciativa y no limitativa: </w:t>
      </w:r>
      <w:r w:rsidR="00B360AA">
        <w:rPr>
          <w:rFonts w:asciiTheme="minorHAnsi" w:eastAsia="MS Mincho" w:hAnsiTheme="minorHAnsi" w:cs="Arial"/>
          <w:b w:val="0"/>
          <w:bCs w:val="0"/>
          <w:color w:val="000000" w:themeColor="text1"/>
          <w:sz w:val="22"/>
          <w:szCs w:val="22"/>
        </w:rPr>
        <w:t>E</w:t>
      </w:r>
      <w:r w:rsidRPr="00F00804">
        <w:rPr>
          <w:rFonts w:asciiTheme="minorHAnsi" w:eastAsia="MS Mincho" w:hAnsiTheme="minorHAnsi" w:cs="Arial"/>
          <w:b w:val="0"/>
          <w:bCs w:val="0"/>
          <w:color w:val="000000" w:themeColor="text1"/>
          <w:sz w:val="22"/>
          <w:szCs w:val="22"/>
        </w:rPr>
        <w:t>l origen étnico o racial, características físicas, morales o emocionales, la vida afectiva y familiar, el domicilio y teléfono particular, correo electrónico no oficial, patrimonio, ideología y opiniones políticas, creencias, convicciones religiosas y filosóficas, estado de salud, preferencia sexual, la huella digital, el ADN</w:t>
      </w:r>
      <w:r w:rsidR="00B360AA">
        <w:rPr>
          <w:rFonts w:asciiTheme="minorHAnsi" w:eastAsia="MS Mincho" w:hAnsiTheme="minorHAnsi" w:cs="Arial"/>
          <w:b w:val="0"/>
          <w:bCs w:val="0"/>
          <w:color w:val="000000" w:themeColor="text1"/>
          <w:sz w:val="22"/>
          <w:szCs w:val="22"/>
        </w:rPr>
        <w:t>,</w:t>
      </w:r>
      <w:r w:rsidRPr="00F00804">
        <w:rPr>
          <w:rFonts w:asciiTheme="minorHAnsi" w:eastAsia="MS Mincho" w:hAnsiTheme="minorHAnsi" w:cs="Arial"/>
          <w:b w:val="0"/>
          <w:bCs w:val="0"/>
          <w:color w:val="000000" w:themeColor="text1"/>
          <w:sz w:val="22"/>
          <w:szCs w:val="22"/>
        </w:rPr>
        <w:t xml:space="preserve"> el número de seguridad social y análogos.</w:t>
      </w:r>
    </w:p>
    <w:p w:rsidR="00620671" w:rsidRPr="00F00804" w:rsidRDefault="00620671" w:rsidP="00620671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250CF0" w:rsidRPr="00F00804" w:rsidRDefault="00620671" w:rsidP="002437DB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>LAIP: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Ley de Acceso a la Información Pública.</w:t>
      </w:r>
    </w:p>
    <w:p w:rsidR="00D56F58" w:rsidRPr="00F00804" w:rsidRDefault="00D56F58" w:rsidP="002437DB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D56F58" w:rsidRPr="00F00804" w:rsidRDefault="00D56F58" w:rsidP="002437DB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SGS: 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Sistema de Gestión de Solicitudes</w:t>
      </w:r>
      <w:r w:rsidR="00B360AA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6D1E39" w:rsidRPr="00F00804" w:rsidRDefault="006D1E39" w:rsidP="002437DB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6D1E39" w:rsidRPr="00F00804" w:rsidRDefault="006D1E39" w:rsidP="002437DB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IAIP: 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Instituto de Acceso a la Información Pública</w:t>
      </w:r>
      <w:r w:rsidR="00B360AA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5074F3" w:rsidRPr="00F00804" w:rsidRDefault="005074F3" w:rsidP="002437DB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5074F3" w:rsidRPr="00F00804" w:rsidRDefault="005074F3" w:rsidP="002437DB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UAIP: 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Unidad de Acceso a la Información Pública</w:t>
      </w:r>
      <w:r w:rsidR="00B360AA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B360AA" w:rsidRPr="00B360AA" w:rsidRDefault="00B360AA" w:rsidP="00B360AA">
      <w:pPr>
        <w:pStyle w:val="Ttulo1"/>
        <w:keepLines w:val="0"/>
        <w:spacing w:before="240" w:after="60"/>
        <w:ind w:left="360"/>
        <w:rPr>
          <w:rFonts w:asciiTheme="minorHAnsi" w:hAnsiTheme="minorHAnsi" w:cs="Arial"/>
          <w:bCs w:val="0"/>
          <w:color w:val="000000" w:themeColor="text1"/>
          <w:sz w:val="6"/>
          <w:szCs w:val="22"/>
        </w:rPr>
      </w:pPr>
    </w:p>
    <w:p w:rsidR="009D36C8" w:rsidRPr="00F00804" w:rsidRDefault="00184357" w:rsidP="009D36C8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Cs w:val="0"/>
          <w:color w:val="000000" w:themeColor="text1"/>
          <w:sz w:val="22"/>
          <w:szCs w:val="22"/>
        </w:rPr>
        <w:t>CONTROL INTERNO ASOCIADO</w:t>
      </w:r>
    </w:p>
    <w:p w:rsidR="00184357" w:rsidRPr="00F00804" w:rsidRDefault="00D720A5" w:rsidP="00D720A5">
      <w:pPr>
        <w:pStyle w:val="Ttulo2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2.1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Insumos del procedimiento</w:t>
      </w:r>
    </w:p>
    <w:p w:rsidR="009B0F0F" w:rsidRPr="00F00804" w:rsidRDefault="009B0F0F" w:rsidP="009B0F0F">
      <w:pPr>
        <w:rPr>
          <w:rFonts w:asciiTheme="minorHAnsi" w:hAnsiTheme="minorHAnsi"/>
          <w:color w:val="000000" w:themeColor="text1"/>
          <w:sz w:val="22"/>
          <w:szCs w:val="22"/>
          <w:u w:val="single"/>
        </w:rPr>
      </w:pPr>
    </w:p>
    <w:p w:rsidR="00AC5C47" w:rsidRPr="00F00804" w:rsidRDefault="009B0F0F" w:rsidP="009B0F0F">
      <w:pPr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 xml:space="preserve">Publicaciones en el </w:t>
      </w:r>
      <w:r w:rsidR="00AC5C47" w:rsidRPr="00F00804"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 xml:space="preserve">Portal de </w:t>
      </w: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>Transparencia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>Marco Normativo</w:t>
      </w:r>
    </w:p>
    <w:p w:rsidR="009B0F0F" w:rsidRPr="00AB60F6" w:rsidRDefault="009B0F0F" w:rsidP="009B0F0F">
      <w:pPr>
        <w:rPr>
          <w:rFonts w:asciiTheme="minorHAnsi" w:hAnsiTheme="minorHAnsi" w:cs="Arial"/>
          <w:color w:val="000000" w:themeColor="text1"/>
          <w:sz w:val="14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 xml:space="preserve">Actas de </w:t>
      </w:r>
      <w:r w:rsidR="002A2A5C" w:rsidRPr="00F00804">
        <w:rPr>
          <w:rFonts w:asciiTheme="minorHAnsi" w:hAnsiTheme="minorHAnsi" w:cs="Arial"/>
          <w:color w:val="000000" w:themeColor="text1"/>
          <w:sz w:val="22"/>
          <w:szCs w:val="22"/>
        </w:rPr>
        <w:t>Comité Administrador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 xml:space="preserve">Ley Principal que rige a la 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I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nstitución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 xml:space="preserve">Manuales básicos de 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O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rganización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Organigrama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Otros documentos normativos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Procedimientos y resultados de selección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Marco </w:t>
      </w:r>
      <w:r w:rsidR="00AB60F6">
        <w:rPr>
          <w:rFonts w:asciiTheme="minorHAnsi" w:hAnsiTheme="minorHAnsi" w:cs="Arial"/>
          <w:b/>
          <w:color w:val="000000" w:themeColor="text1"/>
          <w:sz w:val="22"/>
          <w:szCs w:val="22"/>
        </w:rPr>
        <w:t>P</w:t>
      </w: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>resupuestario</w:t>
      </w:r>
    </w:p>
    <w:p w:rsidR="00E16689" w:rsidRPr="00AB60F6" w:rsidRDefault="00E16689" w:rsidP="009B0F0F">
      <w:pPr>
        <w:rPr>
          <w:rFonts w:asciiTheme="minorHAnsi" w:hAnsiTheme="minorHAnsi" w:cs="Arial"/>
          <w:color w:val="000000" w:themeColor="text1"/>
          <w:sz w:val="16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Contrataciones y adquisiciones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 xml:space="preserve">Estados 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F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inancieros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Presupuesto actual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Registro de ofertantes y contratistas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Remuneraciones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Marco de </w:t>
      </w:r>
      <w:r w:rsidR="00AB60F6">
        <w:rPr>
          <w:rFonts w:asciiTheme="minorHAnsi" w:hAnsiTheme="minorHAnsi" w:cs="Arial"/>
          <w:b/>
          <w:color w:val="000000" w:themeColor="text1"/>
          <w:sz w:val="22"/>
          <w:szCs w:val="22"/>
        </w:rPr>
        <w:t>G</w:t>
      </w: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estión </w:t>
      </w:r>
      <w:r w:rsidR="00AB60F6">
        <w:rPr>
          <w:rFonts w:asciiTheme="minorHAnsi" w:hAnsiTheme="minorHAnsi" w:cs="Arial"/>
          <w:b/>
          <w:color w:val="000000" w:themeColor="text1"/>
          <w:sz w:val="22"/>
          <w:szCs w:val="22"/>
        </w:rPr>
        <w:t>E</w:t>
      </w: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>stratégica</w:t>
      </w:r>
    </w:p>
    <w:p w:rsidR="009B0F0F" w:rsidRPr="00AB60F6" w:rsidRDefault="009B0F0F" w:rsidP="009B0F0F">
      <w:pPr>
        <w:rPr>
          <w:rFonts w:asciiTheme="minorHAnsi" w:hAnsiTheme="minorHAnsi" w:cs="Arial"/>
          <w:color w:val="000000" w:themeColor="text1"/>
          <w:sz w:val="16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Directorio de funcionarios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Estadísticas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Informes exigidos por disposición legal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Memorias de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 xml:space="preserve"> L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abores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Plan Operativo Anual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lastRenderedPageBreak/>
        <w:t>Cumplimiento LAIP</w:t>
      </w:r>
    </w:p>
    <w:p w:rsidR="009B0F0F" w:rsidRPr="00AB60F6" w:rsidRDefault="009B0F0F" w:rsidP="009B0F0F">
      <w:pPr>
        <w:rPr>
          <w:rFonts w:asciiTheme="minorHAnsi" w:hAnsiTheme="minorHAnsi" w:cs="Arial"/>
          <w:color w:val="000000" w:themeColor="text1"/>
          <w:sz w:val="14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Anexos de resolución de solicitudes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Guía de organización de archivos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Indicadores de cumplimiento LAIP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Índice de información reservada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Otra información de interés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 xml:space="preserve">Resoluciones de 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S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olicitudes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>Participación Ciudadana</w:t>
      </w:r>
    </w:p>
    <w:p w:rsidR="009B0F0F" w:rsidRPr="00AB60F6" w:rsidRDefault="009B0F0F" w:rsidP="009B0F0F">
      <w:pPr>
        <w:rPr>
          <w:rFonts w:asciiTheme="minorHAnsi" w:hAnsiTheme="minorHAnsi" w:cs="Arial"/>
          <w:color w:val="000000" w:themeColor="text1"/>
          <w:sz w:val="14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Mecanismos de participación ciudadana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 xml:space="preserve">Rendición de 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C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uentas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>Tr</w:t>
      </w:r>
      <w:r w:rsidR="00AB60F6">
        <w:rPr>
          <w:rFonts w:asciiTheme="minorHAnsi" w:hAnsiTheme="minorHAnsi" w:cs="Arial"/>
          <w:b/>
          <w:color w:val="000000" w:themeColor="text1"/>
          <w:sz w:val="22"/>
          <w:szCs w:val="22"/>
        </w:rPr>
        <w:t>á</w:t>
      </w: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mite de </w:t>
      </w:r>
      <w:r w:rsidR="00AB60F6">
        <w:rPr>
          <w:rFonts w:asciiTheme="minorHAnsi" w:hAnsiTheme="minorHAnsi" w:cs="Arial"/>
          <w:b/>
          <w:color w:val="000000" w:themeColor="text1"/>
          <w:sz w:val="22"/>
          <w:szCs w:val="22"/>
        </w:rPr>
        <w:t>A</w:t>
      </w: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cceso a la Información Pública </w:t>
      </w:r>
    </w:p>
    <w:p w:rsidR="009B0F0F" w:rsidRPr="00AB60F6" w:rsidRDefault="009B0F0F" w:rsidP="009B0F0F">
      <w:pPr>
        <w:rPr>
          <w:rFonts w:asciiTheme="minorHAnsi" w:hAnsiTheme="minorHAnsi" w:cs="Arial"/>
          <w:color w:val="000000" w:themeColor="text1"/>
          <w:sz w:val="14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Solicitud de información.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Requerimiento de información.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•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Expediente de respuestas.</w:t>
      </w: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9B0F0F" w:rsidRPr="00F00804" w:rsidRDefault="009B0F0F" w:rsidP="009B0F0F">
      <w:pPr>
        <w:rPr>
          <w:rFonts w:asciiTheme="minorHAnsi" w:hAnsiTheme="minorHAnsi" w:cs="Arial"/>
          <w:color w:val="000000" w:themeColor="text1"/>
          <w:sz w:val="22"/>
          <w:szCs w:val="22"/>
          <w:u w:val="single"/>
        </w:rPr>
      </w:pPr>
    </w:p>
    <w:p w:rsidR="003B20E2" w:rsidRPr="00F00804" w:rsidRDefault="009B0F0F" w:rsidP="009B0F0F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>A</w:t>
      </w:r>
      <w:r w:rsidR="00884ECC" w:rsidRPr="00F00804"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 xml:space="preserve">cceso a la </w:t>
      </w:r>
      <w:r w:rsidR="00FD07A9"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>I</w:t>
      </w: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>nformación</w:t>
      </w:r>
    </w:p>
    <w:p w:rsidR="003B20E2" w:rsidRPr="00F00804" w:rsidRDefault="003B20E2" w:rsidP="003B20E2">
      <w:pPr>
        <w:ind w:left="720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9B0F0F" w:rsidRPr="00F00804" w:rsidRDefault="009B0F0F" w:rsidP="00AB60F6">
      <w:pPr>
        <w:pStyle w:val="Prrafodelista"/>
        <w:numPr>
          <w:ilvl w:val="0"/>
          <w:numId w:val="17"/>
        </w:numPr>
        <w:ind w:left="36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Solicitud de información oficiosa</w:t>
      </w:r>
      <w:r w:rsidR="00AB60F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3B20E2" w:rsidRPr="00F00804" w:rsidRDefault="003B20E2" w:rsidP="00AB60F6">
      <w:pPr>
        <w:pStyle w:val="Prrafodelista"/>
        <w:numPr>
          <w:ilvl w:val="0"/>
          <w:numId w:val="17"/>
        </w:numPr>
        <w:ind w:left="36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Requerimiento de información</w:t>
      </w:r>
      <w:r w:rsidR="004B0C0F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a las </w:t>
      </w:r>
      <w:r w:rsidR="00072016">
        <w:rPr>
          <w:rFonts w:asciiTheme="minorHAnsi" w:hAnsiTheme="minorHAnsi" w:cs="Arial"/>
          <w:color w:val="000000" w:themeColor="text1"/>
          <w:sz w:val="22"/>
          <w:szCs w:val="22"/>
        </w:rPr>
        <w:t>U</w:t>
      </w:r>
      <w:r w:rsidR="004B0C0F" w:rsidRPr="00F00804">
        <w:rPr>
          <w:rFonts w:asciiTheme="minorHAnsi" w:hAnsiTheme="minorHAnsi" w:cs="Arial"/>
          <w:color w:val="000000" w:themeColor="text1"/>
          <w:sz w:val="22"/>
          <w:szCs w:val="22"/>
        </w:rPr>
        <w:t>nidades</w:t>
      </w:r>
      <w:r w:rsidR="000720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9B0F0F" w:rsidRPr="00F00804" w:rsidRDefault="009B0F0F" w:rsidP="00AB60F6">
      <w:pPr>
        <w:pStyle w:val="Prrafodelista"/>
        <w:numPr>
          <w:ilvl w:val="0"/>
          <w:numId w:val="17"/>
        </w:numPr>
        <w:ind w:left="36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Información oficiosa proporcionada por las </w:t>
      </w:r>
      <w:r w:rsidR="00072016">
        <w:rPr>
          <w:rFonts w:asciiTheme="minorHAnsi" w:hAnsiTheme="minorHAnsi" w:cs="Arial"/>
          <w:color w:val="000000" w:themeColor="text1"/>
          <w:sz w:val="22"/>
          <w:szCs w:val="22"/>
        </w:rPr>
        <w:t>U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nidades</w:t>
      </w:r>
      <w:r w:rsidR="000720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884ECC" w:rsidRPr="00F00804" w:rsidRDefault="00884ECC" w:rsidP="00AB60F6">
      <w:pPr>
        <w:pStyle w:val="Prrafodelista"/>
        <w:numPr>
          <w:ilvl w:val="0"/>
          <w:numId w:val="17"/>
        </w:numPr>
        <w:ind w:left="36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Lineamientos del IAIP y la SPCTA</w:t>
      </w:r>
      <w:r w:rsidR="000720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="003A7CC1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884ECC" w:rsidRPr="00F00804" w:rsidRDefault="009B0F0F" w:rsidP="00AB60F6">
      <w:pPr>
        <w:pStyle w:val="Prrafodelista"/>
        <w:numPr>
          <w:ilvl w:val="0"/>
          <w:numId w:val="17"/>
        </w:numPr>
        <w:ind w:left="36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Sistema Electrónico de Gestión de Solicitudes de la SPCTA</w:t>
      </w:r>
      <w:r w:rsidR="000720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8E6AE0" w:rsidRDefault="008E6AE0" w:rsidP="00AB60F6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8B3A96" w:rsidRPr="00F00804" w:rsidRDefault="008B3A96" w:rsidP="00AB60F6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63068B" w:rsidRPr="00F00804" w:rsidRDefault="0063068B" w:rsidP="0063068B">
      <w:pPr>
        <w:pStyle w:val="Ttulo2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2.2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 xml:space="preserve">Actividades de </w:t>
      </w:r>
      <w:r w:rsidR="00FD07A9">
        <w:rPr>
          <w:rFonts w:asciiTheme="minorHAnsi" w:hAnsiTheme="minorHAnsi" w:cs="Arial"/>
          <w:color w:val="000000" w:themeColor="text1"/>
          <w:sz w:val="22"/>
          <w:szCs w:val="22"/>
        </w:rPr>
        <w:t>C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ontrol</w:t>
      </w:r>
    </w:p>
    <w:p w:rsidR="00FD7876" w:rsidRPr="00F00804" w:rsidRDefault="00FD7876" w:rsidP="008E6AE0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3A7CC1" w:rsidRPr="00F00804" w:rsidRDefault="003A7CC1" w:rsidP="00077687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>Publicación en el Portal de Transparencia</w:t>
      </w:r>
    </w:p>
    <w:p w:rsidR="003A7CC1" w:rsidRPr="00F00804" w:rsidRDefault="003A7CC1" w:rsidP="00077687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3A7CC1" w:rsidRPr="00F00804" w:rsidRDefault="003A7CC1" w:rsidP="00072016">
      <w:pPr>
        <w:pStyle w:val="Default"/>
        <w:numPr>
          <w:ilvl w:val="0"/>
          <w:numId w:val="23"/>
        </w:numPr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804">
        <w:rPr>
          <w:rFonts w:asciiTheme="minorHAnsi" w:hAnsiTheme="minorHAnsi"/>
          <w:color w:val="000000" w:themeColor="text1"/>
          <w:sz w:val="22"/>
          <w:szCs w:val="22"/>
        </w:rPr>
        <w:t>Actualizar la información</w:t>
      </w:r>
      <w:r w:rsidR="00072016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F00804">
        <w:rPr>
          <w:rFonts w:asciiTheme="minorHAnsi" w:hAnsiTheme="minorHAnsi"/>
          <w:color w:val="000000" w:themeColor="text1"/>
          <w:sz w:val="22"/>
          <w:szCs w:val="22"/>
        </w:rPr>
        <w:t xml:space="preserve"> mínimo de forma trimestral</w:t>
      </w:r>
      <w:r w:rsidR="00072016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3A7CC1" w:rsidRPr="00F00804" w:rsidRDefault="003A7CC1" w:rsidP="00072016">
      <w:pPr>
        <w:pStyle w:val="Default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A7CC1" w:rsidRPr="00F00804" w:rsidRDefault="003A7CC1" w:rsidP="00072016">
      <w:pPr>
        <w:pStyle w:val="Default"/>
        <w:numPr>
          <w:ilvl w:val="0"/>
          <w:numId w:val="23"/>
        </w:numPr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804">
        <w:rPr>
          <w:rFonts w:asciiTheme="minorHAnsi" w:hAnsiTheme="minorHAnsi"/>
          <w:color w:val="000000" w:themeColor="text1"/>
          <w:sz w:val="22"/>
          <w:szCs w:val="22"/>
        </w:rPr>
        <w:t xml:space="preserve">Verificar el cumplimiento de las fechas de entrega de la información por las </w:t>
      </w:r>
      <w:r w:rsidR="00072016">
        <w:rPr>
          <w:rFonts w:asciiTheme="minorHAnsi" w:hAnsiTheme="minorHAnsi"/>
          <w:color w:val="000000" w:themeColor="text1"/>
          <w:sz w:val="22"/>
          <w:szCs w:val="22"/>
        </w:rPr>
        <w:t>U</w:t>
      </w:r>
      <w:r w:rsidRPr="00F00804">
        <w:rPr>
          <w:rFonts w:asciiTheme="minorHAnsi" w:hAnsiTheme="minorHAnsi"/>
          <w:color w:val="000000" w:themeColor="text1"/>
          <w:sz w:val="22"/>
          <w:szCs w:val="22"/>
        </w:rPr>
        <w:t>nidades generadoras de acuerdo al programa anexo</w:t>
      </w:r>
      <w:r w:rsidR="00072016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3A7CC1" w:rsidRPr="00F00804" w:rsidRDefault="003A7CC1" w:rsidP="00072016">
      <w:pPr>
        <w:pStyle w:val="Prrafodelista"/>
        <w:ind w:left="360"/>
        <w:rPr>
          <w:rFonts w:asciiTheme="minorHAnsi" w:hAnsiTheme="minorHAnsi"/>
          <w:color w:val="000000" w:themeColor="text1"/>
          <w:sz w:val="22"/>
          <w:szCs w:val="22"/>
        </w:rPr>
      </w:pPr>
    </w:p>
    <w:p w:rsidR="00077687" w:rsidRPr="00F00804" w:rsidRDefault="003A7CC1" w:rsidP="00072016">
      <w:pPr>
        <w:pStyle w:val="Default"/>
        <w:numPr>
          <w:ilvl w:val="0"/>
          <w:numId w:val="23"/>
        </w:numPr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804">
        <w:rPr>
          <w:rFonts w:asciiTheme="minorHAnsi" w:hAnsiTheme="minorHAnsi"/>
          <w:color w:val="000000" w:themeColor="text1"/>
          <w:sz w:val="22"/>
          <w:szCs w:val="22"/>
        </w:rPr>
        <w:t>Comprobar que los documentos se encuentren en formato seleccionable</w:t>
      </w:r>
      <w:r w:rsidR="00072016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3A7CC1" w:rsidRPr="00F00804" w:rsidRDefault="003A7CC1" w:rsidP="008E6AE0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8E6AE0" w:rsidRPr="00F00804" w:rsidRDefault="008E6AE0" w:rsidP="008E6AE0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>Tr</w:t>
      </w:r>
      <w:r w:rsidR="00072016">
        <w:rPr>
          <w:rFonts w:asciiTheme="minorHAnsi" w:hAnsiTheme="minorHAnsi" w:cs="Arial"/>
          <w:b/>
          <w:color w:val="000000" w:themeColor="text1"/>
          <w:sz w:val="22"/>
          <w:szCs w:val="22"/>
        </w:rPr>
        <w:t>á</w:t>
      </w: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mite de </w:t>
      </w:r>
      <w:r w:rsidR="00072016">
        <w:rPr>
          <w:rFonts w:asciiTheme="minorHAnsi" w:hAnsiTheme="minorHAnsi" w:cs="Arial"/>
          <w:b/>
          <w:color w:val="000000" w:themeColor="text1"/>
          <w:sz w:val="22"/>
          <w:szCs w:val="22"/>
        </w:rPr>
        <w:t>A</w:t>
      </w: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cceso a la Información Pública. </w:t>
      </w:r>
    </w:p>
    <w:p w:rsidR="00FE5665" w:rsidRPr="00F00804" w:rsidRDefault="00FE5665" w:rsidP="00BE6110">
      <w:pPr>
        <w:ind w:right="44"/>
        <w:jc w:val="both"/>
        <w:rPr>
          <w:rFonts w:asciiTheme="minorHAnsi" w:hAnsiTheme="minorHAnsi" w:cs="Arial"/>
          <w:bCs/>
          <w:iCs/>
          <w:color w:val="000000" w:themeColor="text1"/>
          <w:sz w:val="22"/>
          <w:szCs w:val="22"/>
          <w:lang w:eastAsia="es-SV"/>
        </w:rPr>
      </w:pPr>
    </w:p>
    <w:p w:rsidR="0063068B" w:rsidRPr="00F00804" w:rsidRDefault="009704E2" w:rsidP="00072016">
      <w:pPr>
        <w:pStyle w:val="Prrafodelista"/>
        <w:numPr>
          <w:ilvl w:val="0"/>
          <w:numId w:val="19"/>
        </w:numPr>
        <w:ind w:left="360" w:right="44"/>
        <w:jc w:val="both"/>
        <w:rPr>
          <w:rFonts w:asciiTheme="minorHAnsi" w:hAnsiTheme="minorHAnsi" w:cs="Arial"/>
          <w:bCs/>
          <w:iCs/>
          <w:color w:val="000000" w:themeColor="text1"/>
          <w:sz w:val="22"/>
          <w:szCs w:val="22"/>
          <w:lang w:val="es-SV" w:eastAsia="es-SV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Verificar que las</w:t>
      </w:r>
      <w:r w:rsidR="00A95865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solicitudes de información hayan sido presentadas en debida forma de acuerdo a lo establecido en el Artículo 66 de la LAIP.</w:t>
      </w:r>
    </w:p>
    <w:p w:rsidR="00A95865" w:rsidRPr="00F00804" w:rsidRDefault="00A95865" w:rsidP="00072016">
      <w:pPr>
        <w:ind w:right="44"/>
        <w:jc w:val="both"/>
        <w:rPr>
          <w:rFonts w:asciiTheme="minorHAnsi" w:hAnsiTheme="minorHAnsi" w:cs="Arial"/>
          <w:bCs/>
          <w:iCs/>
          <w:color w:val="000000" w:themeColor="text1"/>
          <w:sz w:val="22"/>
          <w:szCs w:val="22"/>
          <w:lang w:val="es-SV" w:eastAsia="es-SV"/>
        </w:rPr>
      </w:pPr>
    </w:p>
    <w:p w:rsidR="00A95865" w:rsidRDefault="00077687" w:rsidP="00072016">
      <w:pPr>
        <w:pStyle w:val="Prrafodelista"/>
        <w:numPr>
          <w:ilvl w:val="0"/>
          <w:numId w:val="19"/>
        </w:numPr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 xml:space="preserve">Verificar si la información solicitada es oficiosa </w:t>
      </w:r>
      <w:r w:rsidR="003A7CC1" w:rsidRPr="00F00804">
        <w:rPr>
          <w:rFonts w:asciiTheme="minorHAnsi" w:hAnsiTheme="minorHAnsi" w:cs="Arial"/>
          <w:color w:val="000000" w:themeColor="text1"/>
          <w:sz w:val="22"/>
          <w:szCs w:val="22"/>
        </w:rPr>
        <w:t>o si se encuentra reservada</w:t>
      </w:r>
      <w:r w:rsidR="000720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8B3A96" w:rsidRPr="008B3A96" w:rsidRDefault="008B3A96" w:rsidP="008B3A96">
      <w:pPr>
        <w:pStyle w:val="Prrafodelista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D6DEB" w:rsidRPr="008B3A96" w:rsidRDefault="00077687" w:rsidP="00072016">
      <w:pPr>
        <w:pStyle w:val="Prrafodelista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Verificar </w:t>
      </w:r>
      <w:r w:rsidR="003A7CC1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que las </w:t>
      </w:r>
      <w:r w:rsidR="00072016">
        <w:rPr>
          <w:rFonts w:asciiTheme="minorHAnsi" w:hAnsiTheme="minorHAnsi" w:cs="Arial"/>
          <w:color w:val="000000" w:themeColor="text1"/>
          <w:sz w:val="22"/>
          <w:szCs w:val="22"/>
        </w:rPr>
        <w:t>U</w:t>
      </w:r>
      <w:r w:rsidR="003A7CC1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nidades 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cumpla</w:t>
      </w:r>
      <w:r w:rsidR="003A7CC1" w:rsidRPr="00F00804">
        <w:rPr>
          <w:rFonts w:asciiTheme="minorHAnsi" w:hAnsiTheme="minorHAnsi" w:cs="Arial"/>
          <w:color w:val="000000" w:themeColor="text1"/>
          <w:sz w:val="22"/>
          <w:szCs w:val="22"/>
        </w:rPr>
        <w:t>n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el plazo máximo de</w:t>
      </w:r>
      <w:r w:rsidR="00A95865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5 días hábiles para </w:t>
      </w:r>
      <w:r w:rsidR="003A7CC1" w:rsidRPr="00F00804">
        <w:rPr>
          <w:rFonts w:asciiTheme="minorHAnsi" w:hAnsiTheme="minorHAnsi" w:cs="Arial"/>
          <w:color w:val="000000" w:themeColor="text1"/>
          <w:sz w:val="22"/>
          <w:szCs w:val="22"/>
        </w:rPr>
        <w:t>proporcionar la información requerida</w:t>
      </w:r>
      <w:r w:rsidR="00A95865" w:rsidRPr="00F00804">
        <w:rPr>
          <w:rFonts w:asciiTheme="minorHAnsi" w:hAnsiTheme="minorHAnsi" w:cs="Arial"/>
          <w:color w:val="000000" w:themeColor="text1"/>
          <w:sz w:val="22"/>
          <w:szCs w:val="22"/>
        </w:rPr>
        <w:t>, salvo lo comprendido en el Artículo 71 LAIP</w:t>
      </w:r>
      <w:r w:rsidR="003A7CC1" w:rsidRPr="00F00804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8B3A96" w:rsidRPr="008B3A96" w:rsidRDefault="008B3A96" w:rsidP="008B3A96">
      <w:pPr>
        <w:pStyle w:val="Prrafodelista"/>
        <w:rPr>
          <w:rFonts w:asciiTheme="minorHAnsi" w:hAnsiTheme="minorHAnsi"/>
          <w:color w:val="000000" w:themeColor="text1"/>
          <w:sz w:val="22"/>
          <w:szCs w:val="22"/>
        </w:rPr>
      </w:pPr>
    </w:p>
    <w:p w:rsidR="008B3A96" w:rsidRPr="008B3A96" w:rsidRDefault="008B3A96" w:rsidP="008B3A96">
      <w:pPr>
        <w:pStyle w:val="Prrafodelista"/>
        <w:spacing w:line="276" w:lineRule="auto"/>
        <w:ind w:left="426"/>
        <w:jc w:val="both"/>
        <w:rPr>
          <w:rFonts w:asciiTheme="minorHAnsi" w:hAnsiTheme="minorHAnsi"/>
          <w:color w:val="000000" w:themeColor="text1"/>
          <w:sz w:val="8"/>
          <w:szCs w:val="22"/>
        </w:rPr>
      </w:pPr>
    </w:p>
    <w:p w:rsidR="00D720A5" w:rsidRPr="00F00804" w:rsidRDefault="00D720A5" w:rsidP="00D720A5">
      <w:pPr>
        <w:pStyle w:val="Ttulo2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2.3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 xml:space="preserve">Indicadores de </w:t>
      </w:r>
      <w:r w:rsidR="00FD07A9">
        <w:rPr>
          <w:rFonts w:asciiTheme="minorHAnsi" w:hAnsiTheme="minorHAnsi" w:cs="Arial"/>
          <w:color w:val="000000" w:themeColor="text1"/>
          <w:sz w:val="22"/>
          <w:szCs w:val="22"/>
        </w:rPr>
        <w:t>G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estión</w:t>
      </w:r>
    </w:p>
    <w:p w:rsidR="00E81C87" w:rsidRPr="00F00804" w:rsidRDefault="00E81C87" w:rsidP="0060062C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CC756F" w:rsidRPr="00F00804" w:rsidRDefault="0060062C" w:rsidP="00072016">
      <w:pPr>
        <w:pStyle w:val="Prrafodelista"/>
        <w:numPr>
          <w:ilvl w:val="0"/>
          <w:numId w:val="25"/>
        </w:numPr>
        <w:ind w:left="426" w:hanging="426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La UAIP deberá cumplir </w:t>
      </w:r>
      <w:r w:rsidR="00647303" w:rsidRPr="00F00804">
        <w:rPr>
          <w:rFonts w:asciiTheme="minorHAnsi" w:hAnsiTheme="minorHAnsi" w:cs="Arial"/>
          <w:color w:val="000000" w:themeColor="text1"/>
          <w:sz w:val="22"/>
          <w:szCs w:val="22"/>
        </w:rPr>
        <w:t>con la actualización trimestral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del Portal de Transparencia</w:t>
      </w:r>
      <w:r w:rsidR="00E81C87" w:rsidRPr="00F00804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CC756F" w:rsidRPr="00F00804" w:rsidRDefault="00CC756F" w:rsidP="00072016">
      <w:pPr>
        <w:pStyle w:val="Prrafodelista"/>
        <w:ind w:left="426" w:hanging="426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CC756F" w:rsidRPr="00F00804" w:rsidRDefault="0060062C" w:rsidP="00072016">
      <w:pPr>
        <w:pStyle w:val="Prrafodelista"/>
        <w:numPr>
          <w:ilvl w:val="0"/>
          <w:numId w:val="25"/>
        </w:numPr>
        <w:ind w:left="426" w:hanging="426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L</w:t>
      </w:r>
      <w:r w:rsidR="002E1B5A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a información recibida de las </w:t>
      </w:r>
      <w:r w:rsidR="008B3A96">
        <w:rPr>
          <w:rFonts w:asciiTheme="minorHAnsi" w:hAnsiTheme="minorHAnsi" w:cs="Arial"/>
          <w:color w:val="000000" w:themeColor="text1"/>
          <w:sz w:val="22"/>
          <w:szCs w:val="22"/>
        </w:rPr>
        <w:t>U</w:t>
      </w:r>
      <w:r w:rsidR="002E1B5A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nidades </w:t>
      </w:r>
      <w:r w:rsidR="008B3A96">
        <w:rPr>
          <w:rFonts w:asciiTheme="minorHAnsi" w:hAnsiTheme="minorHAnsi" w:cs="Arial"/>
          <w:color w:val="000000" w:themeColor="text1"/>
          <w:sz w:val="22"/>
          <w:szCs w:val="22"/>
        </w:rPr>
        <w:t>A</w:t>
      </w:r>
      <w:r w:rsidR="002E1B5A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dministrativas 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debe ser</w:t>
      </w:r>
      <w:r w:rsidR="002E1B5A"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la requerida para brindar respuesta o generar las publicaciones correspondientes.</w:t>
      </w:r>
    </w:p>
    <w:p w:rsidR="0060062C" w:rsidRPr="00F00804" w:rsidRDefault="0060062C" w:rsidP="00072016">
      <w:pPr>
        <w:pStyle w:val="Prrafodelista"/>
        <w:ind w:left="426" w:hanging="426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60062C" w:rsidRPr="00F00804" w:rsidRDefault="0060062C" w:rsidP="00072016">
      <w:pPr>
        <w:pStyle w:val="Prrafodelista"/>
        <w:numPr>
          <w:ilvl w:val="0"/>
          <w:numId w:val="25"/>
        </w:numPr>
        <w:ind w:left="426" w:hanging="426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La UAIP dará trámite y respuesta a las solicitudes de acceso a la información en los per</w:t>
      </w:r>
      <w:r w:rsidR="008B3A96">
        <w:rPr>
          <w:rFonts w:asciiTheme="minorHAnsi" w:hAnsiTheme="minorHAnsi" w:cs="Arial"/>
          <w:color w:val="000000" w:themeColor="text1"/>
          <w:sz w:val="22"/>
          <w:szCs w:val="22"/>
        </w:rPr>
        <w:t>í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odos establecidos en la LAIP, siendo el plazo ordinario </w:t>
      </w:r>
      <w:r w:rsidR="008B3A96">
        <w:rPr>
          <w:rFonts w:asciiTheme="minorHAnsi" w:hAnsiTheme="minorHAnsi" w:cs="Arial"/>
          <w:color w:val="000000" w:themeColor="text1"/>
          <w:sz w:val="22"/>
          <w:szCs w:val="22"/>
        </w:rPr>
        <w:t xml:space="preserve">de 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10 días hábiles o sus prórrogas.</w:t>
      </w:r>
    </w:p>
    <w:p w:rsidR="002A2A5C" w:rsidRPr="00F00804" w:rsidRDefault="002A2A5C" w:rsidP="00072016">
      <w:pPr>
        <w:pStyle w:val="Prrafodelista"/>
        <w:ind w:left="426" w:hanging="426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2A2A5C" w:rsidRPr="00F00804" w:rsidRDefault="002A2A5C" w:rsidP="00072016">
      <w:pPr>
        <w:pStyle w:val="Prrafodelista"/>
        <w:numPr>
          <w:ilvl w:val="0"/>
          <w:numId w:val="25"/>
        </w:numPr>
        <w:ind w:left="426" w:hanging="426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La UAIP debe</w:t>
      </w:r>
      <w:r w:rsidR="00E16689" w:rsidRPr="00F00804">
        <w:rPr>
          <w:rFonts w:asciiTheme="minorHAnsi" w:hAnsiTheme="minorHAnsi" w:cs="Arial"/>
          <w:color w:val="000000" w:themeColor="text1"/>
          <w:sz w:val="22"/>
          <w:szCs w:val="22"/>
        </w:rPr>
        <w:t>rá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cumplir en tiempo la remisión de informes que establece la Ley al </w:t>
      </w:r>
      <w:r w:rsidR="00E16689" w:rsidRPr="00F00804">
        <w:rPr>
          <w:rFonts w:asciiTheme="minorHAnsi" w:hAnsiTheme="minorHAnsi" w:cs="Arial"/>
          <w:color w:val="000000" w:themeColor="text1"/>
          <w:sz w:val="22"/>
          <w:szCs w:val="22"/>
        </w:rPr>
        <w:t>IAIP.</w:t>
      </w:r>
    </w:p>
    <w:p w:rsidR="00165B98" w:rsidRPr="00F00804" w:rsidRDefault="00165B98" w:rsidP="0060062C">
      <w:pPr>
        <w:pStyle w:val="Prrafodelista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84357" w:rsidRPr="00F00804" w:rsidRDefault="00184357" w:rsidP="00757923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Cs w:val="0"/>
          <w:color w:val="000000" w:themeColor="text1"/>
          <w:sz w:val="22"/>
          <w:szCs w:val="22"/>
        </w:rPr>
        <w:t>DESCRIPCI</w:t>
      </w:r>
      <w:r w:rsidR="008B3A96">
        <w:rPr>
          <w:rFonts w:asciiTheme="minorHAnsi" w:hAnsiTheme="minorHAnsi" w:cs="Arial"/>
          <w:bCs w:val="0"/>
          <w:color w:val="000000" w:themeColor="text1"/>
          <w:sz w:val="22"/>
          <w:szCs w:val="22"/>
        </w:rPr>
        <w:t>Ó</w:t>
      </w:r>
      <w:r w:rsidRPr="00F00804">
        <w:rPr>
          <w:rFonts w:asciiTheme="minorHAnsi" w:hAnsiTheme="minorHAnsi" w:cs="Arial"/>
          <w:bCs w:val="0"/>
          <w:color w:val="000000" w:themeColor="text1"/>
          <w:sz w:val="22"/>
          <w:szCs w:val="22"/>
        </w:rPr>
        <w:t>N DEL PROCEDIMIENTO</w:t>
      </w:r>
    </w:p>
    <w:p w:rsidR="0017060E" w:rsidRPr="00F00804" w:rsidRDefault="0017060E" w:rsidP="0017060E">
      <w:pPr>
        <w:pStyle w:val="Ttulo2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3.</w:t>
      </w:r>
      <w:r w:rsidR="000C627D" w:rsidRPr="00F00804">
        <w:rPr>
          <w:rFonts w:asciiTheme="minorHAnsi" w:hAnsiTheme="minorHAnsi" w:cs="Arial"/>
          <w:color w:val="000000" w:themeColor="text1"/>
          <w:sz w:val="22"/>
          <w:szCs w:val="22"/>
        </w:rPr>
        <w:t>1</w:t>
      </w:r>
      <w:r w:rsidR="00656C01"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 xml:space="preserve">Publicaciones en el Portal de Transparencia </w:t>
      </w:r>
    </w:p>
    <w:p w:rsidR="00184357" w:rsidRPr="00F00804" w:rsidRDefault="00184357" w:rsidP="0018435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Style w:val="Cuadrculaclara-nfasis3"/>
        <w:tblW w:w="9180" w:type="dxa"/>
        <w:tblLook w:val="04A0" w:firstRow="1" w:lastRow="0" w:firstColumn="1" w:lastColumn="0" w:noHBand="0" w:noVBand="1"/>
      </w:tblPr>
      <w:tblGrid>
        <w:gridCol w:w="538"/>
        <w:gridCol w:w="6183"/>
        <w:gridCol w:w="2463"/>
      </w:tblGrid>
      <w:tr w:rsidR="00F00804" w:rsidRPr="00F00804" w:rsidTr="006F5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094DAC" w:rsidRPr="00F00804" w:rsidRDefault="00094DAC" w:rsidP="006F57F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  <w:p w:rsidR="00BD1AFF" w:rsidRPr="00F00804" w:rsidRDefault="00BD1AFF" w:rsidP="006F57F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183" w:type="dxa"/>
            <w:noWrap/>
          </w:tcPr>
          <w:p w:rsidR="00094DAC" w:rsidRPr="00F00804" w:rsidRDefault="00094DAC" w:rsidP="006F57F3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  <w:p w:rsidR="00BD1AFF" w:rsidRPr="00F00804" w:rsidRDefault="00BD1AFF" w:rsidP="006F57F3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463" w:type="dxa"/>
            <w:noWrap/>
          </w:tcPr>
          <w:p w:rsidR="00BD1AFF" w:rsidRPr="00F00804" w:rsidRDefault="00094DAC" w:rsidP="008B3A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RESPONSABLE DE LA E</w:t>
            </w:r>
            <w:r w:rsidR="008B3A9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JE</w:t>
            </w: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CUCI</w:t>
            </w:r>
            <w:r w:rsidR="008B3A9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Ó</w:t>
            </w: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N</w:t>
            </w:r>
          </w:p>
        </w:tc>
      </w:tr>
      <w:tr w:rsidR="00F00804" w:rsidRPr="00F00804" w:rsidTr="006F5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BD1AFF" w:rsidRPr="00F00804" w:rsidRDefault="00BD1AFF" w:rsidP="006F57F3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:rsidR="00BD1AFF" w:rsidRPr="00F00804" w:rsidRDefault="00BD1AFF" w:rsidP="004A2785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 w:eastAsia="es-ES_tradnl"/>
              </w:rPr>
              <w:t xml:space="preserve">FASE 1 – </w:t>
            </w:r>
            <w:r w:rsidR="00392F0E" w:rsidRPr="00F008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SV" w:eastAsia="es-SV"/>
              </w:rPr>
              <w:t>Recepción y Verificación de la Información</w:t>
            </w:r>
          </w:p>
        </w:tc>
        <w:tc>
          <w:tcPr>
            <w:tcW w:w="2463" w:type="dxa"/>
            <w:noWrap/>
          </w:tcPr>
          <w:p w:rsidR="00BD1AFF" w:rsidRPr="00F00804" w:rsidRDefault="00BD1AFF" w:rsidP="004A2785">
            <w:pPr>
              <w:ind w:left="229"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</w:tr>
      <w:tr w:rsidR="00F00804" w:rsidRPr="00F00804" w:rsidTr="006F5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4113F5" w:rsidRPr="00F00804" w:rsidRDefault="008E6A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83" w:type="dxa"/>
            <w:noWrap/>
            <w:vAlign w:val="center"/>
          </w:tcPr>
          <w:p w:rsidR="004113F5" w:rsidRPr="00F00804" w:rsidRDefault="003946F1" w:rsidP="008B3A9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Revisa</w:t>
            </w:r>
            <w:r w:rsidR="00392F0E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la </w:t>
            </w:r>
            <w:r w:rsidR="00392F0E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última fecha de actualización de</w:t>
            </w:r>
            <w:r w:rsidR="008B3A9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 la</w:t>
            </w:r>
            <w:r w:rsidR="00392F0E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 información que se encuentra publicada en el Portal de Transparencia</w:t>
            </w:r>
            <w:r w:rsidR="008B3A9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4113F5" w:rsidRPr="00F00804" w:rsidRDefault="00392F0E" w:rsidP="004A27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6F5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4113F5" w:rsidRPr="00F00804" w:rsidRDefault="00392F0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83" w:type="dxa"/>
            <w:noWrap/>
            <w:vAlign w:val="center"/>
          </w:tcPr>
          <w:p w:rsidR="004113F5" w:rsidRPr="00F00804" w:rsidRDefault="003946F1" w:rsidP="008B3A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Solicita</w:t>
            </w:r>
            <w:r w:rsidR="00392F0E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 la in</w:t>
            </w:r>
            <w:r w:rsidR="008B3A9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formación correspondiente a la U</w:t>
            </w:r>
            <w:r w:rsidR="00392F0E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nidad generadora de la misma que deberá ser evacuada en el término </w:t>
            </w:r>
            <w:r w:rsidR="00392F0E" w:rsidRPr="00F00804">
              <w:rPr>
                <w:rFonts w:asciiTheme="minorHAnsi" w:eastAsia="Times New Roman" w:hAnsiTheme="minorHAnsi"/>
                <w:b/>
                <w:color w:val="000000" w:themeColor="text1"/>
                <w:sz w:val="22"/>
                <w:szCs w:val="22"/>
                <w:lang w:val="es-SV" w:eastAsia="es-SV"/>
              </w:rPr>
              <w:t>de 3 días hábiles</w:t>
            </w:r>
            <w:r w:rsidR="008B3A96">
              <w:rPr>
                <w:rFonts w:asciiTheme="minorHAnsi" w:eastAsia="Times New Roman" w:hAnsiTheme="minorHAnsi"/>
                <w:b/>
                <w:color w:val="000000" w:themeColor="text1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4113F5" w:rsidRPr="00F00804" w:rsidRDefault="00392F0E" w:rsidP="004A27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6F5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392F0E" w:rsidRPr="00F00804" w:rsidRDefault="00392F0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:rsidR="00392F0E" w:rsidRPr="00F00804" w:rsidRDefault="003946F1" w:rsidP="008B3A9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Envía</w:t>
            </w:r>
            <w:r w:rsidR="00392F0E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014F4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la información que es solicitada</w:t>
            </w:r>
            <w:r w:rsidR="00392F0E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o que por cumplimiento debe de ser publicada en los per</w:t>
            </w:r>
            <w:r w:rsidR="008B3A9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í</w:t>
            </w:r>
            <w:r w:rsidR="00392F0E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odos de tiempos establecidos</w:t>
            </w:r>
            <w:r w:rsidR="00757923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en el programa anexo</w:t>
            </w:r>
            <w:r w:rsidR="00392F0E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392F0E" w:rsidRPr="00F00804" w:rsidRDefault="00392F0E" w:rsidP="004A27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Unidades Administrativas</w:t>
            </w:r>
          </w:p>
        </w:tc>
      </w:tr>
      <w:tr w:rsidR="00F00804" w:rsidRPr="00F00804" w:rsidTr="006F5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4113F5" w:rsidRPr="00F00804" w:rsidRDefault="00392F0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:rsidR="004113F5" w:rsidRPr="00F00804" w:rsidRDefault="003946F1" w:rsidP="008B3A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Recibe</w:t>
            </w:r>
            <w:r w:rsidR="00392F0E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la información q</w:t>
            </w:r>
            <w:r w:rsidR="00757923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ue es emitida por las </w:t>
            </w:r>
            <w:r w:rsidR="008B3A9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</w:t>
            </w:r>
            <w:r w:rsidR="00757923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nidades</w:t>
            </w:r>
            <w:r w:rsidR="008B3A9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4113F5" w:rsidRPr="00F00804" w:rsidRDefault="00392F0E" w:rsidP="004A27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6F5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4113F5" w:rsidRPr="00F00804" w:rsidRDefault="00392F0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183" w:type="dxa"/>
            <w:noWrap/>
            <w:vAlign w:val="center"/>
          </w:tcPr>
          <w:p w:rsidR="004113F5" w:rsidRPr="00F00804" w:rsidRDefault="00392F0E" w:rsidP="008B3A9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Revis</w:t>
            </w:r>
            <w:r w:rsidR="003946F1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a</w:t>
            </w:r>
            <w:r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 la información enviada por las dependencias para que sea publicada en la WEB</w:t>
            </w:r>
            <w:r w:rsidR="00757923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 y la convierte a los formatos requeridos</w:t>
            </w:r>
            <w:r w:rsidR="008B3A9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4113F5" w:rsidRPr="00F00804" w:rsidRDefault="000014F4" w:rsidP="004A27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6F5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4113F5" w:rsidRPr="00F00804" w:rsidRDefault="00392F0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:rsidR="004113F5" w:rsidRPr="00F00804" w:rsidRDefault="003946F1" w:rsidP="008B3A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Confirma</w:t>
            </w:r>
            <w:r w:rsidR="00392F0E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 que la información que se va publicar </w:t>
            </w:r>
            <w:r w:rsidR="00757923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es legible y/o comprensible</w:t>
            </w:r>
            <w:r w:rsidR="00392F0E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, de lo contrario solicitar a la </w:t>
            </w:r>
            <w:r w:rsidR="008B3A9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U</w:t>
            </w:r>
            <w:r w:rsidR="00392F0E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nidad generadora que rectifique y devuelva con las correcciones pertinentes dentro del término de 3 días hábiles</w:t>
            </w:r>
            <w:r w:rsidR="008B3A9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4113F5" w:rsidRPr="00F00804" w:rsidRDefault="00392F0E" w:rsidP="004A27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6F5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4113F5" w:rsidRPr="00F00804" w:rsidRDefault="004113F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183" w:type="dxa"/>
            <w:noWrap/>
            <w:vAlign w:val="center"/>
          </w:tcPr>
          <w:p w:rsidR="004113F5" w:rsidRPr="00F00804" w:rsidRDefault="00392F0E" w:rsidP="008B3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 w:eastAsia="es-ES_tradnl"/>
              </w:rPr>
              <w:t xml:space="preserve">FASE 2 – </w:t>
            </w:r>
            <w:r w:rsidRPr="00F008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SV" w:eastAsia="es-SV"/>
              </w:rPr>
              <w:t>Publicación de la Información</w:t>
            </w:r>
          </w:p>
        </w:tc>
        <w:tc>
          <w:tcPr>
            <w:tcW w:w="2463" w:type="dxa"/>
            <w:noWrap/>
            <w:vAlign w:val="center"/>
          </w:tcPr>
          <w:p w:rsidR="004113F5" w:rsidRPr="00F00804" w:rsidRDefault="004113F5" w:rsidP="004A27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0804" w:rsidRPr="00F00804" w:rsidTr="006F5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4113F5" w:rsidRPr="00F00804" w:rsidRDefault="004A278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183" w:type="dxa"/>
            <w:noWrap/>
            <w:vAlign w:val="center"/>
          </w:tcPr>
          <w:p w:rsidR="004113F5" w:rsidRPr="00F00804" w:rsidRDefault="003946F1" w:rsidP="008B3A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</w:pPr>
            <w:r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Ingresa</w:t>
            </w:r>
            <w:r w:rsidR="00D467AE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 a</w:t>
            </w:r>
            <w:r w:rsidR="004A2785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l</w:t>
            </w:r>
            <w:r w:rsidR="00D467AE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 panel de control de la</w:t>
            </w:r>
            <w:r w:rsidR="004A2785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 página web del Portal de Transparencia para realizar la publicación</w:t>
            </w:r>
            <w:r w:rsidR="008B3A96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:rsidR="004113F5" w:rsidRPr="00F00804" w:rsidRDefault="004A2785" w:rsidP="004A27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6F5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4113F5" w:rsidRPr="00F00804" w:rsidRDefault="004A278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183" w:type="dxa"/>
            <w:noWrap/>
            <w:vAlign w:val="center"/>
          </w:tcPr>
          <w:p w:rsidR="004113F5" w:rsidRPr="00F00804" w:rsidRDefault="0056622D" w:rsidP="008B3A9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</w:pPr>
            <w:r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Realiza</w:t>
            </w:r>
            <w:r w:rsidR="004A2785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 la publicación correspondiente.</w:t>
            </w:r>
          </w:p>
        </w:tc>
        <w:tc>
          <w:tcPr>
            <w:tcW w:w="2463" w:type="dxa"/>
            <w:noWrap/>
            <w:vAlign w:val="center"/>
          </w:tcPr>
          <w:p w:rsidR="004113F5" w:rsidRPr="00F00804" w:rsidRDefault="004A2785" w:rsidP="004A27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6F5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4113F5" w:rsidRPr="00F00804" w:rsidRDefault="004A278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183" w:type="dxa"/>
            <w:noWrap/>
            <w:vAlign w:val="center"/>
          </w:tcPr>
          <w:p w:rsidR="004113F5" w:rsidRPr="00F00804" w:rsidRDefault="003946F1" w:rsidP="008B3A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es-SV"/>
              </w:rPr>
              <w:t>Coloca</w:t>
            </w:r>
            <w:r w:rsidR="004A2785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 </w:t>
            </w:r>
            <w:r w:rsidR="0056622D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sin mayor trámite </w:t>
            </w:r>
            <w:r w:rsidR="004A2785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a disposición del público la información </w:t>
            </w:r>
            <w:r w:rsidR="004A2785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lastRenderedPageBreak/>
              <w:t>oficiosa de la</w:t>
            </w:r>
            <w:r w:rsidR="0056622D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 xml:space="preserve"> instituci</w:t>
            </w:r>
            <w:r w:rsidR="002265B3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s-SV" w:eastAsia="es-SV"/>
              </w:rPr>
              <w:t>ón de forma trimestral.</w:t>
            </w:r>
          </w:p>
        </w:tc>
        <w:tc>
          <w:tcPr>
            <w:tcW w:w="2463" w:type="dxa"/>
            <w:noWrap/>
            <w:vAlign w:val="center"/>
          </w:tcPr>
          <w:p w:rsidR="004113F5" w:rsidRPr="00F00804" w:rsidRDefault="004A2785" w:rsidP="004A27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Oficial de información</w:t>
            </w:r>
          </w:p>
        </w:tc>
      </w:tr>
      <w:tr w:rsidR="00F00804" w:rsidRPr="00F00804" w:rsidTr="006F5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CB1C65" w:rsidRPr="00F00804" w:rsidRDefault="00FB39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6183" w:type="dxa"/>
            <w:noWrap/>
            <w:vAlign w:val="center"/>
          </w:tcPr>
          <w:p w:rsidR="00CB1C65" w:rsidRPr="00F00804" w:rsidRDefault="0056622D" w:rsidP="008B3A9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es-SV"/>
              </w:rPr>
            </w:pPr>
            <w:r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es-SV"/>
              </w:rPr>
              <w:t>Colocará</w:t>
            </w:r>
            <w:r w:rsidR="008B2C21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es-SV"/>
              </w:rPr>
              <w:t xml:space="preserve"> una nota j</w:t>
            </w:r>
            <w:r w:rsidR="00CB1C65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es-SV"/>
              </w:rPr>
              <w:t>ustifica</w:t>
            </w:r>
            <w:r w:rsidR="008B2C21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es-SV"/>
              </w:rPr>
              <w:t>ndo</w:t>
            </w:r>
            <w:r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es-SV"/>
              </w:rPr>
              <w:t xml:space="preserve"> la</w:t>
            </w:r>
            <w:r w:rsidR="00CB1C65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es-SV"/>
              </w:rPr>
              <w:t xml:space="preserve"> no </w:t>
            </w:r>
            <w:r w:rsidR="00C8451C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es-SV"/>
              </w:rPr>
              <w:t>publicación</w:t>
            </w:r>
            <w:r w:rsidR="0087504A" w:rsidRPr="00F00804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es-SV"/>
              </w:rPr>
              <w:t>, en caso de no tener información para publicar en razón de la naturaleza de la institución.</w:t>
            </w:r>
          </w:p>
        </w:tc>
        <w:tc>
          <w:tcPr>
            <w:tcW w:w="2463" w:type="dxa"/>
            <w:noWrap/>
            <w:vAlign w:val="center"/>
          </w:tcPr>
          <w:p w:rsidR="00CB1C65" w:rsidRPr="00F00804" w:rsidRDefault="005378E2" w:rsidP="004A27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6F5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:rsidR="004113F5" w:rsidRPr="00F00804" w:rsidRDefault="004113F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183" w:type="dxa"/>
            <w:noWrap/>
            <w:vAlign w:val="center"/>
          </w:tcPr>
          <w:p w:rsidR="004113F5" w:rsidRPr="00F00804" w:rsidRDefault="004113F5" w:rsidP="004A27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3" w:type="dxa"/>
            <w:noWrap/>
            <w:vAlign w:val="center"/>
          </w:tcPr>
          <w:p w:rsidR="004113F5" w:rsidRPr="00F00804" w:rsidRDefault="004113F5" w:rsidP="004A27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0804" w:rsidRPr="00F00804" w:rsidTr="006F57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16E54" w:rsidRPr="00F00804" w:rsidRDefault="00E16E54" w:rsidP="006F57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E16E54" w:rsidRPr="00F00804" w:rsidRDefault="00E16E54" w:rsidP="004A27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FIN DEL PROCEDIMIENTO</w:t>
            </w:r>
          </w:p>
        </w:tc>
        <w:tc>
          <w:tcPr>
            <w:tcW w:w="2463" w:type="dxa"/>
            <w:noWrap/>
            <w:vAlign w:val="center"/>
          </w:tcPr>
          <w:p w:rsidR="00E16E54" w:rsidRPr="00F00804" w:rsidRDefault="00E16E54" w:rsidP="004A278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DE3746" w:rsidRPr="00F00804" w:rsidRDefault="00DE3746" w:rsidP="00757923">
      <w:pPr>
        <w:pStyle w:val="Ttulo2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0C627D" w:rsidRPr="00F00804" w:rsidRDefault="000C627D" w:rsidP="00757923">
      <w:pPr>
        <w:pStyle w:val="Ttulo2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3.</w:t>
      </w:r>
      <w:r w:rsidR="008B3A96">
        <w:rPr>
          <w:rFonts w:asciiTheme="minorHAnsi" w:hAnsiTheme="minorHAnsi" w:cs="Arial"/>
          <w:color w:val="000000" w:themeColor="text1"/>
          <w:sz w:val="22"/>
          <w:szCs w:val="22"/>
        </w:rPr>
        <w:t>2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ab/>
        <w:t>Tr</w:t>
      </w:r>
      <w:r w:rsidR="008B3A96">
        <w:rPr>
          <w:rFonts w:asciiTheme="minorHAnsi" w:hAnsiTheme="minorHAnsi" w:cs="Arial"/>
          <w:color w:val="000000" w:themeColor="text1"/>
          <w:sz w:val="22"/>
          <w:szCs w:val="22"/>
        </w:rPr>
        <w:t>á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mite de </w:t>
      </w:r>
      <w:r w:rsidR="00757923" w:rsidRPr="00F00804">
        <w:rPr>
          <w:rFonts w:asciiTheme="minorHAnsi" w:hAnsiTheme="minorHAnsi" w:cs="Arial"/>
          <w:color w:val="000000" w:themeColor="text1"/>
          <w:sz w:val="22"/>
          <w:szCs w:val="22"/>
        </w:rPr>
        <w:t>Acceso a la Información Pública</w:t>
      </w:r>
    </w:p>
    <w:p w:rsidR="000C627D" w:rsidRPr="00F00804" w:rsidRDefault="000C627D" w:rsidP="000C627D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Style w:val="Cuadrculaclara-nfasis3"/>
        <w:tblW w:w="9470" w:type="dxa"/>
        <w:jc w:val="center"/>
        <w:tblLook w:val="04A0" w:firstRow="1" w:lastRow="0" w:firstColumn="1" w:lastColumn="0" w:noHBand="0" w:noVBand="1"/>
      </w:tblPr>
      <w:tblGrid>
        <w:gridCol w:w="538"/>
        <w:gridCol w:w="6091"/>
        <w:gridCol w:w="2841"/>
      </w:tblGrid>
      <w:tr w:rsidR="00F00804" w:rsidRPr="00F00804" w:rsidTr="00507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</w:tcPr>
          <w:p w:rsidR="000C627D" w:rsidRPr="00F00804" w:rsidRDefault="000C627D" w:rsidP="002340C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  <w:p w:rsidR="000C627D" w:rsidRPr="00F00804" w:rsidRDefault="000C627D" w:rsidP="002340C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092" w:type="dxa"/>
            <w:noWrap/>
          </w:tcPr>
          <w:p w:rsidR="000C627D" w:rsidRPr="00F00804" w:rsidRDefault="000C627D" w:rsidP="002340C8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  <w:p w:rsidR="000C627D" w:rsidRPr="00F00804" w:rsidRDefault="000C627D" w:rsidP="002340C8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8B3A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RESPONSABLE DE LA EJECUCI</w:t>
            </w:r>
            <w:r w:rsidR="008B3A9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Ó</w:t>
            </w: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N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8B3A96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SV" w:eastAsia="es-SV"/>
              </w:rPr>
            </w:pPr>
            <w:r w:rsidRPr="00F0080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 w:eastAsia="es-ES_tradnl"/>
              </w:rPr>
              <w:t xml:space="preserve">FASE 1 – </w:t>
            </w:r>
            <w:r w:rsidRPr="00F008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SV" w:eastAsia="es-SV"/>
              </w:rPr>
              <w:t>Recepción y análisis de la solicitud</w:t>
            </w:r>
          </w:p>
          <w:p w:rsidR="000C627D" w:rsidRPr="00F00804" w:rsidRDefault="000C627D" w:rsidP="008B3A96">
            <w:pPr>
              <w:ind w:left="175" w:right="1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841" w:type="dxa"/>
            <w:noWrap/>
          </w:tcPr>
          <w:p w:rsidR="000C627D" w:rsidRPr="00F00804" w:rsidRDefault="000C627D" w:rsidP="002340C8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A519B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Recibe la solicitud de información y entrega constancia de recepción. (Copia de DUI)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A519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Revisar cumplimiento de requisitos formales.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A519B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Emite una resolución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subsanación de la solicitud, en el caso este no se encuentre clara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de manera que pueda ser identificada la información que se pide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notificar al ciudadano/a y se consta con 3 días para subsanar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8B3A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Elabora la resolución de admisibilidad si la solicitud está completa, se registra y se da inicio a la gestión de respuesta.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A519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Oficial de 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nformación</w:t>
            </w: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92" w:type="dxa"/>
            <w:noWrap/>
            <w:vAlign w:val="center"/>
          </w:tcPr>
          <w:p w:rsidR="000C627D" w:rsidRPr="00F00804" w:rsidRDefault="005378E2" w:rsidP="008B3A9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Ingreso de la gestión de solicitud de información </w:t>
            </w:r>
            <w:r w:rsidR="000C627D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al 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istema de 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G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estión de 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olicitudes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8B7E3E" w:rsidP="00A519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Oficial de 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nformación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A519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Analiza la clasificación de la información (No se dará tr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á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mite si es información oficiosa, confidencial o reservada, solo se informar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á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 las áreas involucradas con el visto bueno de la Gerencia General y dará respuesta)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A519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Oficial de 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nformación</w:t>
            </w: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2265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Envía los requerimientos de información a la 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nidad </w:t>
            </w:r>
            <w:r w:rsidR="00A519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dministrativa competente por medio de un memorándum, si la información no es oficiosa.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8B3A96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s-SV"/>
              </w:rPr>
            </w:pPr>
            <w:r w:rsidRPr="00F0080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 w:eastAsia="es-ES_tradnl"/>
              </w:rPr>
              <w:t xml:space="preserve">FASE 2 – </w:t>
            </w:r>
            <w:r w:rsidRPr="00F008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SV" w:eastAsia="es-SV"/>
              </w:rPr>
              <w:t>Gestión de Respuesta a Requerimiento de Información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8B3A9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Recibe la Solicitud de Información y </w:t>
            </w:r>
            <w:r w:rsidR="004734BC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confirma si es de su competencia, si 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</w:t>
            </w:r>
            <w:r w:rsidR="004734BC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 remite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nuevamente a la UAIP </w:t>
            </w:r>
            <w:r w:rsidR="004734BC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justificando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que no le</w:t>
            </w:r>
            <w:r w:rsidR="00393C19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corresponde a ellos</w:t>
            </w:r>
            <w:r w:rsidR="004734BC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dar respuesta al requerimiento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Unidades Administrativas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8B7E3E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BB2104" w:rsidP="008B3A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</w:t>
            </w:r>
            <w:r w:rsidR="008B7E3E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dentifica</w:t>
            </w:r>
            <w:r w:rsidR="00393C19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B7E3E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que la información cumple </w:t>
            </w:r>
            <w:proofErr w:type="gramStart"/>
            <w:r w:rsidR="008B7E3E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las característica</w:t>
            </w:r>
            <w:proofErr w:type="gramEnd"/>
            <w:r w:rsidR="008B7E3E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de reserva</w:t>
            </w:r>
            <w:r w:rsidR="00393C19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posterior</w:t>
            </w:r>
            <w:r w:rsidR="008B7E3E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y así lo notifica a la UAIP quien realiza la reserva </w:t>
            </w:r>
            <w:r w:rsidR="00393C19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correspondiente</w:t>
            </w:r>
            <w:r w:rsidR="008B7E3E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según lo regulado en la LAIP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8B7E3E" w:rsidP="00226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Unidades Administrativas/UA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</w:t>
            </w: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8B7E3E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8B3A9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Tramita respuesta considerando si se puede cumplir con el plazo de 5 días hábiles o si requiere de tiempo adicional.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Unidades Administrativas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8B7E3E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8B3A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Envía solicitud de tiempo adicionales por la complejidad de la información al Oficial de Información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Unidades Administrativas</w:t>
            </w: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1</w:t>
            </w:r>
            <w:r w:rsidR="008B7E3E"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2265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Elabora respuesta al requerimiento de la UAIP y evalúa la clasificación de la información (en el caso de ser reservada se notifica a la UAIP para su respectiva clasificación).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Unidades Administrativas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8B7E3E"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EA40B4" w:rsidP="008B3A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Solicita y autoriza</w:t>
            </w:r>
            <w:r w:rsidR="000C627D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la ampliación de plazo de respuestas cuando este sea requerido.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26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 y Unidades Correspondientes</w:t>
            </w: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8B3A96">
            <w:pPr>
              <w:ind w:left="175" w:right="12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SV" w:eastAsia="es-SV"/>
              </w:rPr>
            </w:pPr>
            <w:r w:rsidRPr="00F0080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 w:eastAsia="es-ES_tradnl"/>
              </w:rPr>
              <w:t xml:space="preserve">FASE 3 – </w:t>
            </w:r>
            <w:r w:rsidRPr="00F008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SV" w:eastAsia="es-SV"/>
              </w:rPr>
              <w:t>Elaboración de la Respuesta y Cierre de la Gestión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8B7E3E"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2265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Gestiona la reserva de información a la 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residencia, cuando este sea requerido y dar cumplimiento a lo que dice la LAIP 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rt.19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26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Oficial de 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nformación</w:t>
            </w: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8B7E3E"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2265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Autoriza la reserva de información, en caso sea requerido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Gerencia General – Presidencia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8B7E3E"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2265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Elabora la resolución, ya sea concedida o denegada respetando el plazo de 10 días hábiles establecidos en la LAIP o con sus prórrogas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8B7E3E"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8B3A9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Notifica respuesta al interesado de la solicitud de información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8B7E3E"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0C627D" w:rsidP="002265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Realiza el cierre de la 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g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estión</w:t>
            </w:r>
            <w:r w:rsidR="006D1E39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en el SGS</w:t>
            </w:r>
            <w:r w:rsidR="00226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B2104"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  <w:vAlign w:val="center"/>
          </w:tcPr>
          <w:p w:rsidR="000C627D" w:rsidRPr="00F00804" w:rsidRDefault="000C627D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092" w:type="dxa"/>
            <w:noWrap/>
            <w:vAlign w:val="center"/>
          </w:tcPr>
          <w:p w:rsidR="000C627D" w:rsidRPr="00F00804" w:rsidRDefault="006D1E39" w:rsidP="008B3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ES_tradnl" w:eastAsia="es-ES_tradnl"/>
              </w:rPr>
              <w:t xml:space="preserve">FASE 4 – </w:t>
            </w:r>
            <w:r w:rsidRPr="00F008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SV" w:eastAsia="es-SV"/>
              </w:rPr>
              <w:t>Apelación ante el IAIP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0C627D" w:rsidP="002340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</w:tcPr>
          <w:p w:rsidR="000C627D" w:rsidRPr="00F00804" w:rsidRDefault="005074F3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18</w:t>
            </w:r>
          </w:p>
        </w:tc>
        <w:tc>
          <w:tcPr>
            <w:tcW w:w="6092" w:type="dxa"/>
            <w:noWrap/>
            <w:vAlign w:val="center"/>
          </w:tcPr>
          <w:p w:rsidR="000C627D" w:rsidRPr="00F00804" w:rsidRDefault="005074F3" w:rsidP="008B3A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Notifica </w:t>
            </w:r>
            <w:r w:rsidR="00E16689"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 las autoridades del FOSAFFI </w:t>
            </w: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del proceso de Apelación en contra de la resolución emitida por la UAIP y los puntos que han sido demandados</w:t>
            </w:r>
            <w:r w:rsidR="00226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0C627D" w:rsidRPr="00F00804" w:rsidRDefault="005074F3" w:rsidP="00234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</w:tcPr>
          <w:p w:rsidR="005074F3" w:rsidRPr="00F00804" w:rsidRDefault="005074F3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19</w:t>
            </w:r>
          </w:p>
        </w:tc>
        <w:tc>
          <w:tcPr>
            <w:tcW w:w="6092" w:type="dxa"/>
            <w:noWrap/>
            <w:vAlign w:val="center"/>
          </w:tcPr>
          <w:p w:rsidR="005074F3" w:rsidRPr="00F00804" w:rsidRDefault="002A2A5C" w:rsidP="008B3A9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Recomienda a </w:t>
            </w:r>
            <w:r w:rsidR="005074F3"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 Gerencia General/Presidencia/Comité Administrador, sobre la forma de proceder en el caso de Apelación</w:t>
            </w:r>
            <w:r w:rsidR="00226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5074F3" w:rsidRPr="00F00804" w:rsidRDefault="005074F3" w:rsidP="002340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</w:tcPr>
          <w:p w:rsidR="005074F3" w:rsidRPr="00F00804" w:rsidRDefault="005074F3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20</w:t>
            </w:r>
          </w:p>
        </w:tc>
        <w:tc>
          <w:tcPr>
            <w:tcW w:w="6092" w:type="dxa"/>
            <w:noWrap/>
            <w:vAlign w:val="center"/>
          </w:tcPr>
          <w:p w:rsidR="005074F3" w:rsidRPr="00F00804" w:rsidRDefault="005074F3" w:rsidP="002265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Nombran Apoderado que representará a la </w:t>
            </w:r>
            <w:r w:rsidR="00226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nstitución en el caso</w:t>
            </w:r>
            <w:r w:rsidR="00226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desde el inicio hasta el final del proceso de Apelación</w:t>
            </w:r>
            <w:r w:rsidR="00226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5074F3" w:rsidRPr="00F00804" w:rsidRDefault="005074F3" w:rsidP="00234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Gerencia General/Presidencia/Comité Administrador</w:t>
            </w: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</w:tcPr>
          <w:p w:rsidR="005074F3" w:rsidRPr="00F00804" w:rsidRDefault="005074F3" w:rsidP="005074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21</w:t>
            </w:r>
          </w:p>
        </w:tc>
        <w:tc>
          <w:tcPr>
            <w:tcW w:w="6092" w:type="dxa"/>
            <w:noWrap/>
            <w:vAlign w:val="center"/>
          </w:tcPr>
          <w:p w:rsidR="005074F3" w:rsidRPr="00F00804" w:rsidRDefault="005074F3" w:rsidP="008B3A9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 muestra parte y alega la defensa requerida en el caso</w:t>
            </w:r>
            <w:r w:rsidR="00226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5074F3" w:rsidRPr="00F00804" w:rsidRDefault="005074F3" w:rsidP="00507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Apoderado Legal de</w:t>
            </w:r>
            <w:r w:rsidR="00226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</w:t>
            </w: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FOSAFFI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</w:tcPr>
          <w:p w:rsidR="005074F3" w:rsidRPr="00F00804" w:rsidRDefault="005074F3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22</w:t>
            </w:r>
          </w:p>
        </w:tc>
        <w:tc>
          <w:tcPr>
            <w:tcW w:w="6092" w:type="dxa"/>
            <w:noWrap/>
            <w:vAlign w:val="center"/>
          </w:tcPr>
          <w:p w:rsidR="005074F3" w:rsidRPr="00F00804" w:rsidRDefault="005074F3" w:rsidP="008B3A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 cumplimiento a la resolución definitiva del IAIP en caso de ser ordenada la entrega de información</w:t>
            </w:r>
            <w:r w:rsidR="00226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5074F3" w:rsidRPr="00F00804" w:rsidRDefault="005074F3" w:rsidP="00234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5074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</w:tcPr>
          <w:p w:rsidR="005074F3" w:rsidRPr="00F00804" w:rsidRDefault="005074F3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  <w:t>23</w:t>
            </w:r>
          </w:p>
        </w:tc>
        <w:tc>
          <w:tcPr>
            <w:tcW w:w="6092" w:type="dxa"/>
            <w:noWrap/>
            <w:vAlign w:val="center"/>
          </w:tcPr>
          <w:p w:rsidR="005074F3" w:rsidRPr="00F00804" w:rsidRDefault="005074F3" w:rsidP="008B3A9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Cierra definitivamente el caso si el IAIP confirma resolución de la UAIP</w:t>
            </w:r>
            <w:r w:rsidR="00226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41" w:type="dxa"/>
            <w:noWrap/>
            <w:vAlign w:val="center"/>
          </w:tcPr>
          <w:p w:rsidR="005074F3" w:rsidRPr="00F00804" w:rsidRDefault="005074F3" w:rsidP="002340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Oficial de Información</w:t>
            </w:r>
          </w:p>
        </w:tc>
      </w:tr>
      <w:tr w:rsidR="00F00804" w:rsidRPr="00F00804" w:rsidTr="0050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noWrap/>
          </w:tcPr>
          <w:p w:rsidR="005074F3" w:rsidRPr="00F00804" w:rsidRDefault="005074F3" w:rsidP="002340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092" w:type="dxa"/>
            <w:noWrap/>
            <w:vAlign w:val="center"/>
          </w:tcPr>
          <w:p w:rsidR="005074F3" w:rsidRPr="00F00804" w:rsidRDefault="005074F3" w:rsidP="008B3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080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FIN DEL PROCEDIMIENTO</w:t>
            </w:r>
          </w:p>
        </w:tc>
        <w:tc>
          <w:tcPr>
            <w:tcW w:w="2841" w:type="dxa"/>
            <w:noWrap/>
            <w:vAlign w:val="center"/>
          </w:tcPr>
          <w:p w:rsidR="005074F3" w:rsidRPr="00F00804" w:rsidRDefault="005074F3" w:rsidP="00234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0C627D" w:rsidRPr="00F00804" w:rsidRDefault="000C627D" w:rsidP="0018435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2611D" w:rsidRPr="00F00804" w:rsidRDefault="00B2611D" w:rsidP="00B2611D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bookmarkStart w:id="10" w:name="_Toc397329162"/>
      <w:r w:rsidRPr="00F00804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RESPONSABILIDADES</w:t>
      </w:r>
    </w:p>
    <w:p w:rsidR="00ED63BC" w:rsidRPr="00F00804" w:rsidRDefault="00ED63BC" w:rsidP="00ED63BC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5074F3" w:rsidRPr="00F00804" w:rsidRDefault="00620671" w:rsidP="002265B3">
      <w:pPr>
        <w:pStyle w:val="Prrafodelista"/>
        <w:numPr>
          <w:ilvl w:val="0"/>
          <w:numId w:val="33"/>
        </w:numPr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s-MX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  <w:lang w:val="es-MX"/>
        </w:rPr>
        <w:t>La Oficial de Información</w:t>
      </w:r>
      <w:r w:rsidR="002265B3">
        <w:rPr>
          <w:rFonts w:asciiTheme="minorHAnsi" w:hAnsiTheme="minorHAnsi" w:cs="Arial"/>
          <w:b/>
          <w:color w:val="000000" w:themeColor="text1"/>
          <w:sz w:val="22"/>
          <w:szCs w:val="22"/>
          <w:lang w:val="es-MX"/>
        </w:rPr>
        <w:t>.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 </w:t>
      </w:r>
      <w:r w:rsidR="002265B3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D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eberá atender las solicitudes de acceso a la información que ingresen por cualquiera de las formas contempladas en la LAIP</w:t>
      </w:r>
      <w:r w:rsidR="00215C1B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, las </w:t>
      </w:r>
      <w:r w:rsidR="002265B3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U</w:t>
      </w:r>
      <w:r w:rsidR="00215C1B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nidades </w:t>
      </w:r>
      <w:r w:rsidR="002265B3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A</w:t>
      </w:r>
      <w:r w:rsidR="00215C1B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dministrativas que manejan ese tipo de información deberán remitir oportunamente la información solicitada para que la Oficial de Información prepare la respuesta y entregue o deniegue la información según corresponde, cumpliendo los plazos establecidos en la Ley. De todo lo anterior se dejará constancia en un Expediente Administrativo.</w:t>
      </w:r>
    </w:p>
    <w:p w:rsidR="005074F3" w:rsidRPr="00F00804" w:rsidRDefault="005074F3" w:rsidP="002265B3">
      <w:pPr>
        <w:pStyle w:val="Prrafodelista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s-MX"/>
        </w:rPr>
      </w:pPr>
    </w:p>
    <w:p w:rsidR="00B2611D" w:rsidRPr="00F00804" w:rsidRDefault="00663364" w:rsidP="002265B3">
      <w:pPr>
        <w:pStyle w:val="Prrafodelista"/>
        <w:numPr>
          <w:ilvl w:val="0"/>
          <w:numId w:val="33"/>
        </w:numPr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s-MX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  <w:lang w:val="es-MX"/>
        </w:rPr>
        <w:t>Unidades Administrativas.</w:t>
      </w:r>
      <w:r w:rsidR="002E1B5A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 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So</w:t>
      </w:r>
      <w:r w:rsidR="002E1B5A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n responsables de proporcionar la información generada de las actividades y gestiones de negocios llevados a cabo, mínimo de forma trimestral, para su actuali</w:t>
      </w:r>
      <w:r w:rsidR="00215C1B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zación en el sitio WEB de acuerdo a lo establecido en la LAIP.</w:t>
      </w:r>
      <w:r w:rsidR="006B1E60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 Para el caso del manejo de </w:t>
      </w:r>
      <w:r w:rsidR="006B1E60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lastRenderedPageBreak/>
        <w:t xml:space="preserve">datos personales las </w:t>
      </w:r>
      <w:r w:rsidR="002265B3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U</w:t>
      </w:r>
      <w:r w:rsidR="006B1E60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nidades </w:t>
      </w:r>
      <w:r w:rsidR="002265B3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A</w:t>
      </w:r>
      <w:r w:rsidR="006B1E60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dministrativas </w:t>
      </w:r>
      <w:r w:rsidR="004071E1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estarán obligad</w:t>
      </w:r>
      <w:r w:rsidR="006B1E60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a</w:t>
      </w:r>
      <w:r w:rsidR="004071E1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s </w:t>
      </w:r>
      <w:r w:rsidR="00DE3746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por la Ley y la Constitución a</w:t>
      </w:r>
      <w:r w:rsidR="006B1E60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 la protección y almacenamiento</w:t>
      </w:r>
      <w:r w:rsidR="004071E1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 diligente, observando lo regulado en la LAIP y la Constitución de la República.</w:t>
      </w:r>
    </w:p>
    <w:p w:rsidR="00490364" w:rsidRPr="00F00804" w:rsidRDefault="00490364" w:rsidP="00490364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Cs w:val="0"/>
          <w:color w:val="000000" w:themeColor="text1"/>
          <w:sz w:val="22"/>
          <w:szCs w:val="22"/>
        </w:rPr>
        <w:t>VIGENCIA Y DIVULGACION</w:t>
      </w:r>
      <w:bookmarkEnd w:id="10"/>
    </w:p>
    <w:p w:rsidR="00490364" w:rsidRPr="00F00804" w:rsidRDefault="00490364" w:rsidP="00490364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490364" w:rsidRPr="00F00804" w:rsidRDefault="00490364" w:rsidP="0036445D">
      <w:pPr>
        <w:ind w:left="360" w:hanging="360"/>
        <w:rPr>
          <w:rFonts w:asciiTheme="minorHAnsi" w:hAnsiTheme="minorHAnsi" w:cs="Arial"/>
          <w:color w:val="000000" w:themeColor="text1"/>
          <w:sz w:val="22"/>
          <w:szCs w:val="22"/>
          <w:lang w:val="es-MX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a)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ab/>
        <w:t xml:space="preserve">El presente </w:t>
      </w:r>
      <w:r w:rsidR="00500B29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I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nstrumento entrará en vigencia </w:t>
      </w:r>
      <w:r w:rsidR="00500B29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el</w:t>
      </w:r>
      <w:r w:rsidR="0039075F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 1 de julio de 2018.</w:t>
      </w:r>
    </w:p>
    <w:p w:rsidR="00490364" w:rsidRPr="00F00804" w:rsidRDefault="00490364" w:rsidP="00490364">
      <w:pPr>
        <w:rPr>
          <w:rFonts w:asciiTheme="minorHAnsi" w:hAnsiTheme="minorHAnsi" w:cs="Arial"/>
          <w:color w:val="000000" w:themeColor="text1"/>
          <w:sz w:val="22"/>
          <w:szCs w:val="22"/>
          <w:lang w:val="es-MX"/>
        </w:rPr>
      </w:pPr>
    </w:p>
    <w:p w:rsidR="00490364" w:rsidRDefault="00490364" w:rsidP="00DE3746">
      <w:pPr>
        <w:ind w:left="360" w:hanging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s-MX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b)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ab/>
        <w:t xml:space="preserve">Este </w:t>
      </w:r>
      <w:r w:rsidR="00500B29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I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nstrumento </w:t>
      </w:r>
      <w:r w:rsidR="00500B29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A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dministrativo será divulgado por </w:t>
      </w:r>
      <w:r w:rsidR="0039075F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la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 </w:t>
      </w:r>
      <w:r w:rsidR="0039075F"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Unidad de Acceso a la Información Pública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 xml:space="preserve"> a través de la Intranet Institucional o por otros m</w:t>
      </w:r>
      <w:bookmarkStart w:id="11" w:name="_GoBack"/>
      <w:bookmarkEnd w:id="11"/>
      <w:r w:rsidRPr="00F00804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edios disponibles, sin restricciones de consulta interna.</w:t>
      </w:r>
    </w:p>
    <w:p w:rsidR="00322070" w:rsidRDefault="00322070" w:rsidP="00DE3746">
      <w:pPr>
        <w:ind w:left="360" w:hanging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s-MX"/>
        </w:rPr>
      </w:pPr>
    </w:p>
    <w:p w:rsidR="00322070" w:rsidRDefault="00322070" w:rsidP="00322070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color w:val="000000" w:themeColor="text1"/>
          <w:sz w:val="22"/>
          <w:szCs w:val="22"/>
          <w:lang w:val="es-MX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DEROGATORIA</w:t>
      </w:r>
    </w:p>
    <w:p w:rsidR="00322070" w:rsidRPr="00322070" w:rsidRDefault="00322070" w:rsidP="00322070">
      <w:pPr>
        <w:jc w:val="both"/>
        <w:rPr>
          <w:rFonts w:asciiTheme="minorHAnsi" w:hAnsiTheme="minorHAnsi" w:cs="Arial"/>
          <w:color w:val="000000" w:themeColor="text1"/>
          <w:sz w:val="22"/>
          <w:szCs w:val="22"/>
          <w:lang w:val="es-MX"/>
        </w:rPr>
      </w:pPr>
      <w:r w:rsidRPr="00322070">
        <w:rPr>
          <w:rFonts w:asciiTheme="minorHAnsi" w:hAnsiTheme="minorHAnsi" w:cs="Arial"/>
          <w:color w:val="000000" w:themeColor="text1"/>
          <w:sz w:val="22"/>
          <w:szCs w:val="22"/>
          <w:lang w:val="es-MX"/>
        </w:rPr>
        <w:t>El presente Procedimiento de Acceso a la Información deroga el documento normativo llamado e identificado como Lineamientos y Procedimiento para la Gestión de Solicitudes de Acceso a la Información Pública IAF 58 Aprobado el día 3 de mayo de 2017.</w:t>
      </w:r>
    </w:p>
    <w:p w:rsidR="00490364" w:rsidRPr="00F00804" w:rsidRDefault="00490364" w:rsidP="00490364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="Arial"/>
          <w:bCs w:val="0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Cs w:val="0"/>
          <w:color w:val="000000" w:themeColor="text1"/>
          <w:sz w:val="22"/>
          <w:szCs w:val="22"/>
        </w:rPr>
        <w:t>CONTROL</w:t>
      </w:r>
      <w:r w:rsidR="00641B21" w:rsidRPr="00F00804">
        <w:rPr>
          <w:rFonts w:asciiTheme="minorHAnsi" w:hAnsiTheme="minorHAnsi" w:cs="Arial"/>
          <w:bCs w:val="0"/>
          <w:color w:val="000000" w:themeColor="text1"/>
          <w:sz w:val="22"/>
          <w:szCs w:val="22"/>
        </w:rPr>
        <w:t xml:space="preserve"> </w:t>
      </w:r>
      <w:r w:rsidRPr="00F00804">
        <w:rPr>
          <w:rFonts w:asciiTheme="minorHAnsi" w:hAnsiTheme="minorHAnsi" w:cs="Arial"/>
          <w:bCs w:val="0"/>
          <w:color w:val="000000" w:themeColor="text1"/>
          <w:sz w:val="22"/>
          <w:szCs w:val="22"/>
        </w:rPr>
        <w:t>DE CAMBIOS</w:t>
      </w:r>
    </w:p>
    <w:p w:rsidR="00490364" w:rsidRPr="00F00804" w:rsidRDefault="00490364" w:rsidP="00490364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2611D" w:rsidRPr="00F00804" w:rsidRDefault="00B2611D" w:rsidP="00B2611D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>Versión original aprobad</w:t>
      </w:r>
      <w:r w:rsidR="00500B29">
        <w:rPr>
          <w:rFonts w:asciiTheme="minorHAnsi" w:hAnsiTheme="minorHAnsi" w:cs="Arial"/>
          <w:color w:val="000000" w:themeColor="text1"/>
          <w:sz w:val="22"/>
          <w:szCs w:val="22"/>
        </w:rPr>
        <w:t>a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por</w:t>
      </w:r>
      <w:r w:rsidR="00500B29">
        <w:rPr>
          <w:rFonts w:asciiTheme="minorHAnsi" w:hAnsiTheme="minorHAnsi" w:cs="Arial"/>
          <w:color w:val="000000" w:themeColor="text1"/>
          <w:sz w:val="22"/>
          <w:szCs w:val="22"/>
        </w:rPr>
        <w:t xml:space="preserve"> la</w:t>
      </w:r>
      <w:r w:rsidRPr="00F00804">
        <w:rPr>
          <w:rFonts w:asciiTheme="minorHAnsi" w:hAnsiTheme="minorHAnsi" w:cs="Arial"/>
          <w:color w:val="000000" w:themeColor="text1"/>
          <w:sz w:val="22"/>
          <w:szCs w:val="22"/>
        </w:rPr>
        <w:t xml:space="preserve"> Gerencia General el </w:t>
      </w:r>
      <w:r w:rsidR="0039075F" w:rsidRPr="00F00804">
        <w:rPr>
          <w:rFonts w:asciiTheme="minorHAnsi" w:hAnsiTheme="minorHAnsi" w:cs="Arial"/>
          <w:color w:val="000000" w:themeColor="text1"/>
          <w:sz w:val="22"/>
          <w:szCs w:val="22"/>
        </w:rPr>
        <w:t>31 de mayo de 2018.</w:t>
      </w:r>
    </w:p>
    <w:p w:rsidR="00B2611D" w:rsidRDefault="00B2611D" w:rsidP="00B2611D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F00804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ANEXOS</w:t>
      </w:r>
    </w:p>
    <w:p w:rsidR="00500B29" w:rsidRPr="00500B29" w:rsidRDefault="00500B29" w:rsidP="00500B29"/>
    <w:p w:rsidR="00B2611D" w:rsidRPr="00F00804" w:rsidRDefault="00F00804" w:rsidP="00B2611D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F00804">
        <w:rPr>
          <w:rFonts w:asciiTheme="minorHAnsi" w:hAnsiTheme="minorHAnsi" w:cs="Arial"/>
          <w:b/>
          <w:color w:val="000000" w:themeColor="text1"/>
          <w:sz w:val="22"/>
          <w:szCs w:val="22"/>
        </w:rPr>
        <w:t>PROGRAMA PARA LA OBTENCIÓN DE INFORMACIÓN OFICIOSA</w:t>
      </w:r>
    </w:p>
    <w:p w:rsidR="0039075F" w:rsidRDefault="0039075F" w:rsidP="00B2611D">
      <w:pPr>
        <w:pStyle w:val="Ttulo1"/>
        <w:keepLines w:val="0"/>
        <w:spacing w:before="240" w:after="60"/>
        <w:rPr>
          <w:rFonts w:ascii="Arial" w:hAnsi="Arial" w:cs="Arial"/>
        </w:rPr>
      </w:pPr>
    </w:p>
    <w:p w:rsidR="0039075F" w:rsidRPr="0039075F" w:rsidRDefault="0039075F" w:rsidP="0039075F"/>
    <w:p w:rsidR="0039075F" w:rsidRPr="0039075F" w:rsidRDefault="0039075F" w:rsidP="0039075F"/>
    <w:p w:rsidR="0039075F" w:rsidRPr="0039075F" w:rsidRDefault="0039075F" w:rsidP="0039075F"/>
    <w:p w:rsidR="0039075F" w:rsidRPr="0039075F" w:rsidRDefault="0039075F" w:rsidP="0039075F"/>
    <w:p w:rsidR="0039075F" w:rsidRPr="0039075F" w:rsidRDefault="0039075F" w:rsidP="0039075F"/>
    <w:p w:rsidR="0039075F" w:rsidRPr="0039075F" w:rsidRDefault="0039075F" w:rsidP="0039075F"/>
    <w:p w:rsidR="0039075F" w:rsidRPr="0039075F" w:rsidRDefault="0039075F" w:rsidP="0039075F"/>
    <w:p w:rsidR="0039075F" w:rsidRPr="0039075F" w:rsidRDefault="0039075F" w:rsidP="0039075F"/>
    <w:p w:rsidR="0039075F" w:rsidRPr="0039075F" w:rsidRDefault="0039075F" w:rsidP="0039075F"/>
    <w:p w:rsidR="0039075F" w:rsidRPr="0039075F" w:rsidRDefault="0039075F" w:rsidP="0039075F"/>
    <w:p w:rsidR="0039075F" w:rsidRPr="0039075F" w:rsidRDefault="0039075F" w:rsidP="0039075F"/>
    <w:p w:rsidR="0039075F" w:rsidRPr="0039075F" w:rsidRDefault="0039075F" w:rsidP="0039075F"/>
    <w:p w:rsidR="0039075F" w:rsidRDefault="0039075F" w:rsidP="0039075F"/>
    <w:p w:rsidR="00D720A5" w:rsidRPr="0039075F" w:rsidRDefault="00D720A5" w:rsidP="0039075F">
      <w:pPr>
        <w:jc w:val="center"/>
      </w:pPr>
    </w:p>
    <w:sectPr w:rsidR="00D720A5" w:rsidRPr="0039075F" w:rsidSect="003B20E2">
      <w:headerReference w:type="default" r:id="rId9"/>
      <w:footerReference w:type="default" r:id="rId10"/>
      <w:pgSz w:w="12242" w:h="15842" w:code="1"/>
      <w:pgMar w:top="1661" w:right="128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AD" w:rsidRDefault="002C7BAD">
      <w:r>
        <w:separator/>
      </w:r>
    </w:p>
  </w:endnote>
  <w:endnote w:type="continuationSeparator" w:id="0">
    <w:p w:rsidR="002C7BAD" w:rsidRDefault="002C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2265B3" w:rsidRPr="003016FC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2265B3" w:rsidRPr="00B1274D" w:rsidRDefault="002265B3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322070">
            <w:rPr>
              <w:rFonts w:ascii="Calibri" w:hAnsi="Calibri" w:cs="Calibri"/>
              <w:noProof/>
              <w:color w:val="auto"/>
              <w:sz w:val="16"/>
              <w:szCs w:val="16"/>
            </w:rPr>
            <w:t>8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322070">
            <w:rPr>
              <w:rFonts w:ascii="Calibri" w:hAnsi="Calibri" w:cs="Calibri"/>
              <w:noProof/>
              <w:color w:val="auto"/>
              <w:sz w:val="16"/>
              <w:szCs w:val="16"/>
            </w:rPr>
            <w:t>8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2265B3" w:rsidRPr="00B1274D" w:rsidRDefault="002265B3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Código:  </w:t>
          </w:r>
          <w:r w:rsidRPr="00BD128A">
            <w:rPr>
              <w:rFonts w:ascii="Calibri" w:hAnsi="Calibri" w:cs="Calibri"/>
              <w:color w:val="auto"/>
              <w:sz w:val="16"/>
              <w:szCs w:val="16"/>
            </w:rPr>
            <w:t>IAF194</w:t>
          </w:r>
        </w:p>
      </w:tc>
      <w:tc>
        <w:tcPr>
          <w:tcW w:w="2694" w:type="dxa"/>
          <w:vAlign w:val="center"/>
        </w:tcPr>
        <w:p w:rsidR="002265B3" w:rsidRPr="00B1274D" w:rsidRDefault="002265B3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 Unidad de Acceso a la Información Pública</w:t>
          </w:r>
        </w:p>
        <w:p w:rsidR="002265B3" w:rsidRPr="00B1274D" w:rsidRDefault="002265B3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2265B3" w:rsidRPr="00B1274D" w:rsidRDefault="002265B3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2265B3" w:rsidRPr="00B1274D" w:rsidRDefault="002265B3" w:rsidP="0039075F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31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de mayo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</w:tr>
  </w:tbl>
  <w:p w:rsidR="002265B3" w:rsidRPr="00E619C9" w:rsidRDefault="002265B3" w:rsidP="006F57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AD" w:rsidRDefault="002C7BAD">
      <w:r>
        <w:separator/>
      </w:r>
    </w:p>
  </w:footnote>
  <w:footnote w:type="continuationSeparator" w:id="0">
    <w:p w:rsidR="002C7BAD" w:rsidRDefault="002C7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B3" w:rsidRPr="002340C8" w:rsidRDefault="002265B3" w:rsidP="003B20E2">
    <w:pPr>
      <w:pBdr>
        <w:bottom w:val="single" w:sz="4" w:space="1" w:color="auto"/>
      </w:pBdr>
      <w:suppressAutoHyphens/>
      <w:rPr>
        <w:rFonts w:eastAsia="Times New Roman" w:cs="Arial"/>
        <w:b/>
        <w:sz w:val="20"/>
        <w:szCs w:val="20"/>
        <w:lang w:eastAsia="ar-SA"/>
      </w:rPr>
    </w:pPr>
    <w:r w:rsidRPr="003B20E2">
      <w:rPr>
        <w:rFonts w:eastAsia="Times New Roman" w:cs="Arial"/>
        <w:b/>
        <w:noProof/>
        <w:sz w:val="18"/>
        <w:szCs w:val="18"/>
        <w:lang w:val="es-SV" w:eastAsia="es-SV"/>
      </w:rPr>
      <w:drawing>
        <wp:inline distT="0" distB="0" distL="0" distR="0" wp14:anchorId="36C95207" wp14:editId="645CAAE9">
          <wp:extent cx="1057275" cy="305823"/>
          <wp:effectExtent l="0" t="0" r="0" b="0"/>
          <wp:docPr id="3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33" cy="31856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Pr="003B20E2">
      <w:rPr>
        <w:rFonts w:eastAsia="Times New Roman" w:cs="Arial"/>
        <w:b/>
        <w:color w:val="4F81BD" w:themeColor="accent1"/>
        <w:sz w:val="22"/>
        <w:szCs w:val="22"/>
        <w:lang w:eastAsia="ar-SA"/>
      </w:rPr>
      <w:t xml:space="preserve">  </w:t>
    </w:r>
    <w:r w:rsidRPr="002340C8">
      <w:rPr>
        <w:rFonts w:eastAsia="Times New Roman" w:cs="Arial"/>
        <w:b/>
        <w:sz w:val="20"/>
        <w:szCs w:val="20"/>
        <w:lang w:eastAsia="ar-SA"/>
      </w:rPr>
      <w:t>PROCEDIMIENTO DE ACCESO A LA INFORMACI</w:t>
    </w:r>
    <w:r>
      <w:rPr>
        <w:rFonts w:eastAsia="Times New Roman" w:cs="Arial"/>
        <w:b/>
        <w:sz w:val="20"/>
        <w:szCs w:val="20"/>
        <w:lang w:eastAsia="ar-SA"/>
      </w:rPr>
      <w:t>Ó</w:t>
    </w:r>
    <w:r w:rsidRPr="002340C8">
      <w:rPr>
        <w:rFonts w:eastAsia="Times New Roman" w:cs="Arial"/>
        <w:b/>
        <w:sz w:val="20"/>
        <w:szCs w:val="20"/>
        <w:lang w:eastAsia="ar-SA"/>
      </w:rPr>
      <w:t>N PÚBLICA DE</w:t>
    </w:r>
    <w:r>
      <w:rPr>
        <w:rFonts w:eastAsia="Times New Roman" w:cs="Arial"/>
        <w:b/>
        <w:sz w:val="20"/>
        <w:szCs w:val="20"/>
        <w:lang w:eastAsia="ar-SA"/>
      </w:rPr>
      <w:t>L</w:t>
    </w:r>
    <w:r w:rsidRPr="002340C8">
      <w:rPr>
        <w:rFonts w:eastAsia="Times New Roman" w:cs="Arial"/>
        <w:b/>
        <w:sz w:val="20"/>
        <w:szCs w:val="20"/>
        <w:lang w:eastAsia="ar-SA"/>
      </w:rPr>
      <w:t xml:space="preserve"> FOSAFFI</w:t>
    </w:r>
  </w:p>
  <w:p w:rsidR="002265B3" w:rsidRDefault="002265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75pt;height:9.75pt" o:bullet="t">
        <v:imagedata r:id="rId1" o:title="BD21301_"/>
      </v:shape>
    </w:pict>
  </w:numPicBullet>
  <w:abstractNum w:abstractNumId="0">
    <w:nsid w:val="03CC5B6E"/>
    <w:multiLevelType w:val="hybridMultilevel"/>
    <w:tmpl w:val="AA5873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939"/>
    <w:multiLevelType w:val="hybridMultilevel"/>
    <w:tmpl w:val="A1605F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C4E8F"/>
    <w:multiLevelType w:val="hybridMultilevel"/>
    <w:tmpl w:val="F656EBA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5E0F58"/>
    <w:multiLevelType w:val="hybridMultilevel"/>
    <w:tmpl w:val="BB24DE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80A76"/>
    <w:multiLevelType w:val="hybridMultilevel"/>
    <w:tmpl w:val="09567B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27647"/>
    <w:multiLevelType w:val="hybridMultilevel"/>
    <w:tmpl w:val="C29682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24C0124B"/>
    <w:multiLevelType w:val="multilevel"/>
    <w:tmpl w:val="717E6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>
    <w:nsid w:val="2A257ACB"/>
    <w:multiLevelType w:val="hybridMultilevel"/>
    <w:tmpl w:val="48ECE67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F093D"/>
    <w:multiLevelType w:val="hybridMultilevel"/>
    <w:tmpl w:val="8C6C6C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323F5621"/>
    <w:multiLevelType w:val="hybridMultilevel"/>
    <w:tmpl w:val="D8BADF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10994"/>
    <w:multiLevelType w:val="hybridMultilevel"/>
    <w:tmpl w:val="40C42DD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832C0B"/>
    <w:multiLevelType w:val="hybridMultilevel"/>
    <w:tmpl w:val="AEE88C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A2B71"/>
    <w:multiLevelType w:val="hybridMultilevel"/>
    <w:tmpl w:val="CC6E3822"/>
    <w:lvl w:ilvl="0" w:tplc="A3CEC7D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C5196"/>
    <w:multiLevelType w:val="hybridMultilevel"/>
    <w:tmpl w:val="67B626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86BA2"/>
    <w:multiLevelType w:val="hybridMultilevel"/>
    <w:tmpl w:val="E1004F0C"/>
    <w:lvl w:ilvl="0" w:tplc="440A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7">
    <w:nsid w:val="4A9743E3"/>
    <w:multiLevelType w:val="hybridMultilevel"/>
    <w:tmpl w:val="29225C5E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B390BFB"/>
    <w:multiLevelType w:val="hybridMultilevel"/>
    <w:tmpl w:val="6EAAC94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886A52"/>
    <w:multiLevelType w:val="hybridMultilevel"/>
    <w:tmpl w:val="462A16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70356"/>
    <w:multiLevelType w:val="hybridMultilevel"/>
    <w:tmpl w:val="684CC0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6D2117"/>
    <w:multiLevelType w:val="hybridMultilevel"/>
    <w:tmpl w:val="A2565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EF679A"/>
    <w:multiLevelType w:val="hybridMultilevel"/>
    <w:tmpl w:val="B50E74A0"/>
    <w:lvl w:ilvl="0" w:tplc="4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35B9E"/>
    <w:multiLevelType w:val="hybridMultilevel"/>
    <w:tmpl w:val="B30AFD2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5930E69"/>
    <w:multiLevelType w:val="hybridMultilevel"/>
    <w:tmpl w:val="E58E1B30"/>
    <w:lvl w:ilvl="0" w:tplc="00F27C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997754"/>
    <w:multiLevelType w:val="hybridMultilevel"/>
    <w:tmpl w:val="21E48D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407FB"/>
    <w:multiLevelType w:val="hybridMultilevel"/>
    <w:tmpl w:val="BE125EB2"/>
    <w:lvl w:ilvl="0" w:tplc="00F27CF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703EC6"/>
    <w:multiLevelType w:val="hybridMultilevel"/>
    <w:tmpl w:val="D5D4CC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321E7"/>
    <w:multiLevelType w:val="hybridMultilevel"/>
    <w:tmpl w:val="ACCEFE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955D0B"/>
    <w:multiLevelType w:val="hybridMultilevel"/>
    <w:tmpl w:val="6EDA3178"/>
    <w:lvl w:ilvl="0" w:tplc="FCA25500">
      <w:start w:val="1"/>
      <w:numFmt w:val="lowerLetter"/>
      <w:lvlText w:val="%1)"/>
      <w:lvlJc w:val="left"/>
      <w:pPr>
        <w:ind w:left="705" w:hanging="64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900503B"/>
    <w:multiLevelType w:val="hybridMultilevel"/>
    <w:tmpl w:val="3648B3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AF41CA"/>
    <w:multiLevelType w:val="multilevel"/>
    <w:tmpl w:val="40AC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3"/>
  </w:num>
  <w:num w:numId="5">
    <w:abstractNumId w:val="15"/>
  </w:num>
  <w:num w:numId="6">
    <w:abstractNumId w:val="25"/>
  </w:num>
  <w:num w:numId="7">
    <w:abstractNumId w:val="28"/>
  </w:num>
  <w:num w:numId="8">
    <w:abstractNumId w:val="14"/>
  </w:num>
  <w:num w:numId="9">
    <w:abstractNumId w:val="27"/>
  </w:num>
  <w:num w:numId="10">
    <w:abstractNumId w:val="17"/>
  </w:num>
  <w:num w:numId="11">
    <w:abstractNumId w:val="21"/>
  </w:num>
  <w:num w:numId="12">
    <w:abstractNumId w:val="2"/>
  </w:num>
  <w:num w:numId="13">
    <w:abstractNumId w:val="3"/>
  </w:num>
  <w:num w:numId="14">
    <w:abstractNumId w:val="16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9"/>
  </w:num>
  <w:num w:numId="18">
    <w:abstractNumId w:val="8"/>
  </w:num>
  <w:num w:numId="19">
    <w:abstractNumId w:val="9"/>
  </w:num>
  <w:num w:numId="20">
    <w:abstractNumId w:val="12"/>
  </w:num>
  <w:num w:numId="21">
    <w:abstractNumId w:val="31"/>
  </w:num>
  <w:num w:numId="22">
    <w:abstractNumId w:val="18"/>
  </w:num>
  <w:num w:numId="23">
    <w:abstractNumId w:val="5"/>
  </w:num>
  <w:num w:numId="24">
    <w:abstractNumId w:val="13"/>
  </w:num>
  <w:num w:numId="25">
    <w:abstractNumId w:val="26"/>
  </w:num>
  <w:num w:numId="26">
    <w:abstractNumId w:val="24"/>
  </w:num>
  <w:num w:numId="27">
    <w:abstractNumId w:val="0"/>
  </w:num>
  <w:num w:numId="28">
    <w:abstractNumId w:val="30"/>
  </w:num>
  <w:num w:numId="29">
    <w:abstractNumId w:val="4"/>
  </w:num>
  <w:num w:numId="30">
    <w:abstractNumId w:val="22"/>
  </w:num>
  <w:num w:numId="31">
    <w:abstractNumId w:val="20"/>
  </w:num>
  <w:num w:numId="32">
    <w:abstractNumId w:val="1"/>
  </w:num>
  <w:num w:numId="3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la2">
    <w15:presenceInfo w15:providerId="AD" w15:userId="S-1-5-21-2025429265-1935655697-682003330-3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014F4"/>
    <w:rsid w:val="00010773"/>
    <w:rsid w:val="00030C03"/>
    <w:rsid w:val="00072016"/>
    <w:rsid w:val="00075D52"/>
    <w:rsid w:val="00077687"/>
    <w:rsid w:val="00077F05"/>
    <w:rsid w:val="000909B7"/>
    <w:rsid w:val="00094DAC"/>
    <w:rsid w:val="00095D83"/>
    <w:rsid w:val="000B5852"/>
    <w:rsid w:val="000C01D0"/>
    <w:rsid w:val="000C1F74"/>
    <w:rsid w:val="000C4C5B"/>
    <w:rsid w:val="000C627D"/>
    <w:rsid w:val="000D13B1"/>
    <w:rsid w:val="000D6FB8"/>
    <w:rsid w:val="000E22CD"/>
    <w:rsid w:val="000E2CD7"/>
    <w:rsid w:val="000F3D1A"/>
    <w:rsid w:val="001125C8"/>
    <w:rsid w:val="00116D3F"/>
    <w:rsid w:val="001246CE"/>
    <w:rsid w:val="001333F5"/>
    <w:rsid w:val="00146E1D"/>
    <w:rsid w:val="00152910"/>
    <w:rsid w:val="00153ECE"/>
    <w:rsid w:val="00155653"/>
    <w:rsid w:val="00164D1E"/>
    <w:rsid w:val="00165B98"/>
    <w:rsid w:val="0017060E"/>
    <w:rsid w:val="00184357"/>
    <w:rsid w:val="00184600"/>
    <w:rsid w:val="001869FE"/>
    <w:rsid w:val="00197B9E"/>
    <w:rsid w:val="001A274A"/>
    <w:rsid w:val="001A366F"/>
    <w:rsid w:val="001A6550"/>
    <w:rsid w:val="001B18D0"/>
    <w:rsid w:val="001B64C7"/>
    <w:rsid w:val="001C78E9"/>
    <w:rsid w:val="001D6E64"/>
    <w:rsid w:val="001D765D"/>
    <w:rsid w:val="001F0C66"/>
    <w:rsid w:val="001F5A7C"/>
    <w:rsid w:val="002023BB"/>
    <w:rsid w:val="002038C9"/>
    <w:rsid w:val="00215ADC"/>
    <w:rsid w:val="00215C1B"/>
    <w:rsid w:val="002265B3"/>
    <w:rsid w:val="002340C8"/>
    <w:rsid w:val="00235D58"/>
    <w:rsid w:val="002437DB"/>
    <w:rsid w:val="00250CF0"/>
    <w:rsid w:val="00255D3A"/>
    <w:rsid w:val="00266B45"/>
    <w:rsid w:val="002927F2"/>
    <w:rsid w:val="00293FA5"/>
    <w:rsid w:val="002A0593"/>
    <w:rsid w:val="002A2A5C"/>
    <w:rsid w:val="002C67F6"/>
    <w:rsid w:val="002C7BAD"/>
    <w:rsid w:val="002D405A"/>
    <w:rsid w:val="002E1B5A"/>
    <w:rsid w:val="002F6014"/>
    <w:rsid w:val="00320CD8"/>
    <w:rsid w:val="00322070"/>
    <w:rsid w:val="00334BEA"/>
    <w:rsid w:val="003433CE"/>
    <w:rsid w:val="003457CB"/>
    <w:rsid w:val="00360CA0"/>
    <w:rsid w:val="0036445D"/>
    <w:rsid w:val="00366ED3"/>
    <w:rsid w:val="00370AA9"/>
    <w:rsid w:val="00374536"/>
    <w:rsid w:val="00380C67"/>
    <w:rsid w:val="00387141"/>
    <w:rsid w:val="00387D59"/>
    <w:rsid w:val="0039075F"/>
    <w:rsid w:val="00392F0E"/>
    <w:rsid w:val="00393C19"/>
    <w:rsid w:val="003946F1"/>
    <w:rsid w:val="0039656A"/>
    <w:rsid w:val="003A2BF7"/>
    <w:rsid w:val="003A4CE6"/>
    <w:rsid w:val="003A7CC1"/>
    <w:rsid w:val="003B20E2"/>
    <w:rsid w:val="003C079E"/>
    <w:rsid w:val="003C1F1B"/>
    <w:rsid w:val="003C4E59"/>
    <w:rsid w:val="003D49CD"/>
    <w:rsid w:val="003D6021"/>
    <w:rsid w:val="003D6DEB"/>
    <w:rsid w:val="003E133D"/>
    <w:rsid w:val="003F0646"/>
    <w:rsid w:val="004071E1"/>
    <w:rsid w:val="00410820"/>
    <w:rsid w:val="004113F5"/>
    <w:rsid w:val="00413875"/>
    <w:rsid w:val="00414428"/>
    <w:rsid w:val="0041670D"/>
    <w:rsid w:val="004470D8"/>
    <w:rsid w:val="00455446"/>
    <w:rsid w:val="004734BC"/>
    <w:rsid w:val="00487CB6"/>
    <w:rsid w:val="00490364"/>
    <w:rsid w:val="00494697"/>
    <w:rsid w:val="004A2785"/>
    <w:rsid w:val="004A5ABE"/>
    <w:rsid w:val="004B0C0F"/>
    <w:rsid w:val="004B4E58"/>
    <w:rsid w:val="004C26F0"/>
    <w:rsid w:val="004C6D8B"/>
    <w:rsid w:val="004C7CCA"/>
    <w:rsid w:val="004D0BAD"/>
    <w:rsid w:val="004D36D9"/>
    <w:rsid w:val="004E0ACF"/>
    <w:rsid w:val="004F39DE"/>
    <w:rsid w:val="004F4799"/>
    <w:rsid w:val="00500B29"/>
    <w:rsid w:val="0050719D"/>
    <w:rsid w:val="005074F3"/>
    <w:rsid w:val="00527449"/>
    <w:rsid w:val="00531D44"/>
    <w:rsid w:val="005378E2"/>
    <w:rsid w:val="00547DAA"/>
    <w:rsid w:val="00554FC7"/>
    <w:rsid w:val="0056622D"/>
    <w:rsid w:val="0057274D"/>
    <w:rsid w:val="00574847"/>
    <w:rsid w:val="0058557F"/>
    <w:rsid w:val="00595FA3"/>
    <w:rsid w:val="00597827"/>
    <w:rsid w:val="005C4D97"/>
    <w:rsid w:val="005E47E7"/>
    <w:rsid w:val="005F1C9B"/>
    <w:rsid w:val="005F4263"/>
    <w:rsid w:val="0060062C"/>
    <w:rsid w:val="00605420"/>
    <w:rsid w:val="00614583"/>
    <w:rsid w:val="00620671"/>
    <w:rsid w:val="006262C9"/>
    <w:rsid w:val="0063068B"/>
    <w:rsid w:val="006332FF"/>
    <w:rsid w:val="00641B21"/>
    <w:rsid w:val="006432E8"/>
    <w:rsid w:val="00647303"/>
    <w:rsid w:val="00652A29"/>
    <w:rsid w:val="00656C01"/>
    <w:rsid w:val="00663364"/>
    <w:rsid w:val="00671643"/>
    <w:rsid w:val="00682974"/>
    <w:rsid w:val="00691DF5"/>
    <w:rsid w:val="006A53A9"/>
    <w:rsid w:val="006A5A19"/>
    <w:rsid w:val="006B0539"/>
    <w:rsid w:val="006B1E60"/>
    <w:rsid w:val="006B2C1C"/>
    <w:rsid w:val="006B4A5E"/>
    <w:rsid w:val="006C295D"/>
    <w:rsid w:val="006C561E"/>
    <w:rsid w:val="006D1E39"/>
    <w:rsid w:val="006E529C"/>
    <w:rsid w:val="006E62FD"/>
    <w:rsid w:val="006F521F"/>
    <w:rsid w:val="006F57F3"/>
    <w:rsid w:val="00704981"/>
    <w:rsid w:val="007111B9"/>
    <w:rsid w:val="0073367C"/>
    <w:rsid w:val="007345F6"/>
    <w:rsid w:val="007500FF"/>
    <w:rsid w:val="00750124"/>
    <w:rsid w:val="00753715"/>
    <w:rsid w:val="00757923"/>
    <w:rsid w:val="00773ADF"/>
    <w:rsid w:val="007900D7"/>
    <w:rsid w:val="007A5C4D"/>
    <w:rsid w:val="007C7BFA"/>
    <w:rsid w:val="007E3E72"/>
    <w:rsid w:val="007E71A7"/>
    <w:rsid w:val="007F2AAA"/>
    <w:rsid w:val="007F6B70"/>
    <w:rsid w:val="00814B2D"/>
    <w:rsid w:val="0082095E"/>
    <w:rsid w:val="00822978"/>
    <w:rsid w:val="00823C3A"/>
    <w:rsid w:val="008254CD"/>
    <w:rsid w:val="00826646"/>
    <w:rsid w:val="0083018C"/>
    <w:rsid w:val="008353D4"/>
    <w:rsid w:val="00840724"/>
    <w:rsid w:val="00853CC7"/>
    <w:rsid w:val="00856314"/>
    <w:rsid w:val="00861C6D"/>
    <w:rsid w:val="00863D90"/>
    <w:rsid w:val="00874D68"/>
    <w:rsid w:val="0087504A"/>
    <w:rsid w:val="00877C47"/>
    <w:rsid w:val="00884ECC"/>
    <w:rsid w:val="00886762"/>
    <w:rsid w:val="008B2C21"/>
    <w:rsid w:val="008B3A96"/>
    <w:rsid w:val="008B4331"/>
    <w:rsid w:val="008B7E3E"/>
    <w:rsid w:val="008C5725"/>
    <w:rsid w:val="008D447E"/>
    <w:rsid w:val="008E6AE0"/>
    <w:rsid w:val="008F036C"/>
    <w:rsid w:val="008F0E87"/>
    <w:rsid w:val="00900AB8"/>
    <w:rsid w:val="00901DEA"/>
    <w:rsid w:val="00905B45"/>
    <w:rsid w:val="009248DB"/>
    <w:rsid w:val="009551C0"/>
    <w:rsid w:val="0096604D"/>
    <w:rsid w:val="009704E2"/>
    <w:rsid w:val="009743A1"/>
    <w:rsid w:val="00994B6E"/>
    <w:rsid w:val="009A3A71"/>
    <w:rsid w:val="009B02DB"/>
    <w:rsid w:val="009B0F0F"/>
    <w:rsid w:val="009B5E69"/>
    <w:rsid w:val="009C2221"/>
    <w:rsid w:val="009D36C8"/>
    <w:rsid w:val="009E2733"/>
    <w:rsid w:val="009F1B40"/>
    <w:rsid w:val="009F740F"/>
    <w:rsid w:val="00A0404D"/>
    <w:rsid w:val="00A172F9"/>
    <w:rsid w:val="00A21BCE"/>
    <w:rsid w:val="00A249A0"/>
    <w:rsid w:val="00A43BEA"/>
    <w:rsid w:val="00A44104"/>
    <w:rsid w:val="00A519BE"/>
    <w:rsid w:val="00A765F8"/>
    <w:rsid w:val="00A8537C"/>
    <w:rsid w:val="00A90269"/>
    <w:rsid w:val="00A929A4"/>
    <w:rsid w:val="00A95865"/>
    <w:rsid w:val="00A95E40"/>
    <w:rsid w:val="00A96ADE"/>
    <w:rsid w:val="00A9797B"/>
    <w:rsid w:val="00AA0FD7"/>
    <w:rsid w:val="00AB60F6"/>
    <w:rsid w:val="00AC1283"/>
    <w:rsid w:val="00AC5C47"/>
    <w:rsid w:val="00AD57CC"/>
    <w:rsid w:val="00AD5A8F"/>
    <w:rsid w:val="00AE184B"/>
    <w:rsid w:val="00AF1E9C"/>
    <w:rsid w:val="00B009F1"/>
    <w:rsid w:val="00B0668E"/>
    <w:rsid w:val="00B1274D"/>
    <w:rsid w:val="00B245B9"/>
    <w:rsid w:val="00B24FB2"/>
    <w:rsid w:val="00B2611D"/>
    <w:rsid w:val="00B360AA"/>
    <w:rsid w:val="00B54184"/>
    <w:rsid w:val="00B76480"/>
    <w:rsid w:val="00B774CA"/>
    <w:rsid w:val="00B80493"/>
    <w:rsid w:val="00B82ADB"/>
    <w:rsid w:val="00B94E7C"/>
    <w:rsid w:val="00BA0491"/>
    <w:rsid w:val="00BB2104"/>
    <w:rsid w:val="00BB7CAD"/>
    <w:rsid w:val="00BD128A"/>
    <w:rsid w:val="00BD1AFF"/>
    <w:rsid w:val="00BE02ED"/>
    <w:rsid w:val="00BE273D"/>
    <w:rsid w:val="00BE6110"/>
    <w:rsid w:val="00BF188D"/>
    <w:rsid w:val="00C20E3A"/>
    <w:rsid w:val="00C25386"/>
    <w:rsid w:val="00C27288"/>
    <w:rsid w:val="00C47AA3"/>
    <w:rsid w:val="00C54FAA"/>
    <w:rsid w:val="00C65935"/>
    <w:rsid w:val="00C700E9"/>
    <w:rsid w:val="00C83D61"/>
    <w:rsid w:val="00C8451C"/>
    <w:rsid w:val="00C92A78"/>
    <w:rsid w:val="00CB1C65"/>
    <w:rsid w:val="00CC756F"/>
    <w:rsid w:val="00CE7B90"/>
    <w:rsid w:val="00D136ED"/>
    <w:rsid w:val="00D14891"/>
    <w:rsid w:val="00D25B59"/>
    <w:rsid w:val="00D467AE"/>
    <w:rsid w:val="00D50A49"/>
    <w:rsid w:val="00D53744"/>
    <w:rsid w:val="00D56F58"/>
    <w:rsid w:val="00D62539"/>
    <w:rsid w:val="00D6355D"/>
    <w:rsid w:val="00D64587"/>
    <w:rsid w:val="00D66877"/>
    <w:rsid w:val="00D66C4E"/>
    <w:rsid w:val="00D720A5"/>
    <w:rsid w:val="00D73559"/>
    <w:rsid w:val="00D77B07"/>
    <w:rsid w:val="00D82A51"/>
    <w:rsid w:val="00D968BD"/>
    <w:rsid w:val="00DB4172"/>
    <w:rsid w:val="00DD3587"/>
    <w:rsid w:val="00DD3B5F"/>
    <w:rsid w:val="00DE0561"/>
    <w:rsid w:val="00DE3746"/>
    <w:rsid w:val="00DF5982"/>
    <w:rsid w:val="00DF7D59"/>
    <w:rsid w:val="00E03EEE"/>
    <w:rsid w:val="00E16689"/>
    <w:rsid w:val="00E16E54"/>
    <w:rsid w:val="00E271F4"/>
    <w:rsid w:val="00E56B24"/>
    <w:rsid w:val="00E81C87"/>
    <w:rsid w:val="00EA3434"/>
    <w:rsid w:val="00EA40B4"/>
    <w:rsid w:val="00ED63BC"/>
    <w:rsid w:val="00EE1BA7"/>
    <w:rsid w:val="00EF140D"/>
    <w:rsid w:val="00F00804"/>
    <w:rsid w:val="00F015D9"/>
    <w:rsid w:val="00F1355A"/>
    <w:rsid w:val="00F30983"/>
    <w:rsid w:val="00F37FE9"/>
    <w:rsid w:val="00F555B5"/>
    <w:rsid w:val="00F56476"/>
    <w:rsid w:val="00F60868"/>
    <w:rsid w:val="00F722F0"/>
    <w:rsid w:val="00F74BE3"/>
    <w:rsid w:val="00F83CD1"/>
    <w:rsid w:val="00F915DB"/>
    <w:rsid w:val="00F92929"/>
    <w:rsid w:val="00F92BAA"/>
    <w:rsid w:val="00FA27CE"/>
    <w:rsid w:val="00FA3DF7"/>
    <w:rsid w:val="00FB3908"/>
    <w:rsid w:val="00FD07A9"/>
    <w:rsid w:val="00FD7876"/>
    <w:rsid w:val="00FE1EB7"/>
    <w:rsid w:val="00FE5665"/>
    <w:rsid w:val="00FE5AEE"/>
    <w:rsid w:val="00FF04E4"/>
    <w:rsid w:val="00FF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gc">
    <w:name w:val="_tgc"/>
    <w:basedOn w:val="Fuentedeprrafopredeter"/>
    <w:rsid w:val="00A44104"/>
  </w:style>
  <w:style w:type="character" w:customStyle="1" w:styleId="st">
    <w:name w:val="st"/>
    <w:basedOn w:val="Fuentedeprrafopredeter"/>
    <w:rsid w:val="009D36C8"/>
  </w:style>
  <w:style w:type="character" w:styleId="nfasis">
    <w:name w:val="Emphasis"/>
    <w:basedOn w:val="Fuentedeprrafopredeter"/>
    <w:uiPriority w:val="20"/>
    <w:qFormat/>
    <w:rsid w:val="009D36C8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D36C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D36C8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9D36C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9D36C8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customStyle="1" w:styleId="Prrafodelista1">
    <w:name w:val="Párrafo de lista1"/>
    <w:basedOn w:val="Normal"/>
    <w:uiPriority w:val="34"/>
    <w:qFormat/>
    <w:rsid w:val="00B2611D"/>
    <w:pPr>
      <w:ind w:left="720"/>
    </w:pPr>
    <w:rPr>
      <w:rFonts w:eastAsia="Times New Roman"/>
    </w:rPr>
  </w:style>
  <w:style w:type="paragraph" w:customStyle="1" w:styleId="CM8">
    <w:name w:val="CM8"/>
    <w:basedOn w:val="Normal"/>
    <w:next w:val="Normal"/>
    <w:uiPriority w:val="99"/>
    <w:rsid w:val="00656C01"/>
    <w:pPr>
      <w:autoSpaceDE w:val="0"/>
      <w:autoSpaceDN w:val="0"/>
      <w:adjustRightInd w:val="0"/>
      <w:spacing w:line="380" w:lineRule="atLeast"/>
    </w:pPr>
    <w:rPr>
      <w:rFonts w:ascii="Arial" w:eastAsiaTheme="minorHAnsi" w:hAnsi="Arial" w:cs="Arial"/>
      <w:lang w:val="es-SV" w:eastAsia="en-US"/>
    </w:rPr>
  </w:style>
  <w:style w:type="paragraph" w:customStyle="1" w:styleId="Default">
    <w:name w:val="Default"/>
    <w:rsid w:val="008E6A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paragraph" w:customStyle="1" w:styleId="rtejustify">
    <w:name w:val="rtejustify"/>
    <w:basedOn w:val="Normal"/>
    <w:rsid w:val="00FA27C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2A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2A5C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gc">
    <w:name w:val="_tgc"/>
    <w:basedOn w:val="Fuentedeprrafopredeter"/>
    <w:rsid w:val="00A44104"/>
  </w:style>
  <w:style w:type="character" w:customStyle="1" w:styleId="st">
    <w:name w:val="st"/>
    <w:basedOn w:val="Fuentedeprrafopredeter"/>
    <w:rsid w:val="009D36C8"/>
  </w:style>
  <w:style w:type="character" w:styleId="nfasis">
    <w:name w:val="Emphasis"/>
    <w:basedOn w:val="Fuentedeprrafopredeter"/>
    <w:uiPriority w:val="20"/>
    <w:qFormat/>
    <w:rsid w:val="009D36C8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D36C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D36C8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9D36C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9D36C8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customStyle="1" w:styleId="Prrafodelista1">
    <w:name w:val="Párrafo de lista1"/>
    <w:basedOn w:val="Normal"/>
    <w:uiPriority w:val="34"/>
    <w:qFormat/>
    <w:rsid w:val="00B2611D"/>
    <w:pPr>
      <w:ind w:left="720"/>
    </w:pPr>
    <w:rPr>
      <w:rFonts w:eastAsia="Times New Roman"/>
    </w:rPr>
  </w:style>
  <w:style w:type="paragraph" w:customStyle="1" w:styleId="CM8">
    <w:name w:val="CM8"/>
    <w:basedOn w:val="Normal"/>
    <w:next w:val="Normal"/>
    <w:uiPriority w:val="99"/>
    <w:rsid w:val="00656C01"/>
    <w:pPr>
      <w:autoSpaceDE w:val="0"/>
      <w:autoSpaceDN w:val="0"/>
      <w:adjustRightInd w:val="0"/>
      <w:spacing w:line="380" w:lineRule="atLeast"/>
    </w:pPr>
    <w:rPr>
      <w:rFonts w:ascii="Arial" w:eastAsiaTheme="minorHAnsi" w:hAnsi="Arial" w:cs="Arial"/>
      <w:lang w:val="es-SV" w:eastAsia="en-US"/>
    </w:rPr>
  </w:style>
  <w:style w:type="paragraph" w:customStyle="1" w:styleId="Default">
    <w:name w:val="Default"/>
    <w:rsid w:val="008E6A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paragraph" w:customStyle="1" w:styleId="rtejustify">
    <w:name w:val="rtejustify"/>
    <w:basedOn w:val="Normal"/>
    <w:rsid w:val="00FA27C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2A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2A5C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EADB-7274-4DEE-B773-4E76AFD1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2041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Roxana Diaz</cp:lastModifiedBy>
  <cp:revision>17</cp:revision>
  <cp:lastPrinted>2018-07-03T18:42:00Z</cp:lastPrinted>
  <dcterms:created xsi:type="dcterms:W3CDTF">2018-06-27T16:48:00Z</dcterms:created>
  <dcterms:modified xsi:type="dcterms:W3CDTF">2018-07-12T18:16:00Z</dcterms:modified>
</cp:coreProperties>
</file>