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92" w:rsidRDefault="003C2792" w:rsidP="003C2792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:rsidR="00080116" w:rsidRDefault="00080116" w:rsidP="00080116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:rsidR="00504524" w:rsidRPr="007067B6" w:rsidRDefault="00504524" w:rsidP="00504524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8"/>
          <w:szCs w:val="24"/>
        </w:rPr>
      </w:pPr>
      <w:r w:rsidRPr="007067B6">
        <w:rPr>
          <w:rStyle w:val="Rtulodeencabezadodemensaje"/>
          <w:rFonts w:ascii="Cambria" w:hAnsi="Cambria" w:cs="Arial"/>
          <w:b/>
          <w:i/>
          <w:sz w:val="28"/>
          <w:szCs w:val="24"/>
        </w:rPr>
        <w:t>INFORME DE</w:t>
      </w:r>
      <w:r w:rsidR="00395248" w:rsidRPr="007067B6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 EJECUCIÓN DEL </w:t>
      </w:r>
      <w:r w:rsidRPr="007067B6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PRESUPUESTO </w:t>
      </w:r>
      <w:r w:rsidR="00F22E40" w:rsidRPr="007067B6">
        <w:rPr>
          <w:rStyle w:val="Rtulodeencabezadodemensaje"/>
          <w:rFonts w:ascii="Cambria" w:hAnsi="Cambria" w:cs="Arial"/>
          <w:b/>
          <w:i/>
          <w:sz w:val="28"/>
          <w:szCs w:val="24"/>
        </w:rPr>
        <w:t>INSTITUCIONAL</w:t>
      </w:r>
    </w:p>
    <w:p w:rsidR="008D65EB" w:rsidRPr="003E7671" w:rsidRDefault="00B35381" w:rsidP="00504524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sz w:val="24"/>
          <w:szCs w:val="24"/>
        </w:rPr>
      </w:pPr>
      <w:r w:rsidRPr="003E7671">
        <w:rPr>
          <w:rStyle w:val="Rtulodeencabezadodemensaje"/>
          <w:rFonts w:ascii="Cambria" w:hAnsi="Cambria" w:cs="Arial"/>
          <w:b/>
          <w:sz w:val="24"/>
          <w:szCs w:val="24"/>
        </w:rPr>
        <w:t>ENERO A</w:t>
      </w:r>
      <w:r w:rsidR="00E75374" w:rsidRPr="003E7671">
        <w:rPr>
          <w:rStyle w:val="Rtulodeencabezadodemensaje"/>
          <w:rFonts w:ascii="Cambria" w:hAnsi="Cambria" w:cs="Arial"/>
          <w:b/>
          <w:sz w:val="24"/>
          <w:szCs w:val="24"/>
        </w:rPr>
        <w:t xml:space="preserve"> </w:t>
      </w:r>
      <w:r w:rsidR="00D40E6D">
        <w:rPr>
          <w:rStyle w:val="Rtulodeencabezadodemensaje"/>
          <w:rFonts w:ascii="Cambria" w:hAnsi="Cambria" w:cs="Arial"/>
          <w:b/>
          <w:sz w:val="24"/>
          <w:szCs w:val="24"/>
        </w:rPr>
        <w:t xml:space="preserve">DICIEMBRE </w:t>
      </w:r>
      <w:r w:rsidR="007067B6" w:rsidRPr="003E7671">
        <w:rPr>
          <w:rStyle w:val="Rtulodeencabezadodemensaje"/>
          <w:rFonts w:ascii="Cambria" w:hAnsi="Cambria" w:cs="Arial"/>
          <w:b/>
          <w:sz w:val="24"/>
          <w:szCs w:val="24"/>
        </w:rPr>
        <w:t>DEL EJERCICIO FINANCIERO 20</w:t>
      </w:r>
      <w:r w:rsidR="00AE0A69">
        <w:rPr>
          <w:rStyle w:val="Rtulodeencabezadodemensaje"/>
          <w:rFonts w:ascii="Cambria" w:hAnsi="Cambria" w:cs="Arial"/>
          <w:b/>
          <w:sz w:val="24"/>
          <w:szCs w:val="24"/>
        </w:rPr>
        <w:t>21</w:t>
      </w:r>
    </w:p>
    <w:p w:rsidR="00504524" w:rsidRPr="00C23E7C" w:rsidRDefault="008D65EB" w:rsidP="00504524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sz w:val="28"/>
          <w:szCs w:val="28"/>
        </w:rPr>
      </w:pPr>
      <w:r w:rsidRPr="00C23E7C">
        <w:rPr>
          <w:rStyle w:val="Rtulodeencabezadodemensaje"/>
          <w:rFonts w:ascii="Cambria" w:hAnsi="Cambria" w:cs="Arial"/>
          <w:sz w:val="24"/>
          <w:szCs w:val="24"/>
        </w:rPr>
        <w:t>Fuente de Financiamiento: Fondo General</w:t>
      </w:r>
      <w:r w:rsidR="00504524" w:rsidRPr="00C23E7C">
        <w:rPr>
          <w:rStyle w:val="Rtulodeencabezadodemensaje"/>
          <w:rFonts w:ascii="Cambria" w:hAnsi="Cambria" w:cs="Arial"/>
          <w:sz w:val="24"/>
          <w:szCs w:val="24"/>
        </w:rPr>
        <w:t xml:space="preserve"> </w:t>
      </w:r>
      <w:r w:rsidR="00504524" w:rsidRPr="00C23E7C">
        <w:rPr>
          <w:rStyle w:val="Rtulodeencabezadodemensaje"/>
          <w:rFonts w:ascii="Cambria" w:hAnsi="Cambria" w:cs="Arial"/>
          <w:sz w:val="28"/>
          <w:szCs w:val="28"/>
        </w:rPr>
        <w:t xml:space="preserve">  </w:t>
      </w:r>
    </w:p>
    <w:p w:rsidR="00F22E40" w:rsidRPr="00BC6870" w:rsidRDefault="00F22E40" w:rsidP="00504524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"/>
          <w:szCs w:val="28"/>
        </w:rPr>
      </w:pPr>
    </w:p>
    <w:p w:rsidR="00395248" w:rsidRDefault="009E0CE7" w:rsidP="00D51189">
      <w:pPr>
        <w:pStyle w:val="Encabezadodemensaje"/>
        <w:numPr>
          <w:ilvl w:val="0"/>
          <w:numId w:val="34"/>
        </w:numPr>
        <w:ind w:left="0" w:right="0" w:firstLine="360"/>
        <w:rPr>
          <w:rStyle w:val="Rtulodeencabezadodemensaje"/>
          <w:rFonts w:ascii="Cambria" w:hAnsi="Cambria" w:cs="Arial"/>
          <w:b/>
          <w:i/>
          <w:sz w:val="28"/>
          <w:szCs w:val="24"/>
        </w:rPr>
      </w:pPr>
      <w:r w:rsidRPr="00AD0BDB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EJECUCIÓN DEL </w:t>
      </w:r>
      <w:r w:rsidR="00395248" w:rsidRPr="00AD0BDB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PRESUPUESTO DE PRESTACIONES A BENEFICIARIOS </w:t>
      </w:r>
    </w:p>
    <w:p w:rsidR="003A4187" w:rsidRPr="003A4187" w:rsidRDefault="003A4187" w:rsidP="003A4187">
      <w:pPr>
        <w:pStyle w:val="Encabezadodemensaje"/>
        <w:ind w:left="0" w:right="0" w:firstLine="0"/>
        <w:rPr>
          <w:rStyle w:val="Rtulodeencabezadodemensaje"/>
          <w:rFonts w:ascii="Cambria" w:hAnsi="Cambria" w:cs="Arial"/>
          <w:b/>
          <w:i/>
          <w:sz w:val="12"/>
          <w:szCs w:val="24"/>
        </w:rPr>
      </w:pPr>
    </w:p>
    <w:p w:rsidR="00C6674D" w:rsidRPr="00450E2D" w:rsidRDefault="00D40E6D" w:rsidP="008D32E1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  <w:r w:rsidRPr="00450E2D">
        <w:rPr>
          <w:rFonts w:ascii="Cambria" w:hAnsi="Cambria"/>
          <w:sz w:val="24"/>
          <w:szCs w:val="24"/>
        </w:rPr>
        <w:t xml:space="preserve">El Ministerio de Hacienda para el ejercicio financiero fiscal </w:t>
      </w:r>
      <w:r w:rsidR="00AD47CF" w:rsidRPr="00450E2D">
        <w:rPr>
          <w:rFonts w:ascii="Cambria" w:hAnsi="Cambria"/>
          <w:sz w:val="24"/>
          <w:szCs w:val="24"/>
        </w:rPr>
        <w:t>202</w:t>
      </w:r>
      <w:r w:rsidR="00AE0A69">
        <w:rPr>
          <w:rFonts w:ascii="Cambria" w:hAnsi="Cambria"/>
          <w:sz w:val="24"/>
          <w:szCs w:val="24"/>
        </w:rPr>
        <w:t>1</w:t>
      </w:r>
      <w:r w:rsidR="00AD47CF" w:rsidRPr="00450E2D">
        <w:rPr>
          <w:rFonts w:ascii="Cambria" w:hAnsi="Cambria"/>
          <w:sz w:val="24"/>
          <w:szCs w:val="24"/>
        </w:rPr>
        <w:t xml:space="preserve">, </w:t>
      </w:r>
      <w:r w:rsidRPr="00450E2D">
        <w:rPr>
          <w:rFonts w:ascii="Cambria" w:hAnsi="Cambria"/>
          <w:sz w:val="24"/>
          <w:szCs w:val="24"/>
        </w:rPr>
        <w:t xml:space="preserve">aprobó </w:t>
      </w:r>
      <w:r w:rsidR="007D7252" w:rsidRPr="00450E2D">
        <w:rPr>
          <w:rFonts w:ascii="Cambria" w:hAnsi="Cambria"/>
          <w:sz w:val="24"/>
          <w:szCs w:val="24"/>
        </w:rPr>
        <w:t>las asignaciones</w:t>
      </w:r>
      <w:r w:rsidR="008D32E1" w:rsidRPr="00450E2D">
        <w:rPr>
          <w:rFonts w:ascii="Cambria" w:hAnsi="Cambria"/>
          <w:sz w:val="24"/>
          <w:szCs w:val="24"/>
        </w:rPr>
        <w:t xml:space="preserve"> </w:t>
      </w:r>
      <w:r w:rsidRPr="00450E2D">
        <w:rPr>
          <w:rFonts w:ascii="Cambria" w:hAnsi="Cambria"/>
          <w:sz w:val="24"/>
          <w:szCs w:val="24"/>
        </w:rPr>
        <w:t xml:space="preserve">al </w:t>
      </w:r>
      <w:r w:rsidR="00AD47CF" w:rsidRPr="00450E2D">
        <w:rPr>
          <w:rFonts w:ascii="Cambria" w:hAnsi="Cambria"/>
          <w:sz w:val="24"/>
          <w:szCs w:val="24"/>
        </w:rPr>
        <w:t xml:space="preserve"> </w:t>
      </w:r>
      <w:r w:rsidR="007D7252" w:rsidRPr="00450E2D">
        <w:rPr>
          <w:rFonts w:ascii="Cambria" w:hAnsi="Cambria"/>
          <w:sz w:val="24"/>
          <w:szCs w:val="24"/>
        </w:rPr>
        <w:t>Programa Rehabilitación a Lisiados, adscrito a</w:t>
      </w:r>
      <w:r w:rsidR="00EF2663" w:rsidRPr="00450E2D">
        <w:rPr>
          <w:rFonts w:ascii="Cambria" w:hAnsi="Cambria"/>
          <w:sz w:val="24"/>
          <w:szCs w:val="24"/>
        </w:rPr>
        <w:t xml:space="preserve"> esa Cartera de Estado por el monto de                          </w:t>
      </w:r>
      <w:r w:rsidR="008D32E1" w:rsidRPr="00450E2D">
        <w:rPr>
          <w:rFonts w:ascii="Cambria" w:hAnsi="Cambria"/>
          <w:sz w:val="24"/>
          <w:szCs w:val="24"/>
        </w:rPr>
        <w:t>$</w:t>
      </w:r>
      <w:r w:rsidR="00EF2663" w:rsidRPr="00450E2D">
        <w:rPr>
          <w:rFonts w:ascii="Cambria" w:hAnsi="Cambria"/>
          <w:sz w:val="24"/>
          <w:szCs w:val="24"/>
        </w:rPr>
        <w:t>5</w:t>
      </w:r>
      <w:r w:rsidR="00AE0A69">
        <w:rPr>
          <w:rFonts w:ascii="Cambria" w:hAnsi="Cambria"/>
          <w:sz w:val="24"/>
          <w:szCs w:val="24"/>
        </w:rPr>
        <w:t>8, 180,871.00</w:t>
      </w:r>
      <w:r w:rsidR="00EF2663" w:rsidRPr="00450E2D">
        <w:rPr>
          <w:rFonts w:ascii="Cambria" w:hAnsi="Cambria"/>
          <w:sz w:val="24"/>
          <w:szCs w:val="24"/>
        </w:rPr>
        <w:t xml:space="preserve">, del cual se ejecutó la cantidad de </w:t>
      </w:r>
      <w:r w:rsidR="008D32E1" w:rsidRPr="00450E2D">
        <w:rPr>
          <w:rFonts w:ascii="Cambria" w:hAnsi="Cambria"/>
          <w:b/>
          <w:sz w:val="24"/>
          <w:szCs w:val="24"/>
        </w:rPr>
        <w:t>$</w:t>
      </w:r>
      <w:r w:rsidR="00AE0A69">
        <w:rPr>
          <w:rFonts w:ascii="Cambria" w:hAnsi="Cambria"/>
          <w:b/>
          <w:sz w:val="24"/>
          <w:szCs w:val="24"/>
        </w:rPr>
        <w:t>58, 149,807.95</w:t>
      </w:r>
      <w:r w:rsidR="00EF2663" w:rsidRPr="00450E2D">
        <w:rPr>
          <w:rFonts w:ascii="Cambria" w:hAnsi="Cambria"/>
          <w:b/>
          <w:sz w:val="24"/>
          <w:szCs w:val="24"/>
        </w:rPr>
        <w:t xml:space="preserve"> </w:t>
      </w:r>
      <w:r w:rsidR="00EF2663" w:rsidRPr="00450E2D">
        <w:rPr>
          <w:rFonts w:ascii="Cambria" w:hAnsi="Cambria"/>
          <w:sz w:val="24"/>
          <w:szCs w:val="24"/>
        </w:rPr>
        <w:t xml:space="preserve">en términos porcentuales representa el </w:t>
      </w:r>
      <w:r w:rsidR="00EF2663" w:rsidRPr="00450E2D">
        <w:rPr>
          <w:rFonts w:ascii="Cambria" w:hAnsi="Cambria"/>
          <w:b/>
          <w:sz w:val="24"/>
          <w:szCs w:val="24"/>
          <w:u w:val="single"/>
        </w:rPr>
        <w:t>99.</w:t>
      </w:r>
      <w:r w:rsidR="00AE0A69">
        <w:rPr>
          <w:rFonts w:ascii="Cambria" w:hAnsi="Cambria"/>
          <w:b/>
          <w:sz w:val="24"/>
          <w:szCs w:val="24"/>
          <w:u w:val="single"/>
        </w:rPr>
        <w:t>95</w:t>
      </w:r>
      <w:r w:rsidR="00EF2663" w:rsidRPr="00450E2D">
        <w:rPr>
          <w:rFonts w:ascii="Cambria" w:hAnsi="Cambria"/>
          <w:b/>
          <w:sz w:val="24"/>
          <w:szCs w:val="24"/>
          <w:u w:val="single"/>
        </w:rPr>
        <w:t>%,</w:t>
      </w:r>
      <w:r w:rsidR="00EF2663" w:rsidRPr="00450E2D">
        <w:rPr>
          <w:rFonts w:ascii="Cambria" w:hAnsi="Cambria"/>
          <w:b/>
          <w:sz w:val="24"/>
          <w:szCs w:val="24"/>
        </w:rPr>
        <w:t xml:space="preserve"> </w:t>
      </w:r>
      <w:r w:rsidR="00AE0A69" w:rsidRPr="00AE0A69">
        <w:rPr>
          <w:rFonts w:ascii="Cambria" w:hAnsi="Cambria"/>
          <w:sz w:val="24"/>
          <w:szCs w:val="24"/>
        </w:rPr>
        <w:t>recursos</w:t>
      </w:r>
      <w:r w:rsidR="00AE0A69">
        <w:rPr>
          <w:rFonts w:ascii="Cambria" w:hAnsi="Cambria"/>
          <w:b/>
          <w:sz w:val="24"/>
          <w:szCs w:val="24"/>
        </w:rPr>
        <w:t xml:space="preserve"> </w:t>
      </w:r>
      <w:r w:rsidR="00AD47CF" w:rsidRPr="00450E2D">
        <w:rPr>
          <w:rFonts w:ascii="Cambria" w:hAnsi="Cambria"/>
          <w:sz w:val="24"/>
          <w:szCs w:val="24"/>
        </w:rPr>
        <w:t>utiliza</w:t>
      </w:r>
      <w:r w:rsidR="00950988">
        <w:rPr>
          <w:rFonts w:ascii="Cambria" w:hAnsi="Cambria"/>
          <w:sz w:val="24"/>
          <w:szCs w:val="24"/>
        </w:rPr>
        <w:t xml:space="preserve">dos para </w:t>
      </w:r>
      <w:r w:rsidR="00E476DC" w:rsidRPr="00450E2D">
        <w:rPr>
          <w:rFonts w:ascii="Cambria" w:hAnsi="Cambria"/>
          <w:sz w:val="24"/>
          <w:szCs w:val="24"/>
        </w:rPr>
        <w:t xml:space="preserve">la </w:t>
      </w:r>
      <w:r w:rsidR="00154205" w:rsidRPr="00450E2D">
        <w:rPr>
          <w:rFonts w:ascii="Cambria" w:hAnsi="Cambria"/>
          <w:sz w:val="24"/>
          <w:szCs w:val="24"/>
        </w:rPr>
        <w:t>entrega de prestaciones y beneficios a la población beneficiaria</w:t>
      </w:r>
      <w:r w:rsidR="00AE0A69">
        <w:rPr>
          <w:rFonts w:ascii="Cambria" w:hAnsi="Cambria"/>
          <w:sz w:val="24"/>
          <w:szCs w:val="24"/>
        </w:rPr>
        <w:t xml:space="preserve"> en </w:t>
      </w:r>
      <w:r w:rsidR="003A4187">
        <w:rPr>
          <w:rFonts w:ascii="Cambria" w:hAnsi="Cambria"/>
          <w:sz w:val="24"/>
          <w:szCs w:val="24"/>
        </w:rPr>
        <w:t xml:space="preserve">los programas de </w:t>
      </w:r>
      <w:r w:rsidR="00AE0A69">
        <w:rPr>
          <w:rFonts w:ascii="Cambria" w:hAnsi="Cambria"/>
          <w:sz w:val="24"/>
          <w:szCs w:val="24"/>
        </w:rPr>
        <w:t xml:space="preserve">pensiones, otros de </w:t>
      </w:r>
      <w:r w:rsidR="003A4187">
        <w:rPr>
          <w:rFonts w:ascii="Cambria" w:hAnsi="Cambria"/>
          <w:sz w:val="24"/>
          <w:szCs w:val="24"/>
        </w:rPr>
        <w:t xml:space="preserve">naturaleza </w:t>
      </w:r>
      <w:r w:rsidR="00AE0A69">
        <w:rPr>
          <w:rFonts w:ascii="Cambria" w:hAnsi="Cambria"/>
          <w:sz w:val="24"/>
          <w:szCs w:val="24"/>
        </w:rPr>
        <w:t>económic</w:t>
      </w:r>
      <w:r w:rsidR="003A4187">
        <w:rPr>
          <w:rFonts w:ascii="Cambria" w:hAnsi="Cambria"/>
          <w:sz w:val="24"/>
          <w:szCs w:val="24"/>
        </w:rPr>
        <w:t xml:space="preserve">a, </w:t>
      </w:r>
      <w:r w:rsidR="00AE0A69">
        <w:rPr>
          <w:rFonts w:ascii="Cambria" w:hAnsi="Cambria"/>
          <w:sz w:val="24"/>
          <w:szCs w:val="24"/>
        </w:rPr>
        <w:t>en salud</w:t>
      </w:r>
      <w:r w:rsidR="003A4187">
        <w:rPr>
          <w:rFonts w:ascii="Cambria" w:hAnsi="Cambria"/>
          <w:sz w:val="24"/>
          <w:szCs w:val="24"/>
        </w:rPr>
        <w:t xml:space="preserve"> y de reinserción social y productiva, de acuerdo a mandato de </w:t>
      </w:r>
      <w:r w:rsidR="00AD47CF" w:rsidRPr="00450E2D">
        <w:rPr>
          <w:rFonts w:ascii="Cambria" w:hAnsi="Cambria"/>
          <w:sz w:val="24"/>
          <w:szCs w:val="24"/>
        </w:rPr>
        <w:t>la Ley de Creación de FOPROLYD</w:t>
      </w:r>
      <w:r w:rsidR="00E476DC" w:rsidRPr="00450E2D">
        <w:rPr>
          <w:rFonts w:ascii="Cambria" w:hAnsi="Cambria"/>
          <w:sz w:val="24"/>
          <w:szCs w:val="24"/>
        </w:rPr>
        <w:t xml:space="preserve">. </w:t>
      </w:r>
    </w:p>
    <w:p w:rsidR="00E476DC" w:rsidRPr="00450E2D" w:rsidRDefault="00E476DC" w:rsidP="008D32E1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</w:p>
    <w:p w:rsidR="00E476DC" w:rsidRPr="00450E2D" w:rsidRDefault="00E476DC" w:rsidP="008D32E1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  <w:r w:rsidRPr="00450E2D">
        <w:rPr>
          <w:rFonts w:ascii="Cambria" w:hAnsi="Cambria"/>
          <w:sz w:val="24"/>
          <w:szCs w:val="24"/>
        </w:rPr>
        <w:t xml:space="preserve">En el periodo se recibió un refuerzo </w:t>
      </w:r>
      <w:r w:rsidR="00950988">
        <w:rPr>
          <w:rFonts w:ascii="Cambria" w:hAnsi="Cambria"/>
          <w:sz w:val="24"/>
          <w:szCs w:val="24"/>
        </w:rPr>
        <w:t xml:space="preserve">presupuestario </w:t>
      </w:r>
      <w:r w:rsidRPr="00450E2D">
        <w:rPr>
          <w:rFonts w:ascii="Cambria" w:hAnsi="Cambria"/>
          <w:sz w:val="24"/>
          <w:szCs w:val="24"/>
        </w:rPr>
        <w:t>por la cantidad de $</w:t>
      </w:r>
      <w:r w:rsidR="003A4187">
        <w:rPr>
          <w:rFonts w:ascii="Cambria" w:hAnsi="Cambria"/>
          <w:sz w:val="24"/>
          <w:szCs w:val="24"/>
        </w:rPr>
        <w:t>5,203,453.00</w:t>
      </w:r>
      <w:r w:rsidRPr="00450E2D">
        <w:rPr>
          <w:rFonts w:ascii="Cambria" w:hAnsi="Cambria"/>
          <w:sz w:val="24"/>
          <w:szCs w:val="24"/>
        </w:rPr>
        <w:t>,</w:t>
      </w:r>
      <w:r w:rsidR="00950988">
        <w:rPr>
          <w:rFonts w:ascii="Cambria" w:hAnsi="Cambria"/>
          <w:sz w:val="24"/>
          <w:szCs w:val="24"/>
        </w:rPr>
        <w:t xml:space="preserve"> según </w:t>
      </w:r>
      <w:r w:rsidR="003A4187">
        <w:rPr>
          <w:rFonts w:ascii="Cambria" w:hAnsi="Cambria"/>
          <w:sz w:val="24"/>
          <w:szCs w:val="24"/>
        </w:rPr>
        <w:t xml:space="preserve">comunicado por el Ministerio de Hacienda en correo de fecha 21 de diciembre de 2021, </w:t>
      </w:r>
      <w:r w:rsidR="00B21786">
        <w:rPr>
          <w:rFonts w:ascii="Cambria" w:hAnsi="Cambria"/>
          <w:sz w:val="24"/>
          <w:szCs w:val="24"/>
        </w:rPr>
        <w:t xml:space="preserve">por medio del Decreto </w:t>
      </w:r>
      <w:r w:rsidR="003A4187">
        <w:rPr>
          <w:rFonts w:ascii="Cambria" w:hAnsi="Cambria"/>
          <w:sz w:val="24"/>
          <w:szCs w:val="24"/>
        </w:rPr>
        <w:t xml:space="preserve">Legislativo </w:t>
      </w:r>
      <w:r w:rsidR="00950988">
        <w:rPr>
          <w:rFonts w:ascii="Cambria" w:hAnsi="Cambria"/>
          <w:sz w:val="24"/>
          <w:szCs w:val="24"/>
        </w:rPr>
        <w:t xml:space="preserve">No. </w:t>
      </w:r>
      <w:r w:rsidR="003A4187">
        <w:rPr>
          <w:rFonts w:ascii="Cambria" w:hAnsi="Cambria"/>
          <w:sz w:val="24"/>
          <w:szCs w:val="24"/>
        </w:rPr>
        <w:t xml:space="preserve">243 </w:t>
      </w:r>
      <w:r w:rsidR="00950988">
        <w:rPr>
          <w:rFonts w:ascii="Cambria" w:hAnsi="Cambria"/>
          <w:sz w:val="24"/>
          <w:szCs w:val="24"/>
        </w:rPr>
        <w:t>y</w:t>
      </w:r>
      <w:r w:rsidR="00B21786">
        <w:rPr>
          <w:rFonts w:ascii="Cambria" w:hAnsi="Cambria"/>
          <w:sz w:val="24"/>
          <w:szCs w:val="24"/>
        </w:rPr>
        <w:t xml:space="preserve"> el </w:t>
      </w:r>
      <w:r w:rsidR="00950988">
        <w:rPr>
          <w:rFonts w:ascii="Cambria" w:hAnsi="Cambria"/>
          <w:sz w:val="24"/>
          <w:szCs w:val="24"/>
        </w:rPr>
        <w:t xml:space="preserve">Acuerdo de Junta Directiva </w:t>
      </w:r>
      <w:r w:rsidRPr="00450E2D">
        <w:rPr>
          <w:rFonts w:ascii="Cambria" w:hAnsi="Cambria"/>
          <w:sz w:val="24"/>
          <w:szCs w:val="24"/>
        </w:rPr>
        <w:t xml:space="preserve">No. </w:t>
      </w:r>
      <w:r w:rsidR="00B21786">
        <w:rPr>
          <w:rFonts w:ascii="Cambria" w:hAnsi="Cambria"/>
          <w:sz w:val="24"/>
          <w:szCs w:val="24"/>
        </w:rPr>
        <w:t xml:space="preserve">836.12.2021 de fecha 22 de diciembre de 2021; fondos utilizados para </w:t>
      </w:r>
      <w:r w:rsidR="00E71DFF" w:rsidRPr="00450E2D">
        <w:rPr>
          <w:rFonts w:ascii="Cambria" w:hAnsi="Cambria"/>
          <w:sz w:val="24"/>
          <w:szCs w:val="24"/>
        </w:rPr>
        <w:t>complementar el pago de la Compensación Económica Especial de fin de año</w:t>
      </w:r>
      <w:r w:rsidR="00B21786">
        <w:rPr>
          <w:rFonts w:ascii="Cambria" w:hAnsi="Cambria"/>
          <w:sz w:val="24"/>
          <w:szCs w:val="24"/>
        </w:rPr>
        <w:t xml:space="preserve"> y la Compensación Económica para cancelar el monto pendiente del ajuste a las pensiones derivado por el incremento del salario mínimo del año 2017, Decretado en el año 2016</w:t>
      </w:r>
      <w:bookmarkStart w:id="0" w:name="_GoBack"/>
      <w:bookmarkEnd w:id="0"/>
      <w:r w:rsidR="00B21786">
        <w:rPr>
          <w:rFonts w:ascii="Cambria" w:hAnsi="Cambria"/>
          <w:sz w:val="24"/>
          <w:szCs w:val="24"/>
        </w:rPr>
        <w:t xml:space="preserve">. </w:t>
      </w:r>
      <w:r w:rsidR="00E71DFF" w:rsidRPr="00450E2D">
        <w:rPr>
          <w:rFonts w:ascii="Cambria" w:hAnsi="Cambria"/>
          <w:sz w:val="24"/>
          <w:szCs w:val="24"/>
        </w:rPr>
        <w:t xml:space="preserve"> </w:t>
      </w:r>
      <w:r w:rsidRPr="00450E2D">
        <w:rPr>
          <w:rFonts w:ascii="Cambria" w:hAnsi="Cambria"/>
          <w:sz w:val="24"/>
          <w:szCs w:val="24"/>
        </w:rPr>
        <w:t xml:space="preserve"> </w:t>
      </w:r>
    </w:p>
    <w:p w:rsidR="00E71DFF" w:rsidRPr="00450E2D" w:rsidRDefault="00E71DFF" w:rsidP="008D32E1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</w:p>
    <w:p w:rsidR="00F834A2" w:rsidRPr="00450E2D" w:rsidRDefault="00E71DFF" w:rsidP="00F834A2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  <w:r w:rsidRPr="00450E2D">
        <w:rPr>
          <w:rFonts w:ascii="Cambria" w:hAnsi="Cambria"/>
          <w:sz w:val="24"/>
          <w:szCs w:val="24"/>
        </w:rPr>
        <w:t xml:space="preserve">A continuación se </w:t>
      </w:r>
      <w:r w:rsidR="00B21786">
        <w:rPr>
          <w:rFonts w:ascii="Cambria" w:hAnsi="Cambria"/>
          <w:sz w:val="24"/>
          <w:szCs w:val="24"/>
        </w:rPr>
        <w:t xml:space="preserve">distribuye </w:t>
      </w:r>
      <w:r w:rsidRPr="00450E2D">
        <w:rPr>
          <w:rFonts w:ascii="Cambria" w:hAnsi="Cambria"/>
          <w:sz w:val="24"/>
          <w:szCs w:val="24"/>
        </w:rPr>
        <w:t>l</w:t>
      </w:r>
      <w:r w:rsidR="006412B9" w:rsidRPr="00450E2D">
        <w:rPr>
          <w:rFonts w:ascii="Cambria" w:hAnsi="Cambria"/>
          <w:sz w:val="24"/>
          <w:szCs w:val="24"/>
        </w:rPr>
        <w:t>a</w:t>
      </w:r>
      <w:r w:rsidR="00F76CF1" w:rsidRPr="00450E2D">
        <w:rPr>
          <w:rFonts w:ascii="Cambria" w:hAnsi="Cambria"/>
          <w:sz w:val="24"/>
          <w:szCs w:val="24"/>
        </w:rPr>
        <w:t xml:space="preserve"> </w:t>
      </w:r>
      <w:r w:rsidR="00F834A2" w:rsidRPr="00450E2D">
        <w:rPr>
          <w:rFonts w:ascii="Cambria" w:hAnsi="Cambria"/>
          <w:sz w:val="24"/>
          <w:szCs w:val="24"/>
        </w:rPr>
        <w:t xml:space="preserve">ejecución </w:t>
      </w:r>
      <w:r w:rsidRPr="00450E2D">
        <w:rPr>
          <w:rFonts w:ascii="Cambria" w:hAnsi="Cambria"/>
          <w:sz w:val="24"/>
          <w:szCs w:val="24"/>
        </w:rPr>
        <w:t>anual del Presupuesto de Prestaciones a Beneficiarios p</w:t>
      </w:r>
      <w:r w:rsidR="00F834A2" w:rsidRPr="00450E2D">
        <w:rPr>
          <w:rFonts w:ascii="Cambria" w:hAnsi="Cambria"/>
          <w:sz w:val="24"/>
          <w:szCs w:val="24"/>
        </w:rPr>
        <w:t xml:space="preserve">or rubro económico </w:t>
      </w:r>
      <w:r w:rsidR="00F76CF1" w:rsidRPr="00450E2D">
        <w:rPr>
          <w:rFonts w:ascii="Cambria" w:hAnsi="Cambria"/>
          <w:sz w:val="24"/>
          <w:szCs w:val="24"/>
        </w:rPr>
        <w:t>del gasto</w:t>
      </w:r>
      <w:r w:rsidR="006412B9" w:rsidRPr="00450E2D">
        <w:rPr>
          <w:rFonts w:ascii="Cambria" w:hAnsi="Cambria"/>
          <w:sz w:val="24"/>
          <w:szCs w:val="24"/>
        </w:rPr>
        <w:t>.</w:t>
      </w:r>
      <w:r w:rsidR="00F834A2" w:rsidRPr="00450E2D">
        <w:rPr>
          <w:rFonts w:ascii="Cambria" w:hAnsi="Cambria"/>
          <w:sz w:val="24"/>
          <w:szCs w:val="24"/>
        </w:rPr>
        <w:t xml:space="preserve"> </w:t>
      </w:r>
    </w:p>
    <w:p w:rsidR="007D7252" w:rsidRDefault="007D7252" w:rsidP="00A73F26">
      <w:pPr>
        <w:tabs>
          <w:tab w:val="left" w:pos="9664"/>
        </w:tabs>
        <w:jc w:val="center"/>
        <w:rPr>
          <w:noProof/>
          <w:lang w:val="es-SV" w:eastAsia="es-SV"/>
        </w:rPr>
      </w:pPr>
    </w:p>
    <w:p w:rsidR="00F63D49" w:rsidRDefault="00B21786" w:rsidP="00B21786">
      <w:pPr>
        <w:tabs>
          <w:tab w:val="left" w:pos="9664"/>
        </w:tabs>
        <w:jc w:val="center"/>
        <w:rPr>
          <w:rFonts w:ascii="Calibri" w:hAnsi="Calibri"/>
          <w:sz w:val="24"/>
          <w:szCs w:val="24"/>
        </w:rPr>
      </w:pPr>
      <w:r w:rsidRPr="00B21786">
        <w:rPr>
          <w:noProof/>
          <w:lang w:val="es-SV" w:eastAsia="es-SV"/>
        </w:rPr>
        <w:drawing>
          <wp:inline distT="0" distB="0" distL="0" distR="0">
            <wp:extent cx="6118836" cy="4070838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92" cy="407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306" w:rsidRDefault="00261306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261306" w:rsidRDefault="003F4AD5" w:rsidP="00E71DFF">
      <w:pPr>
        <w:tabs>
          <w:tab w:val="left" w:pos="9664"/>
        </w:tabs>
        <w:jc w:val="both"/>
        <w:rPr>
          <w:rFonts w:ascii="Cambria" w:hAnsi="Cambria"/>
          <w:b/>
          <w:sz w:val="24"/>
          <w:szCs w:val="22"/>
        </w:rPr>
      </w:pPr>
      <w:r>
        <w:rPr>
          <w:rFonts w:ascii="Cambria" w:hAnsi="Cambria"/>
          <w:sz w:val="24"/>
          <w:szCs w:val="22"/>
        </w:rPr>
        <w:t xml:space="preserve">A continuación se describe los </w:t>
      </w:r>
      <w:r w:rsidR="00E71DFF">
        <w:rPr>
          <w:rFonts w:ascii="Cambria" w:hAnsi="Cambria"/>
          <w:sz w:val="24"/>
          <w:szCs w:val="22"/>
        </w:rPr>
        <w:t xml:space="preserve">resultados obtenidos, según la ejecución por rubro económico </w:t>
      </w:r>
      <w:r w:rsidR="00D50E83">
        <w:rPr>
          <w:rFonts w:ascii="Cambria" w:hAnsi="Cambria"/>
          <w:sz w:val="24"/>
          <w:szCs w:val="22"/>
        </w:rPr>
        <w:t>del gasto</w:t>
      </w:r>
      <w:r w:rsidR="00E71DFF">
        <w:rPr>
          <w:rFonts w:ascii="Cambria" w:hAnsi="Cambria"/>
          <w:sz w:val="24"/>
          <w:szCs w:val="22"/>
        </w:rPr>
        <w:t xml:space="preserve">. </w:t>
      </w:r>
    </w:p>
    <w:p w:rsidR="00261306" w:rsidRPr="003F0449" w:rsidRDefault="00261306" w:rsidP="00126A90">
      <w:pPr>
        <w:tabs>
          <w:tab w:val="left" w:pos="9664"/>
        </w:tabs>
        <w:jc w:val="center"/>
        <w:rPr>
          <w:rFonts w:ascii="Cambria" w:hAnsi="Cambria"/>
          <w:b/>
          <w:sz w:val="12"/>
          <w:szCs w:val="22"/>
        </w:rPr>
      </w:pPr>
    </w:p>
    <w:p w:rsidR="00126A90" w:rsidRPr="00DB1F90" w:rsidRDefault="00126A90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  <w:r w:rsidRPr="00DB1F90">
        <w:rPr>
          <w:rFonts w:ascii="Cambria" w:hAnsi="Cambria"/>
          <w:b/>
          <w:sz w:val="24"/>
          <w:szCs w:val="22"/>
        </w:rPr>
        <w:t>RESULTADOS DE LA EJECUCIÓN PRESUPUESTARIA</w:t>
      </w:r>
    </w:p>
    <w:p w:rsidR="00126A90" w:rsidRPr="00DB1F90" w:rsidRDefault="00126A90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4141"/>
      </w:tblGrid>
      <w:tr w:rsidR="00261306" w:rsidRPr="003D4926" w:rsidTr="003F4AD5">
        <w:tc>
          <w:tcPr>
            <w:tcW w:w="2830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RUBRO ECONÓMICO DEL GASTO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SIN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4141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COMENTARIOS</w:t>
            </w:r>
          </w:p>
        </w:tc>
      </w:tr>
      <w:tr w:rsidR="00261306" w:rsidRPr="003D4926" w:rsidTr="009811A0">
        <w:tc>
          <w:tcPr>
            <w:tcW w:w="2830" w:type="dxa"/>
            <w:shd w:val="clear" w:color="auto" w:fill="auto"/>
          </w:tcPr>
          <w:p w:rsidR="00261306" w:rsidRPr="003D4926" w:rsidRDefault="00261306" w:rsidP="0026130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61306" w:rsidRPr="003D4926" w:rsidRDefault="00261306" w:rsidP="00261306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3D4926">
              <w:rPr>
                <w:rFonts w:ascii="Cambria" w:hAnsi="Cambria"/>
                <w:sz w:val="24"/>
                <w:szCs w:val="24"/>
              </w:rPr>
              <w:t>Remuneraciones al Personal</w:t>
            </w:r>
          </w:p>
        </w:tc>
        <w:tc>
          <w:tcPr>
            <w:tcW w:w="1418" w:type="dxa"/>
            <w:shd w:val="clear" w:color="auto" w:fill="auto"/>
          </w:tcPr>
          <w:p w:rsidR="00261306" w:rsidRPr="003D4926" w:rsidRDefault="00261306" w:rsidP="00261306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261306" w:rsidRPr="003D4926" w:rsidRDefault="00D50E83" w:rsidP="003F4AD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  <w:r w:rsidR="003F4AD5">
              <w:rPr>
                <w:rFonts w:ascii="Cambria" w:hAnsi="Cambria"/>
                <w:b/>
                <w:sz w:val="22"/>
                <w:szCs w:val="22"/>
              </w:rPr>
              <w:t>9.15</w:t>
            </w:r>
            <w:r w:rsidR="00261306" w:rsidRPr="003E7671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61306" w:rsidRDefault="00261306" w:rsidP="00261306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261306" w:rsidRPr="003D4926" w:rsidRDefault="003F4AD5" w:rsidP="003123B8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0.85</w:t>
            </w:r>
            <w:r w:rsidR="009811A0">
              <w:rPr>
                <w:rFonts w:ascii="Cambria" w:hAnsi="Cambria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344DCD" w:rsidRPr="00344DCD" w:rsidRDefault="003F4AD5" w:rsidP="003F4AD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2"/>
              </w:rPr>
            </w:pPr>
            <w:r>
              <w:rPr>
                <w:rFonts w:ascii="Cambria" w:hAnsi="Cambria"/>
                <w:sz w:val="24"/>
                <w:szCs w:val="22"/>
              </w:rPr>
              <w:t xml:space="preserve">El saldo no ejecutado corresponde a </w:t>
            </w:r>
            <w:r w:rsidR="00281BB8" w:rsidRPr="00344DCD">
              <w:rPr>
                <w:rFonts w:ascii="Cambria" w:hAnsi="Cambria"/>
                <w:sz w:val="24"/>
                <w:szCs w:val="22"/>
              </w:rPr>
              <w:t xml:space="preserve"> economías salari</w:t>
            </w:r>
            <w:r w:rsidR="009B7CA6">
              <w:rPr>
                <w:rFonts w:ascii="Cambria" w:hAnsi="Cambria"/>
                <w:sz w:val="24"/>
                <w:szCs w:val="22"/>
              </w:rPr>
              <w:t>ales</w:t>
            </w:r>
            <w:r w:rsidR="00281BB8" w:rsidRPr="00344DCD">
              <w:rPr>
                <w:rFonts w:ascii="Cambria" w:hAnsi="Cambria"/>
                <w:sz w:val="24"/>
                <w:szCs w:val="22"/>
              </w:rPr>
              <w:t xml:space="preserve"> </w:t>
            </w:r>
            <w:r>
              <w:rPr>
                <w:rFonts w:ascii="Cambria" w:hAnsi="Cambria"/>
                <w:sz w:val="24"/>
                <w:szCs w:val="22"/>
              </w:rPr>
              <w:t xml:space="preserve">generadas por </w:t>
            </w:r>
            <w:r w:rsidR="00281BB8" w:rsidRPr="00344DCD">
              <w:rPr>
                <w:rFonts w:ascii="Cambria" w:hAnsi="Cambria"/>
                <w:sz w:val="24"/>
                <w:szCs w:val="22"/>
              </w:rPr>
              <w:t xml:space="preserve">plazas no contratadas, renuncias, permiso sin goce de sueldos; parte de las economías se utilizaron para cubrir </w:t>
            </w:r>
            <w:r>
              <w:rPr>
                <w:rFonts w:ascii="Cambria" w:hAnsi="Cambria"/>
                <w:sz w:val="24"/>
                <w:szCs w:val="22"/>
              </w:rPr>
              <w:t xml:space="preserve">el Acuerdo No. 784.12.2021 que corresponde al aumento salarial para el personal de FOPROLYD a partir del mes de noviembre de 2021. </w:t>
            </w:r>
          </w:p>
        </w:tc>
      </w:tr>
      <w:tr w:rsidR="00261306" w:rsidRPr="003D4926" w:rsidTr="009811A0">
        <w:tc>
          <w:tcPr>
            <w:tcW w:w="2830" w:type="dxa"/>
            <w:shd w:val="clear" w:color="auto" w:fill="auto"/>
          </w:tcPr>
          <w:p w:rsidR="00261306" w:rsidRPr="003D4926" w:rsidRDefault="00261306" w:rsidP="0026130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61306" w:rsidRPr="003D4926" w:rsidRDefault="00261306" w:rsidP="00261306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3D4926">
              <w:rPr>
                <w:rFonts w:ascii="Cambria" w:hAnsi="Cambria"/>
                <w:sz w:val="24"/>
                <w:szCs w:val="24"/>
              </w:rPr>
              <w:t>Adquisición de Bienes y Servicios</w:t>
            </w:r>
          </w:p>
        </w:tc>
        <w:tc>
          <w:tcPr>
            <w:tcW w:w="1418" w:type="dxa"/>
            <w:shd w:val="clear" w:color="auto" w:fill="auto"/>
          </w:tcPr>
          <w:p w:rsidR="00261306" w:rsidRPr="003D4926" w:rsidRDefault="00261306" w:rsidP="00261306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261306" w:rsidRPr="003D4926" w:rsidRDefault="003F4AD5" w:rsidP="00C361C7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100</w:t>
            </w:r>
            <w:r w:rsidR="00261306" w:rsidRPr="003D4926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61306" w:rsidRDefault="00261306" w:rsidP="00261306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F0CC7" w:rsidRDefault="00A36645" w:rsidP="00261306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0%</w:t>
            </w:r>
          </w:p>
        </w:tc>
        <w:tc>
          <w:tcPr>
            <w:tcW w:w="4141" w:type="dxa"/>
            <w:shd w:val="clear" w:color="auto" w:fill="auto"/>
          </w:tcPr>
          <w:p w:rsidR="00261306" w:rsidRPr="00344DCD" w:rsidRDefault="003F4AD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2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Al cierre del ejercicio se </w:t>
            </w:r>
            <w:r w:rsidR="00261306" w:rsidRPr="00344DCD">
              <w:rPr>
                <w:rFonts w:ascii="Cambria" w:hAnsi="Cambria"/>
                <w:sz w:val="24"/>
                <w:szCs w:val="24"/>
              </w:rPr>
              <w:t>cubri</w:t>
            </w:r>
            <w:r w:rsidR="0048429A" w:rsidRPr="00344DCD">
              <w:rPr>
                <w:rFonts w:ascii="Cambria" w:hAnsi="Cambria"/>
                <w:sz w:val="24"/>
                <w:szCs w:val="24"/>
              </w:rPr>
              <w:t xml:space="preserve">eron las obligaciones </w:t>
            </w:r>
            <w:r w:rsidR="00A36645">
              <w:rPr>
                <w:rFonts w:ascii="Cambria" w:hAnsi="Cambria"/>
                <w:sz w:val="24"/>
                <w:szCs w:val="24"/>
              </w:rPr>
              <w:t xml:space="preserve">y compromisos adquiridos en bienes y servicios para </w:t>
            </w:r>
            <w:r w:rsidR="0048429A" w:rsidRPr="00344DCD">
              <w:rPr>
                <w:rFonts w:ascii="Cambria" w:hAnsi="Cambria"/>
                <w:sz w:val="24"/>
                <w:szCs w:val="24"/>
              </w:rPr>
              <w:t xml:space="preserve">la entrega de medicamentos, </w:t>
            </w:r>
            <w:r w:rsidR="00261306" w:rsidRPr="00344DCD">
              <w:rPr>
                <w:rFonts w:ascii="Cambria" w:hAnsi="Cambria"/>
                <w:sz w:val="24"/>
                <w:szCs w:val="24"/>
              </w:rPr>
              <w:t>servicios médicos</w:t>
            </w:r>
            <w:r w:rsidR="00FF0CC7" w:rsidRPr="00344DCD">
              <w:rPr>
                <w:rFonts w:ascii="Cambria" w:hAnsi="Cambria"/>
                <w:sz w:val="24"/>
                <w:szCs w:val="24"/>
              </w:rPr>
              <w:t xml:space="preserve"> y </w:t>
            </w:r>
            <w:r w:rsidR="0048429A" w:rsidRPr="00344DCD">
              <w:rPr>
                <w:rFonts w:ascii="Cambria" w:hAnsi="Cambria"/>
                <w:sz w:val="24"/>
                <w:szCs w:val="24"/>
              </w:rPr>
              <w:t xml:space="preserve"> ayudas mecánicas para la rehabilitación de las personas beneficiarias con discapacidad,</w:t>
            </w:r>
            <w:r>
              <w:rPr>
                <w:rFonts w:ascii="Cambria" w:hAnsi="Cambria"/>
                <w:sz w:val="24"/>
                <w:szCs w:val="24"/>
              </w:rPr>
              <w:t xml:space="preserve"> y los gastos para el funcionamiento administrativo, operativo y logístico</w:t>
            </w:r>
            <w:r w:rsidR="00A36645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</w:rPr>
              <w:t xml:space="preserve"> necesario para cumplir con las actividades de atención de los programas de </w:t>
            </w:r>
            <w:r w:rsidR="00C40015" w:rsidRPr="00344DCD">
              <w:rPr>
                <w:rFonts w:ascii="Cambria" w:hAnsi="Cambria"/>
                <w:sz w:val="24"/>
                <w:szCs w:val="24"/>
              </w:rPr>
              <w:t>FOPROLYD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="00C40015" w:rsidRPr="00344DCD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A36645" w:rsidRPr="003D4926" w:rsidTr="009811A0">
        <w:tc>
          <w:tcPr>
            <w:tcW w:w="2830" w:type="dxa"/>
            <w:shd w:val="clear" w:color="auto" w:fill="auto"/>
          </w:tcPr>
          <w:p w:rsidR="00A36645" w:rsidRPr="003D4926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3D4926">
              <w:rPr>
                <w:rFonts w:ascii="Cambria" w:hAnsi="Cambria"/>
                <w:sz w:val="24"/>
                <w:szCs w:val="24"/>
              </w:rPr>
              <w:t>Transferencias Corrientes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Pensiones y otras Prestaciones Económicas.</w:t>
            </w: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36645" w:rsidRPr="003D4926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36645" w:rsidRPr="003D4926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36645" w:rsidRPr="003D4926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36645" w:rsidRPr="003D4926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36645" w:rsidRPr="003D4926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36645" w:rsidRPr="003D4926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100%</w:t>
            </w: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A36645" w:rsidRPr="003D4926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Pr="00474EA9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1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0%</w:t>
            </w: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36645" w:rsidRPr="003D4926" w:rsidRDefault="00A36645" w:rsidP="00A3664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1" w:type="dxa"/>
            <w:shd w:val="clear" w:color="auto" w:fill="auto"/>
          </w:tcPr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En el periodo se cubrieron las pensiones de enero a diciembre,  gastos funerarios por fallecimientos de personas beneficiarias, </w:t>
            </w:r>
            <w:r w:rsidRPr="00F949D3">
              <w:rPr>
                <w:rFonts w:ascii="Cambria" w:hAnsi="Cambria"/>
                <w:sz w:val="24"/>
                <w:szCs w:val="24"/>
              </w:rPr>
              <w:t xml:space="preserve">viáticos a personas beneficiarias con </w:t>
            </w:r>
            <w:r>
              <w:rPr>
                <w:rFonts w:ascii="Cambria" w:hAnsi="Cambria"/>
                <w:sz w:val="24"/>
                <w:szCs w:val="24"/>
              </w:rPr>
              <w:t xml:space="preserve">grado de </w:t>
            </w:r>
            <w:r w:rsidRPr="00F949D3">
              <w:rPr>
                <w:rFonts w:ascii="Cambria" w:hAnsi="Cambria"/>
                <w:sz w:val="24"/>
                <w:szCs w:val="24"/>
              </w:rPr>
              <w:t>discapacidad del 60 al 100%</w:t>
            </w:r>
            <w:r>
              <w:rPr>
                <w:rFonts w:ascii="Cambria" w:hAnsi="Cambria"/>
                <w:sz w:val="24"/>
                <w:szCs w:val="24"/>
              </w:rPr>
              <w:t xml:space="preserve">, Remanentes de pensiones pendientes del año 2019, Deuda Histórica del 1993-1994. </w:t>
            </w:r>
          </w:p>
          <w:p w:rsidR="00A36645" w:rsidRPr="003F0449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16"/>
                <w:szCs w:val="24"/>
              </w:rPr>
            </w:pPr>
          </w:p>
          <w:p w:rsidR="00A36645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Dentro de la ejecución se entregó la Compensación Económica Especial de fin de año por la cantidad de $1</w:t>
            </w:r>
            <w:r w:rsidR="003F0449">
              <w:rPr>
                <w:rFonts w:ascii="Cambria" w:hAnsi="Cambria"/>
                <w:sz w:val="24"/>
                <w:szCs w:val="24"/>
              </w:rPr>
              <w:t>, 863,638.54</w:t>
            </w:r>
            <w:r>
              <w:rPr>
                <w:rFonts w:ascii="Cambria" w:hAnsi="Cambria"/>
                <w:sz w:val="24"/>
                <w:szCs w:val="24"/>
              </w:rPr>
              <w:t>, comprende entregar el 50% de  la pensión que reciben en el mes de diciembre.</w:t>
            </w:r>
          </w:p>
          <w:p w:rsidR="00A36645" w:rsidRPr="003F0449" w:rsidRDefault="00A36645" w:rsidP="00A36645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4"/>
              </w:rPr>
            </w:pPr>
          </w:p>
          <w:p w:rsidR="00A36645" w:rsidRPr="00F949D3" w:rsidRDefault="00A36645" w:rsidP="003F0449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Asimismo se entregó la compensación económica para cancelar el ajuste de la pensi</w:t>
            </w:r>
            <w:r w:rsidR="003F0449">
              <w:rPr>
                <w:rFonts w:ascii="Cambria" w:hAnsi="Cambria"/>
                <w:sz w:val="24"/>
                <w:szCs w:val="24"/>
              </w:rPr>
              <w:t>ón pendiente, derivado del incremento al salario mínimo urbano del año 2017, decretado en el año 2016.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F834A2" w:rsidRDefault="00F834A2" w:rsidP="00261306">
      <w:pPr>
        <w:tabs>
          <w:tab w:val="left" w:pos="9664"/>
        </w:tabs>
        <w:jc w:val="center"/>
        <w:rPr>
          <w:rFonts w:ascii="Cambria" w:hAnsi="Cambria"/>
          <w:sz w:val="22"/>
          <w:szCs w:val="22"/>
        </w:rPr>
      </w:pPr>
    </w:p>
    <w:p w:rsidR="00F949D3" w:rsidRDefault="00F949D3" w:rsidP="00F949D3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0F26EC" w:rsidRDefault="000F26EC" w:rsidP="00F949D3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A40F93" w:rsidRDefault="00A40F93" w:rsidP="00F949D3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4141"/>
      </w:tblGrid>
      <w:tr w:rsidR="00F949D3" w:rsidRPr="003D4926" w:rsidTr="00A36645">
        <w:tc>
          <w:tcPr>
            <w:tcW w:w="2830" w:type="dxa"/>
            <w:shd w:val="clear" w:color="auto" w:fill="948A54" w:themeFill="background2" w:themeFillShade="80"/>
          </w:tcPr>
          <w:p w:rsidR="00F949D3" w:rsidRPr="00261306" w:rsidRDefault="00F949D3" w:rsidP="002E2581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RUBRO ECONÓMICO DEL GASTO</w:t>
            </w:r>
          </w:p>
        </w:tc>
        <w:tc>
          <w:tcPr>
            <w:tcW w:w="1418" w:type="dxa"/>
            <w:shd w:val="clear" w:color="auto" w:fill="948A54" w:themeFill="background2" w:themeFillShade="80"/>
          </w:tcPr>
          <w:p w:rsidR="00F949D3" w:rsidRPr="00261306" w:rsidRDefault="00F949D3" w:rsidP="002E2581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1417" w:type="dxa"/>
            <w:shd w:val="clear" w:color="auto" w:fill="948A54" w:themeFill="background2" w:themeFillShade="80"/>
          </w:tcPr>
          <w:p w:rsidR="00F949D3" w:rsidRPr="00261306" w:rsidRDefault="00F949D3" w:rsidP="002E2581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SIN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4141" w:type="dxa"/>
            <w:shd w:val="clear" w:color="auto" w:fill="948A54" w:themeFill="background2" w:themeFillShade="80"/>
          </w:tcPr>
          <w:p w:rsidR="00F949D3" w:rsidRPr="00261306" w:rsidRDefault="00F949D3" w:rsidP="002E2581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COMENTARIOS</w:t>
            </w:r>
          </w:p>
        </w:tc>
      </w:tr>
      <w:tr w:rsidR="00F949D3" w:rsidRPr="003D4926" w:rsidTr="002E2581">
        <w:tc>
          <w:tcPr>
            <w:tcW w:w="2830" w:type="dxa"/>
            <w:shd w:val="clear" w:color="auto" w:fill="auto"/>
          </w:tcPr>
          <w:p w:rsidR="00F949D3" w:rsidRPr="003D4926" w:rsidRDefault="00F949D3" w:rsidP="002E2581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949D3" w:rsidRPr="003D4926" w:rsidRDefault="00F949D3" w:rsidP="002E2581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BC4B97">
              <w:rPr>
                <w:rFonts w:ascii="Cambria" w:hAnsi="Cambria"/>
                <w:sz w:val="24"/>
                <w:szCs w:val="24"/>
              </w:rPr>
              <w:t>Beneficio Económico en concepto de Unidades de Apoyo Productivo.</w:t>
            </w:r>
          </w:p>
        </w:tc>
        <w:tc>
          <w:tcPr>
            <w:tcW w:w="1418" w:type="dxa"/>
            <w:shd w:val="clear" w:color="auto" w:fill="auto"/>
          </w:tcPr>
          <w:p w:rsidR="00F949D3" w:rsidRPr="003D4926" w:rsidRDefault="00F949D3" w:rsidP="002E2581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F949D3" w:rsidRPr="003D4926" w:rsidRDefault="00A40F93" w:rsidP="002E2581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100</w:t>
            </w:r>
            <w:r w:rsidR="00F949D3" w:rsidRPr="003D4926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F949D3" w:rsidRDefault="00F949D3" w:rsidP="002E2581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74EA9" w:rsidRPr="003D4926" w:rsidRDefault="00A40F93" w:rsidP="00A40F93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="00474EA9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226B89" w:rsidRDefault="00226B89" w:rsidP="002E2581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C4B97" w:rsidRDefault="00BC4B97" w:rsidP="00BC4B97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BC4B97">
              <w:rPr>
                <w:rFonts w:ascii="Cambria" w:hAnsi="Cambria"/>
                <w:sz w:val="24"/>
                <w:szCs w:val="24"/>
              </w:rPr>
              <w:t xml:space="preserve">Al periodo informado se entregó a </w:t>
            </w:r>
            <w:r>
              <w:rPr>
                <w:rFonts w:ascii="Cambria" w:hAnsi="Cambria"/>
                <w:sz w:val="24"/>
                <w:szCs w:val="24"/>
              </w:rPr>
              <w:t>667</w:t>
            </w:r>
            <w:r w:rsidRPr="00BC4B97">
              <w:rPr>
                <w:rFonts w:ascii="Cambria" w:hAnsi="Cambria"/>
                <w:sz w:val="24"/>
                <w:szCs w:val="24"/>
              </w:rPr>
              <w:t xml:space="preserve"> beneficiarios con discapacidad  </w:t>
            </w:r>
            <w:r>
              <w:rPr>
                <w:rFonts w:ascii="Cambria" w:hAnsi="Cambria"/>
                <w:sz w:val="24"/>
                <w:szCs w:val="24"/>
              </w:rPr>
              <w:t xml:space="preserve">el aporte económico para las iniciativas productivas en concepto de </w:t>
            </w:r>
            <w:r w:rsidRPr="00BC4B97">
              <w:rPr>
                <w:rFonts w:ascii="Cambria" w:hAnsi="Cambria"/>
                <w:sz w:val="24"/>
                <w:szCs w:val="24"/>
              </w:rPr>
              <w:t xml:space="preserve">Unidades de Apoyo Productivo. </w:t>
            </w:r>
          </w:p>
          <w:p w:rsidR="00BC4B97" w:rsidRPr="00F949D3" w:rsidRDefault="00BC4B97" w:rsidP="00BC4B97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ACB" w:rsidRPr="003D4926" w:rsidTr="002E2581">
        <w:tc>
          <w:tcPr>
            <w:tcW w:w="2830" w:type="dxa"/>
            <w:shd w:val="clear" w:color="auto" w:fill="auto"/>
          </w:tcPr>
          <w:p w:rsidR="00293ACB" w:rsidRDefault="00293ACB" w:rsidP="00293ACB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93ACB" w:rsidRPr="003D4926" w:rsidRDefault="00293ACB" w:rsidP="00293ACB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3D4926">
              <w:rPr>
                <w:rFonts w:ascii="Cambria" w:hAnsi="Cambria"/>
                <w:sz w:val="24"/>
                <w:szCs w:val="24"/>
              </w:rPr>
              <w:t>Inversiones en Activos Fijos</w:t>
            </w:r>
          </w:p>
        </w:tc>
        <w:tc>
          <w:tcPr>
            <w:tcW w:w="1418" w:type="dxa"/>
            <w:shd w:val="clear" w:color="auto" w:fill="auto"/>
          </w:tcPr>
          <w:p w:rsidR="00293ACB" w:rsidRDefault="00293ACB" w:rsidP="00293ACB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293ACB" w:rsidRDefault="00293ACB" w:rsidP="00293ACB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293ACB" w:rsidRPr="003D4926" w:rsidRDefault="00BC4B97" w:rsidP="00293ACB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100</w:t>
            </w:r>
            <w:r w:rsidR="00293ACB" w:rsidRPr="003D4926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93ACB" w:rsidRDefault="00293ACB" w:rsidP="00293ACB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293ACB" w:rsidRDefault="00293ACB" w:rsidP="00293ACB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293ACB" w:rsidRDefault="00BC4B97" w:rsidP="00293ACB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</w:t>
            </w:r>
            <w:r w:rsidR="00293ACB">
              <w:rPr>
                <w:rFonts w:ascii="Cambria" w:hAnsi="Cambria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293ACB" w:rsidRPr="00F949D3" w:rsidRDefault="00293ACB" w:rsidP="00693BAF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 cubrieron las compras programadas de los e</w:t>
            </w:r>
            <w:r w:rsidR="00BC4B97">
              <w:rPr>
                <w:rFonts w:ascii="Cambria" w:hAnsi="Cambria"/>
                <w:sz w:val="24"/>
                <w:szCs w:val="24"/>
              </w:rPr>
              <w:t xml:space="preserve">quipos informáticos, licencias, </w:t>
            </w:r>
            <w:r>
              <w:rPr>
                <w:rFonts w:ascii="Cambria" w:hAnsi="Cambria"/>
                <w:sz w:val="24"/>
                <w:szCs w:val="24"/>
              </w:rPr>
              <w:t>repuestos principales que por su costo y de acuerdo a normativas financieras y administrativas se registran como bienes capitalizables</w:t>
            </w:r>
            <w:r w:rsidR="00BC4B97">
              <w:rPr>
                <w:rFonts w:ascii="Cambria" w:hAnsi="Cambria"/>
                <w:sz w:val="24"/>
                <w:szCs w:val="24"/>
              </w:rPr>
              <w:t xml:space="preserve">; además se fortalecieron las Unidades de Gestión particularmente las de atención a personas con equipo sistematizado para facilitar </w:t>
            </w:r>
            <w:r w:rsidR="00693BAF">
              <w:rPr>
                <w:rFonts w:ascii="Cambria" w:hAnsi="Cambria"/>
                <w:sz w:val="24"/>
                <w:szCs w:val="24"/>
              </w:rPr>
              <w:t>la Constancia de Sobrevivencia a la población beneficiaria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</w:p>
        </w:tc>
      </w:tr>
    </w:tbl>
    <w:p w:rsidR="00B85B71" w:rsidRPr="00536456" w:rsidRDefault="00B85B71" w:rsidP="00B85B71">
      <w:pPr>
        <w:tabs>
          <w:tab w:val="left" w:pos="9664"/>
        </w:tabs>
        <w:jc w:val="center"/>
        <w:rPr>
          <w:rFonts w:ascii="Cambria" w:hAnsi="Cambria"/>
          <w:b/>
          <w:sz w:val="6"/>
          <w:szCs w:val="22"/>
        </w:rPr>
      </w:pPr>
    </w:p>
    <w:p w:rsidR="00536456" w:rsidRPr="00BE0EB1" w:rsidRDefault="00536456" w:rsidP="00B85B71">
      <w:pPr>
        <w:tabs>
          <w:tab w:val="left" w:pos="9664"/>
        </w:tabs>
        <w:jc w:val="center"/>
        <w:rPr>
          <w:rFonts w:ascii="Cambria" w:hAnsi="Cambria"/>
          <w:b/>
          <w:sz w:val="18"/>
          <w:szCs w:val="22"/>
        </w:rPr>
      </w:pPr>
    </w:p>
    <w:p w:rsidR="001F34D6" w:rsidRPr="00BE0EB1" w:rsidRDefault="00B85B71" w:rsidP="00310E7A">
      <w:pPr>
        <w:pStyle w:val="Encabezadodemensaje"/>
        <w:numPr>
          <w:ilvl w:val="0"/>
          <w:numId w:val="34"/>
        </w:numPr>
        <w:ind w:left="0" w:right="0" w:firstLine="360"/>
        <w:rPr>
          <w:rStyle w:val="Rtulodeencabezadodemensaje"/>
          <w:rFonts w:ascii="Cambria" w:hAnsi="Cambria" w:cs="Arial"/>
          <w:b/>
          <w:i/>
          <w:sz w:val="28"/>
          <w:szCs w:val="24"/>
        </w:rPr>
      </w:pPr>
      <w:r w:rsidRPr="00BE0EB1">
        <w:rPr>
          <w:rFonts w:ascii="Cambria" w:hAnsi="Cambria"/>
          <w:sz w:val="28"/>
          <w:szCs w:val="24"/>
        </w:rPr>
        <w:t xml:space="preserve"> </w:t>
      </w:r>
      <w:r w:rsidR="009E0CE7" w:rsidRPr="00BE0EB1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EJECUCIÓN DEL </w:t>
      </w:r>
      <w:r w:rsidR="001F34D6" w:rsidRPr="00BE0EB1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PRESUPUESTO DE FUNCIONAMIENTO INSTITUCIONAL  </w:t>
      </w:r>
    </w:p>
    <w:p w:rsidR="00536456" w:rsidRPr="00BE0EB1" w:rsidRDefault="00536456" w:rsidP="00536456">
      <w:pPr>
        <w:pStyle w:val="Encabezadodemensaje"/>
        <w:ind w:left="360" w:right="0" w:firstLine="0"/>
        <w:rPr>
          <w:rStyle w:val="Rtulodeencabezadodemensaje"/>
          <w:rFonts w:ascii="Cambria" w:hAnsi="Cambria" w:cs="Arial"/>
          <w:b/>
          <w:i/>
          <w:sz w:val="4"/>
          <w:szCs w:val="24"/>
        </w:rPr>
      </w:pPr>
    </w:p>
    <w:p w:rsidR="00123C70" w:rsidRPr="00693BAF" w:rsidRDefault="00293ACB" w:rsidP="003A1B9F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  <w:r w:rsidRPr="00693BAF">
        <w:rPr>
          <w:rFonts w:ascii="Cambria" w:hAnsi="Cambria"/>
          <w:sz w:val="24"/>
          <w:szCs w:val="24"/>
        </w:rPr>
        <w:t xml:space="preserve">El Presupuesto de Funcionamiento </w:t>
      </w:r>
      <w:r w:rsidR="003A1B9F" w:rsidRPr="00693BAF">
        <w:rPr>
          <w:rFonts w:ascii="Cambria" w:hAnsi="Cambria"/>
          <w:sz w:val="24"/>
          <w:szCs w:val="24"/>
        </w:rPr>
        <w:t xml:space="preserve">Institucional </w:t>
      </w:r>
      <w:r w:rsidRPr="00693BAF">
        <w:rPr>
          <w:rFonts w:ascii="Cambria" w:hAnsi="Cambria"/>
          <w:sz w:val="24"/>
          <w:szCs w:val="24"/>
        </w:rPr>
        <w:t xml:space="preserve">adscrito al </w:t>
      </w:r>
      <w:r w:rsidR="006C42EB" w:rsidRPr="00693BAF">
        <w:rPr>
          <w:rFonts w:ascii="Cambria" w:hAnsi="Cambria"/>
          <w:sz w:val="24"/>
          <w:szCs w:val="24"/>
        </w:rPr>
        <w:t>Ministerio de Trabajo y Previsión Social</w:t>
      </w:r>
      <w:r w:rsidR="003A1B9F" w:rsidRPr="00693BAF">
        <w:rPr>
          <w:rFonts w:ascii="Cambria" w:hAnsi="Cambria"/>
          <w:sz w:val="24"/>
          <w:szCs w:val="24"/>
        </w:rPr>
        <w:t xml:space="preserve">, aprobado en concepto de subsidio fue por la cantidad de </w:t>
      </w:r>
      <w:r w:rsidR="009F299A" w:rsidRPr="00693BAF">
        <w:rPr>
          <w:rFonts w:ascii="Cambria" w:hAnsi="Cambria"/>
          <w:sz w:val="24"/>
          <w:szCs w:val="24"/>
        </w:rPr>
        <w:t>US</w:t>
      </w:r>
      <w:r w:rsidR="005E299D" w:rsidRPr="00693BAF">
        <w:rPr>
          <w:rFonts w:ascii="Cambria" w:hAnsi="Cambria"/>
          <w:sz w:val="24"/>
          <w:szCs w:val="24"/>
        </w:rPr>
        <w:t>$</w:t>
      </w:r>
      <w:r w:rsidR="003A1B9F" w:rsidRPr="00693BAF">
        <w:rPr>
          <w:rFonts w:ascii="Cambria" w:hAnsi="Cambria"/>
          <w:sz w:val="24"/>
          <w:szCs w:val="24"/>
        </w:rPr>
        <w:t>1,024,845.00</w:t>
      </w:r>
      <w:r w:rsidR="00DB6FE4" w:rsidRPr="00693BAF">
        <w:rPr>
          <w:rFonts w:ascii="Cambria" w:hAnsi="Cambria"/>
          <w:sz w:val="24"/>
          <w:szCs w:val="24"/>
        </w:rPr>
        <w:t xml:space="preserve"> de estas asignaciones se </w:t>
      </w:r>
      <w:r w:rsidR="005E299D" w:rsidRPr="00693BAF">
        <w:rPr>
          <w:rFonts w:ascii="Cambria" w:hAnsi="Cambria"/>
          <w:sz w:val="24"/>
          <w:szCs w:val="24"/>
        </w:rPr>
        <w:t>ejecuta</w:t>
      </w:r>
      <w:r w:rsidR="00DB6FE4" w:rsidRPr="00693BAF">
        <w:rPr>
          <w:rFonts w:ascii="Cambria" w:hAnsi="Cambria"/>
          <w:sz w:val="24"/>
          <w:szCs w:val="24"/>
        </w:rPr>
        <w:t xml:space="preserve">ron la cantidad </w:t>
      </w:r>
      <w:r w:rsidR="005E299D" w:rsidRPr="00693BAF">
        <w:rPr>
          <w:rFonts w:ascii="Cambria" w:hAnsi="Cambria"/>
          <w:sz w:val="24"/>
          <w:szCs w:val="24"/>
        </w:rPr>
        <w:t>de US$</w:t>
      </w:r>
      <w:r w:rsidR="00693BAF">
        <w:rPr>
          <w:rFonts w:ascii="Cambria" w:hAnsi="Cambria"/>
          <w:sz w:val="24"/>
          <w:szCs w:val="24"/>
        </w:rPr>
        <w:t>914,132.63</w:t>
      </w:r>
      <w:r w:rsidR="005E299D" w:rsidRPr="00693BAF">
        <w:rPr>
          <w:rFonts w:ascii="Cambria" w:hAnsi="Cambria"/>
          <w:sz w:val="24"/>
          <w:szCs w:val="24"/>
        </w:rPr>
        <w:t xml:space="preserve">, </w:t>
      </w:r>
      <w:r w:rsidR="00DB6FE4" w:rsidRPr="00693BAF">
        <w:rPr>
          <w:rFonts w:ascii="Cambria" w:hAnsi="Cambria"/>
          <w:sz w:val="24"/>
          <w:szCs w:val="24"/>
        </w:rPr>
        <w:t xml:space="preserve">que </w:t>
      </w:r>
      <w:r w:rsidR="005E299D" w:rsidRPr="00693BAF">
        <w:rPr>
          <w:rFonts w:ascii="Cambria" w:hAnsi="Cambria"/>
          <w:sz w:val="24"/>
          <w:szCs w:val="24"/>
        </w:rPr>
        <w:t xml:space="preserve">significa el </w:t>
      </w:r>
      <w:r w:rsidR="00E508B0" w:rsidRPr="00693BAF">
        <w:rPr>
          <w:rFonts w:ascii="Cambria" w:hAnsi="Cambria"/>
          <w:b/>
          <w:sz w:val="24"/>
          <w:szCs w:val="24"/>
          <w:u w:val="single"/>
        </w:rPr>
        <w:t>8</w:t>
      </w:r>
      <w:r w:rsidR="00536456">
        <w:rPr>
          <w:rFonts w:ascii="Cambria" w:hAnsi="Cambria"/>
          <w:b/>
          <w:sz w:val="24"/>
          <w:szCs w:val="24"/>
          <w:u w:val="single"/>
        </w:rPr>
        <w:t>9.20</w:t>
      </w:r>
      <w:r w:rsidR="00032125" w:rsidRPr="00693BAF">
        <w:rPr>
          <w:rFonts w:ascii="Cambria" w:hAnsi="Cambria"/>
          <w:b/>
          <w:sz w:val="24"/>
          <w:szCs w:val="24"/>
          <w:u w:val="single"/>
        </w:rPr>
        <w:t>%</w:t>
      </w:r>
      <w:r w:rsidR="00DB6FE4" w:rsidRPr="00693BAF">
        <w:rPr>
          <w:rFonts w:ascii="Cambria" w:hAnsi="Cambria"/>
          <w:b/>
          <w:sz w:val="24"/>
          <w:szCs w:val="24"/>
          <w:u w:val="single"/>
        </w:rPr>
        <w:t>.</w:t>
      </w:r>
      <w:r w:rsidR="003A1B9F" w:rsidRPr="00693BAF">
        <w:rPr>
          <w:rFonts w:ascii="Cambria" w:hAnsi="Cambria"/>
          <w:sz w:val="24"/>
          <w:szCs w:val="24"/>
        </w:rPr>
        <w:t xml:space="preserve"> A</w:t>
      </w:r>
      <w:r w:rsidR="003A1B9F" w:rsidRPr="00693BAF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3A1B9F" w:rsidRPr="00693BAF">
        <w:rPr>
          <w:rFonts w:ascii="Cambria" w:hAnsi="Cambria"/>
          <w:sz w:val="24"/>
          <w:szCs w:val="24"/>
        </w:rPr>
        <w:t>continuación se muestra la ejecución por rubro económico del gasto.</w:t>
      </w:r>
    </w:p>
    <w:p w:rsidR="00032125" w:rsidRPr="00693BAF" w:rsidRDefault="00032125" w:rsidP="00536456">
      <w:pPr>
        <w:tabs>
          <w:tab w:val="left" w:pos="9664"/>
        </w:tabs>
        <w:jc w:val="center"/>
        <w:rPr>
          <w:rFonts w:ascii="Cambria" w:hAnsi="Cambria"/>
          <w:sz w:val="24"/>
          <w:szCs w:val="24"/>
        </w:rPr>
      </w:pPr>
    </w:p>
    <w:p w:rsidR="00293ACB" w:rsidRDefault="00536456" w:rsidP="00123C70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  <w:r w:rsidRPr="00536456">
        <w:rPr>
          <w:noProof/>
          <w:lang w:val="es-SV" w:eastAsia="es-SV"/>
        </w:rPr>
        <w:drawing>
          <wp:inline distT="0" distB="0" distL="0" distR="0">
            <wp:extent cx="6119753" cy="32795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54" cy="328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CB" w:rsidRDefault="00293ACB" w:rsidP="00123C70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</w:p>
    <w:p w:rsidR="00293ACB" w:rsidRDefault="00293ACB" w:rsidP="00123C70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</w:p>
    <w:p w:rsidR="00327E92" w:rsidRPr="00E509BA" w:rsidRDefault="00E509BA" w:rsidP="001F34D6">
      <w:pPr>
        <w:tabs>
          <w:tab w:val="left" w:pos="9664"/>
        </w:tabs>
        <w:jc w:val="both"/>
        <w:rPr>
          <w:rFonts w:ascii="Cambria" w:hAnsi="Cambria"/>
          <w:sz w:val="22"/>
        </w:rPr>
      </w:pPr>
      <w:r>
        <w:rPr>
          <w:rFonts w:ascii="Cambria" w:hAnsi="Cambria"/>
          <w:sz w:val="24"/>
          <w:szCs w:val="24"/>
        </w:rPr>
        <w:t xml:space="preserve">A continuación se describe los resultados </w:t>
      </w:r>
      <w:r w:rsidR="00840F13">
        <w:rPr>
          <w:rFonts w:ascii="Cambria" w:hAnsi="Cambria"/>
          <w:sz w:val="24"/>
          <w:szCs w:val="24"/>
        </w:rPr>
        <w:t xml:space="preserve">obtenidos de la ejecución de los </w:t>
      </w:r>
      <w:r w:rsidR="005D5BE7" w:rsidRPr="00E509BA">
        <w:rPr>
          <w:rFonts w:ascii="Cambria" w:hAnsi="Cambria"/>
          <w:sz w:val="24"/>
          <w:szCs w:val="24"/>
        </w:rPr>
        <w:t xml:space="preserve">recursos transferidos por el Ministerio de Trabajo </w:t>
      </w:r>
      <w:r w:rsidR="00840F13">
        <w:rPr>
          <w:rFonts w:ascii="Cambria" w:hAnsi="Cambria"/>
          <w:sz w:val="24"/>
          <w:szCs w:val="24"/>
        </w:rPr>
        <w:t xml:space="preserve">y Previsión Social </w:t>
      </w:r>
      <w:r w:rsidR="005D5BE7" w:rsidRPr="00E509BA">
        <w:rPr>
          <w:rFonts w:ascii="Cambria" w:hAnsi="Cambria"/>
          <w:sz w:val="24"/>
          <w:szCs w:val="24"/>
        </w:rPr>
        <w:t>para cubrir parte del funcionamiento institucional.</w:t>
      </w:r>
      <w:r w:rsidR="005D5BE7" w:rsidRPr="00E509BA">
        <w:rPr>
          <w:rFonts w:ascii="Cambria" w:hAnsi="Cambria"/>
          <w:sz w:val="22"/>
        </w:rPr>
        <w:t xml:space="preserve"> </w:t>
      </w:r>
    </w:p>
    <w:p w:rsidR="002214D3" w:rsidRPr="00E509BA" w:rsidRDefault="002214D3" w:rsidP="001F34D6">
      <w:pPr>
        <w:tabs>
          <w:tab w:val="left" w:pos="9664"/>
        </w:tabs>
        <w:jc w:val="both"/>
        <w:rPr>
          <w:rFonts w:ascii="Cambria" w:hAnsi="Cambria"/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784EE4" w:rsidRPr="00E509BA" w:rsidTr="00784EE4">
        <w:tc>
          <w:tcPr>
            <w:tcW w:w="2830" w:type="dxa"/>
            <w:shd w:val="clear" w:color="auto" w:fill="95B3D7" w:themeFill="accent1" w:themeFillTint="99"/>
          </w:tcPr>
          <w:p w:rsidR="00784EE4" w:rsidRPr="00E509BA" w:rsidRDefault="00784EE4" w:rsidP="00784EE4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09BA">
              <w:rPr>
                <w:rFonts w:ascii="Cambria" w:hAnsi="Cambria"/>
                <w:b/>
                <w:sz w:val="22"/>
                <w:szCs w:val="22"/>
              </w:rPr>
              <w:t>RUBRO ECONÓMICO DEL GASTO</w:t>
            </w:r>
          </w:p>
        </w:tc>
        <w:tc>
          <w:tcPr>
            <w:tcW w:w="1418" w:type="dxa"/>
            <w:shd w:val="clear" w:color="auto" w:fill="95B3D7" w:themeFill="accent1" w:themeFillTint="99"/>
          </w:tcPr>
          <w:p w:rsidR="00784EE4" w:rsidRPr="00E509BA" w:rsidRDefault="00784EE4" w:rsidP="00784EE4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09BA">
              <w:rPr>
                <w:rFonts w:ascii="Cambria" w:hAnsi="Cambria"/>
                <w:b/>
                <w:sz w:val="22"/>
                <w:szCs w:val="22"/>
              </w:rPr>
              <w:t>% EJECUCIÓN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:rsidR="00784EE4" w:rsidRPr="00E509BA" w:rsidRDefault="00784EE4" w:rsidP="00784EE4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09BA">
              <w:rPr>
                <w:rFonts w:ascii="Cambria" w:hAnsi="Cambria"/>
                <w:b/>
                <w:sz w:val="22"/>
                <w:szCs w:val="22"/>
              </w:rPr>
              <w:t>% SIN EJECUCIÓN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784EE4" w:rsidRPr="00E509BA" w:rsidRDefault="00784EE4" w:rsidP="00784EE4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09BA">
              <w:rPr>
                <w:rFonts w:ascii="Cambria" w:hAnsi="Cambria"/>
                <w:b/>
                <w:sz w:val="22"/>
                <w:szCs w:val="22"/>
              </w:rPr>
              <w:t>COMENTARIOS</w:t>
            </w:r>
          </w:p>
        </w:tc>
      </w:tr>
      <w:tr w:rsidR="00784EE4" w:rsidRPr="00784EE4" w:rsidTr="00784EE4">
        <w:tc>
          <w:tcPr>
            <w:tcW w:w="2830" w:type="dxa"/>
            <w:shd w:val="clear" w:color="auto" w:fill="auto"/>
          </w:tcPr>
          <w:p w:rsidR="00784EE4" w:rsidRPr="00E509BA" w:rsidRDefault="00784EE4" w:rsidP="0006569B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E509BA" w:rsidRDefault="00784EE4" w:rsidP="0006569B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E509BA" w:rsidRDefault="00784EE4" w:rsidP="0006569B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E509BA" w:rsidRDefault="00784EE4" w:rsidP="0006569B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509BA">
              <w:rPr>
                <w:rFonts w:ascii="Cambria" w:hAnsi="Cambria"/>
                <w:sz w:val="24"/>
                <w:szCs w:val="24"/>
              </w:rPr>
              <w:t>Remuneraciones al Personal</w:t>
            </w:r>
          </w:p>
        </w:tc>
        <w:tc>
          <w:tcPr>
            <w:tcW w:w="1418" w:type="dxa"/>
            <w:shd w:val="clear" w:color="auto" w:fill="auto"/>
          </w:tcPr>
          <w:p w:rsidR="00784EE4" w:rsidRPr="00E509BA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</w:pPr>
          </w:p>
          <w:p w:rsidR="00784EE4" w:rsidRPr="00E509BA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</w:pPr>
          </w:p>
          <w:p w:rsidR="00784EE4" w:rsidRPr="00E509BA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</w:pPr>
          </w:p>
          <w:p w:rsidR="00784EE4" w:rsidRPr="00E509BA" w:rsidRDefault="0073751D" w:rsidP="005D6F34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Style w:val="Rtulodeencabezadodemensaje"/>
                <w:rFonts w:ascii="Cambria" w:eastAsia="Batang" w:hAnsi="Cambria"/>
                <w:b/>
                <w:bCs/>
                <w:iCs/>
                <w:sz w:val="24"/>
                <w:szCs w:val="24"/>
                <w:lang w:eastAsia="en-US"/>
              </w:rPr>
              <w:t>93.33</w:t>
            </w:r>
            <w:r w:rsidR="00784EE4" w:rsidRPr="00E509BA">
              <w:rPr>
                <w:rStyle w:val="Rtulodeencabezadodemensaje"/>
                <w:rFonts w:ascii="Cambria" w:eastAsia="Batang" w:hAnsi="Cambria"/>
                <w:b/>
                <w:bCs/>
                <w:iCs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:rsidR="00784EE4" w:rsidRPr="00E509BA" w:rsidRDefault="00784EE4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</w:pPr>
          </w:p>
          <w:p w:rsidR="007662DF" w:rsidRPr="00E509BA" w:rsidRDefault="007662DF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</w:pPr>
          </w:p>
          <w:p w:rsidR="007662DF" w:rsidRPr="00E509BA" w:rsidRDefault="007662DF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</w:pPr>
          </w:p>
          <w:p w:rsidR="007662DF" w:rsidRPr="00E509BA" w:rsidRDefault="0073751D" w:rsidP="005D6F34">
            <w:pPr>
              <w:tabs>
                <w:tab w:val="left" w:pos="9664"/>
              </w:tabs>
              <w:jc w:val="center"/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</w:pPr>
            <w:r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  <w:t>6.67</w:t>
            </w:r>
            <w:r w:rsidR="007662DF" w:rsidRPr="00E509BA">
              <w:rPr>
                <w:rStyle w:val="Rtulodeencabezadodemensaje"/>
                <w:rFonts w:ascii="Cambria" w:eastAsia="Batang" w:hAnsi="Cambria"/>
                <w:bCs/>
                <w:iCs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auto"/>
          </w:tcPr>
          <w:p w:rsidR="009B7CA6" w:rsidRPr="00784EE4" w:rsidRDefault="0073751D" w:rsidP="000E69F3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6E7C78">
              <w:rPr>
                <w:rFonts w:ascii="Cambria" w:hAnsi="Cambria"/>
                <w:sz w:val="24"/>
                <w:szCs w:val="24"/>
              </w:rPr>
              <w:t xml:space="preserve">El saldo no ejecutado corresponde a  economías salariales generadas por </w:t>
            </w:r>
            <w:r w:rsidR="006E7C78" w:rsidRPr="006E7C78">
              <w:rPr>
                <w:rFonts w:ascii="Cambria" w:hAnsi="Cambria"/>
                <w:sz w:val="24"/>
                <w:szCs w:val="24"/>
              </w:rPr>
              <w:t xml:space="preserve">dietas no devengadas, salarios prestaciones y obligaciones determinadas en las leyes aplicables </w:t>
            </w:r>
            <w:r w:rsidRPr="006E7C78">
              <w:rPr>
                <w:rFonts w:ascii="Cambria" w:hAnsi="Cambria"/>
                <w:sz w:val="24"/>
                <w:szCs w:val="24"/>
              </w:rPr>
              <w:t xml:space="preserve">plazas no contratadas, renuncias, permiso sin goce de sueldos; parte de las economías se utilizaron para cubrir el Acuerdo No. 784.12.2021 que corresponde al aumento salarial para el personal de FOPROLYD a partir del mes de noviembre de 2021. </w:t>
            </w:r>
          </w:p>
        </w:tc>
      </w:tr>
      <w:tr w:rsidR="00784EE4" w:rsidRPr="00784EE4" w:rsidTr="00784EE4">
        <w:tc>
          <w:tcPr>
            <w:tcW w:w="2830" w:type="dxa"/>
            <w:shd w:val="clear" w:color="auto" w:fill="auto"/>
          </w:tcPr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784EE4">
              <w:rPr>
                <w:rFonts w:ascii="Cambria" w:hAnsi="Cambria"/>
                <w:sz w:val="24"/>
                <w:szCs w:val="24"/>
              </w:rPr>
              <w:t>Adquisición de Bienes y Servicios</w:t>
            </w:r>
          </w:p>
        </w:tc>
        <w:tc>
          <w:tcPr>
            <w:tcW w:w="1418" w:type="dxa"/>
            <w:shd w:val="clear" w:color="auto" w:fill="auto"/>
          </w:tcPr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784EE4" w:rsidRPr="00784EE4" w:rsidRDefault="006E7C78" w:rsidP="005945FC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62.24</w:t>
            </w:r>
            <w:r w:rsidR="00784EE4" w:rsidRPr="00784EE4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784EE4" w:rsidRDefault="00784EE4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662DF" w:rsidRDefault="007662DF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662DF" w:rsidRDefault="007662DF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6E7C78" w:rsidRDefault="006E7C78" w:rsidP="005945FC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5945FC" w:rsidRDefault="006E7C78" w:rsidP="005945FC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37.76</w:t>
            </w:r>
            <w:r w:rsidRPr="00784EE4">
              <w:rPr>
                <w:rFonts w:ascii="Cambria" w:hAnsi="Cambria"/>
                <w:b/>
                <w:sz w:val="22"/>
                <w:szCs w:val="22"/>
              </w:rPr>
              <w:t>%</w:t>
            </w:r>
          </w:p>
          <w:p w:rsidR="007662DF" w:rsidRPr="00784EE4" w:rsidRDefault="007662DF" w:rsidP="005945FC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B7CA6" w:rsidRPr="00784EE4" w:rsidRDefault="005945FC" w:rsidP="000E69F3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 saldo no ejecutado correspo</w:t>
            </w:r>
            <w:r w:rsidR="006E7C78">
              <w:rPr>
                <w:rFonts w:ascii="Cambria" w:hAnsi="Cambria"/>
                <w:sz w:val="24"/>
                <w:szCs w:val="24"/>
              </w:rPr>
              <w:t xml:space="preserve">nde a actividades no realizadas para mantener las medidas de bioseguridad la pandemia </w:t>
            </w:r>
            <w:r w:rsidR="00E74B25">
              <w:rPr>
                <w:rFonts w:ascii="Cambria" w:hAnsi="Cambria"/>
                <w:sz w:val="24"/>
                <w:szCs w:val="24"/>
              </w:rPr>
              <w:t xml:space="preserve">COVID 19, </w:t>
            </w:r>
            <w:r>
              <w:rPr>
                <w:rFonts w:ascii="Cambria" w:hAnsi="Cambria"/>
                <w:sz w:val="24"/>
                <w:szCs w:val="24"/>
              </w:rPr>
              <w:t xml:space="preserve">tales como el evento de rendición de cuentas, </w:t>
            </w:r>
            <w:r w:rsidR="006E7C78">
              <w:rPr>
                <w:rFonts w:ascii="Cambria" w:hAnsi="Cambria"/>
                <w:sz w:val="24"/>
                <w:szCs w:val="24"/>
              </w:rPr>
              <w:t xml:space="preserve">disminución de </w:t>
            </w:r>
            <w:r>
              <w:rPr>
                <w:rFonts w:ascii="Cambria" w:hAnsi="Cambria"/>
                <w:sz w:val="24"/>
                <w:szCs w:val="24"/>
              </w:rPr>
              <w:t xml:space="preserve">capacitaciones al personal, </w:t>
            </w:r>
            <w:r w:rsidR="00FA0CE1">
              <w:rPr>
                <w:rFonts w:ascii="Cambria" w:hAnsi="Cambria"/>
                <w:sz w:val="24"/>
                <w:szCs w:val="24"/>
              </w:rPr>
              <w:t xml:space="preserve"> Financiero 2019 </w:t>
            </w:r>
            <w:r w:rsidR="006E7C78">
              <w:rPr>
                <w:rFonts w:ascii="Cambria" w:hAnsi="Cambria"/>
                <w:sz w:val="24"/>
                <w:szCs w:val="24"/>
              </w:rPr>
              <w:t xml:space="preserve">y bienes y servicios </w:t>
            </w:r>
            <w:r w:rsidR="000E69F3">
              <w:rPr>
                <w:rFonts w:ascii="Cambria" w:hAnsi="Cambria"/>
                <w:sz w:val="24"/>
                <w:szCs w:val="24"/>
              </w:rPr>
              <w:t xml:space="preserve">de funcionamiento y </w:t>
            </w:r>
            <w:r w:rsidR="000E668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84EE4" w:rsidRPr="00784EE4">
              <w:rPr>
                <w:rFonts w:ascii="Cambria" w:hAnsi="Cambria"/>
                <w:sz w:val="24"/>
                <w:szCs w:val="24"/>
              </w:rPr>
              <w:t>mantenimiento</w:t>
            </w:r>
            <w:r w:rsidR="000E69F3">
              <w:rPr>
                <w:rFonts w:ascii="Cambria" w:hAnsi="Cambria"/>
                <w:sz w:val="24"/>
                <w:szCs w:val="24"/>
              </w:rPr>
              <w:t>s</w:t>
            </w:r>
            <w:r w:rsidR="00E74B25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84EE4" w:rsidRPr="003D4926" w:rsidTr="00784EE4">
        <w:tc>
          <w:tcPr>
            <w:tcW w:w="2830" w:type="dxa"/>
            <w:shd w:val="clear" w:color="auto" w:fill="auto"/>
          </w:tcPr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784EE4">
              <w:rPr>
                <w:rFonts w:ascii="Cambria" w:hAnsi="Cambria"/>
                <w:sz w:val="24"/>
                <w:szCs w:val="24"/>
              </w:rPr>
              <w:t>Gastos Financieros y Otros</w:t>
            </w:r>
          </w:p>
        </w:tc>
        <w:tc>
          <w:tcPr>
            <w:tcW w:w="1418" w:type="dxa"/>
            <w:shd w:val="clear" w:color="auto" w:fill="auto"/>
          </w:tcPr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784EE4" w:rsidRPr="00784EE4" w:rsidRDefault="00784EE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784EE4" w:rsidRPr="00784EE4" w:rsidRDefault="000E69F3" w:rsidP="00ED0D85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90.38</w:t>
            </w:r>
            <w:r w:rsidR="00784EE4" w:rsidRPr="00784EE4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784EE4" w:rsidRDefault="00784EE4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253F71" w:rsidRDefault="00253F71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253F71" w:rsidRDefault="00253F71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E69F3" w:rsidRDefault="000E69F3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253F71" w:rsidRDefault="000E69F3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9.62</w:t>
            </w:r>
            <w:r w:rsidRPr="00784EE4">
              <w:rPr>
                <w:rFonts w:ascii="Cambria" w:hAnsi="Cambria"/>
                <w:b/>
                <w:sz w:val="22"/>
                <w:szCs w:val="22"/>
              </w:rPr>
              <w:t>%</w:t>
            </w:r>
          </w:p>
          <w:p w:rsidR="00253F71" w:rsidRPr="00784EE4" w:rsidRDefault="00253F71" w:rsidP="00ED0D85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84EE4" w:rsidRPr="00784EE4" w:rsidRDefault="00784EE4" w:rsidP="000C24FD">
            <w:pPr>
              <w:tabs>
                <w:tab w:val="left" w:pos="9664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784EE4">
              <w:rPr>
                <w:rFonts w:ascii="Cambria" w:hAnsi="Cambria"/>
                <w:sz w:val="24"/>
                <w:szCs w:val="24"/>
              </w:rPr>
              <w:t xml:space="preserve">Se </w:t>
            </w:r>
            <w:r w:rsidR="000E69F3">
              <w:rPr>
                <w:rFonts w:ascii="Cambria" w:hAnsi="Cambria"/>
                <w:sz w:val="24"/>
                <w:szCs w:val="24"/>
              </w:rPr>
              <w:t xml:space="preserve">cubrió los </w:t>
            </w:r>
            <w:r w:rsidRPr="00784EE4">
              <w:rPr>
                <w:rFonts w:ascii="Cambria" w:hAnsi="Cambria"/>
                <w:sz w:val="24"/>
                <w:szCs w:val="24"/>
              </w:rPr>
              <w:t xml:space="preserve">impuestos municipales de inmuebles propiedad de FOPROLYD, pago de anualidad por el funcionamiento de la clínica empresarial en el Consejo Superior de Salud; el remanente de saldos corresponde a </w:t>
            </w:r>
            <w:r w:rsidR="00ED0D85">
              <w:rPr>
                <w:rFonts w:ascii="Cambria" w:hAnsi="Cambria"/>
                <w:sz w:val="24"/>
                <w:szCs w:val="24"/>
              </w:rPr>
              <w:t xml:space="preserve">que lo programado fue mayor a lo ejecutado, en vista del pago de </w:t>
            </w:r>
            <w:r w:rsidRPr="00784EE4">
              <w:rPr>
                <w:rFonts w:ascii="Cambria" w:hAnsi="Cambria"/>
                <w:sz w:val="24"/>
                <w:szCs w:val="24"/>
              </w:rPr>
              <w:t>impuestos municipales</w:t>
            </w:r>
            <w:r w:rsidR="00ED0D8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E69F3">
              <w:rPr>
                <w:rFonts w:ascii="Cambria" w:hAnsi="Cambria"/>
                <w:sz w:val="24"/>
                <w:szCs w:val="24"/>
              </w:rPr>
              <w:t xml:space="preserve">del año en el primer mes del ejercicio, ahorrándose el pago de interés. </w:t>
            </w:r>
            <w:r w:rsidRPr="00784EE4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5D6F34" w:rsidRPr="003D4926" w:rsidTr="00784EE4">
        <w:tc>
          <w:tcPr>
            <w:tcW w:w="2830" w:type="dxa"/>
            <w:shd w:val="clear" w:color="auto" w:fill="auto"/>
          </w:tcPr>
          <w:p w:rsidR="005D6F34" w:rsidRDefault="005D6F3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D6F34" w:rsidRDefault="005D6F3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Inversiones en Activos Fijos</w:t>
            </w:r>
          </w:p>
          <w:p w:rsidR="005D6F34" w:rsidRPr="00784EE4" w:rsidRDefault="005D6F34" w:rsidP="003D4926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F34" w:rsidRDefault="005D6F34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:rsidR="00ED0D85" w:rsidRPr="00784EE4" w:rsidRDefault="000E69F3" w:rsidP="003D4926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96.91</w:t>
            </w:r>
            <w:r w:rsidR="00ED0D85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5D6F34" w:rsidRDefault="005D6F34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D0D85" w:rsidRDefault="000E69F3" w:rsidP="007662DF">
            <w:pPr>
              <w:tabs>
                <w:tab w:val="left" w:pos="966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3.09</w:t>
            </w:r>
            <w:r w:rsidR="00ED0D8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3969" w:type="dxa"/>
            <w:shd w:val="clear" w:color="auto" w:fill="auto"/>
          </w:tcPr>
          <w:p w:rsidR="005D6F34" w:rsidRDefault="000E69F3" w:rsidP="00C24724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 utilizaron parte de las economías salariales para cubrir necesidades de mobiliario y equipo para fortalecer a las unidades de gestión, que por el tiempo de uso los bienes muebles ya están obsoletos o deteriorados</w:t>
            </w:r>
            <w:r w:rsidR="005B371A">
              <w:rPr>
                <w:rFonts w:ascii="Cambria" w:hAnsi="Cambria"/>
                <w:sz w:val="24"/>
                <w:szCs w:val="24"/>
              </w:rPr>
              <w:t>, y para facilitar los procesos de atención.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2472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9B7CA6" w:rsidRPr="00784EE4" w:rsidRDefault="009B7CA6" w:rsidP="00C24724">
            <w:pPr>
              <w:tabs>
                <w:tab w:val="left" w:pos="9664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27E92" w:rsidRDefault="00327E92" w:rsidP="001F34D6">
      <w:pPr>
        <w:tabs>
          <w:tab w:val="left" w:pos="9664"/>
        </w:tabs>
        <w:jc w:val="both"/>
        <w:rPr>
          <w:rFonts w:ascii="Cambria" w:hAnsi="Cambria"/>
          <w:sz w:val="22"/>
        </w:rPr>
      </w:pPr>
    </w:p>
    <w:p w:rsidR="00170BE4" w:rsidRDefault="00170BE4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367F4" w:rsidRDefault="004367F4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367F4" w:rsidRPr="004367F4" w:rsidRDefault="004367F4" w:rsidP="004367F4">
      <w:pPr>
        <w:pStyle w:val="Encabezadodemensaje"/>
        <w:ind w:left="0" w:right="0" w:firstLine="0"/>
        <w:jc w:val="center"/>
        <w:rPr>
          <w:rStyle w:val="Rtulodeencabezadodemensaje"/>
          <w:rFonts w:asciiTheme="majorHAnsi" w:hAnsiTheme="majorHAnsi" w:cs="Arial"/>
          <w:b/>
          <w:i/>
          <w:sz w:val="28"/>
          <w:szCs w:val="28"/>
        </w:rPr>
      </w:pPr>
      <w:r w:rsidRPr="004367F4">
        <w:rPr>
          <w:rStyle w:val="Rtulodeencabezadodemensaje"/>
          <w:rFonts w:asciiTheme="majorHAnsi" w:hAnsiTheme="majorHAnsi" w:cs="Arial"/>
          <w:b/>
          <w:i/>
          <w:sz w:val="28"/>
          <w:szCs w:val="28"/>
        </w:rPr>
        <w:t xml:space="preserve">EJECUCIÓN PRESUPUESTARIA DE LOS RECURSOS PROPIOS DE FOPROLYD  </w:t>
      </w:r>
    </w:p>
    <w:p w:rsidR="004367F4" w:rsidRPr="004367F4" w:rsidRDefault="004367F4" w:rsidP="004367F4">
      <w:pPr>
        <w:pStyle w:val="Encabezadodemensaje"/>
        <w:ind w:left="0" w:right="0" w:firstLine="0"/>
        <w:jc w:val="center"/>
        <w:rPr>
          <w:rStyle w:val="Rtulodeencabezadodemensaje"/>
          <w:rFonts w:asciiTheme="majorHAnsi" w:hAnsiTheme="majorHAnsi" w:cs="Arial"/>
          <w:sz w:val="28"/>
          <w:szCs w:val="28"/>
        </w:rPr>
      </w:pPr>
      <w:r w:rsidRPr="004367F4">
        <w:rPr>
          <w:rStyle w:val="Rtulodeencabezadodemensaje"/>
          <w:rFonts w:asciiTheme="majorHAnsi" w:hAnsiTheme="majorHAnsi" w:cs="Arial"/>
          <w:sz w:val="28"/>
          <w:szCs w:val="28"/>
        </w:rPr>
        <w:t xml:space="preserve">Fuente de Financiamiento: Recursos Propios    </w:t>
      </w:r>
    </w:p>
    <w:p w:rsidR="004367F4" w:rsidRPr="00077800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4367F4" w:rsidRPr="004367F4" w:rsidRDefault="004367F4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  <w:r>
        <w:rPr>
          <w:rFonts w:asciiTheme="majorHAnsi" w:hAnsiTheme="majorHAnsi" w:cs="Arial"/>
          <w:sz w:val="24"/>
          <w:szCs w:val="24"/>
          <w:lang w:val="es-SV"/>
        </w:rPr>
        <w:t xml:space="preserve">En el año 2021, los recursos programados </w:t>
      </w:r>
      <w:r w:rsidR="00E14801">
        <w:rPr>
          <w:rFonts w:asciiTheme="majorHAnsi" w:hAnsiTheme="majorHAnsi" w:cs="Arial"/>
          <w:sz w:val="24"/>
          <w:szCs w:val="24"/>
          <w:lang w:val="es-SV"/>
        </w:rPr>
        <w:t xml:space="preserve">para la administración del </w:t>
      </w:r>
      <w:r w:rsidRPr="004367F4">
        <w:rPr>
          <w:rFonts w:asciiTheme="majorHAnsi" w:hAnsiTheme="majorHAnsi" w:cs="Arial"/>
          <w:sz w:val="24"/>
          <w:szCs w:val="24"/>
          <w:lang w:val="es-SV"/>
        </w:rPr>
        <w:t xml:space="preserve">Fondo Rotativo, </w:t>
      </w:r>
      <w:r>
        <w:rPr>
          <w:rFonts w:asciiTheme="majorHAnsi" w:hAnsiTheme="majorHAnsi" w:cs="Arial"/>
          <w:sz w:val="24"/>
          <w:szCs w:val="24"/>
          <w:lang w:val="es-SV"/>
        </w:rPr>
        <w:t>R</w:t>
      </w:r>
      <w:r w:rsidRPr="004367F4">
        <w:rPr>
          <w:rFonts w:asciiTheme="majorHAnsi" w:hAnsiTheme="majorHAnsi" w:cs="Arial"/>
          <w:sz w:val="24"/>
          <w:szCs w:val="24"/>
          <w:lang w:val="es-SV"/>
        </w:rPr>
        <w:t>endimiento de Reserva Técnica y otros</w:t>
      </w:r>
      <w:r>
        <w:rPr>
          <w:rFonts w:asciiTheme="majorHAnsi" w:hAnsiTheme="majorHAnsi" w:cs="Arial"/>
          <w:sz w:val="24"/>
          <w:szCs w:val="24"/>
          <w:lang w:val="es-SV"/>
        </w:rPr>
        <w:t xml:space="preserve">, </w:t>
      </w:r>
      <w:r w:rsidRPr="004367F4">
        <w:rPr>
          <w:rFonts w:asciiTheme="majorHAnsi" w:hAnsiTheme="majorHAnsi" w:cs="Arial"/>
          <w:sz w:val="24"/>
          <w:szCs w:val="24"/>
          <w:lang w:val="es-SV"/>
        </w:rPr>
        <w:t xml:space="preserve">se ejecutaron de la siguiente forma:  </w:t>
      </w:r>
    </w:p>
    <w:p w:rsidR="004367F4" w:rsidRPr="00077800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4367F4" w:rsidRPr="00077800" w:rsidRDefault="00E14801" w:rsidP="004367F4">
      <w:pPr>
        <w:pStyle w:val="Prrafodelista"/>
        <w:spacing w:after="0" w:line="240" w:lineRule="auto"/>
        <w:ind w:left="0"/>
        <w:contextualSpacing/>
        <w:jc w:val="center"/>
        <w:rPr>
          <w:rFonts w:ascii="Arial" w:hAnsi="Arial" w:cs="Arial"/>
          <w:sz w:val="24"/>
          <w:szCs w:val="24"/>
          <w:lang w:val="es-SV"/>
        </w:rPr>
      </w:pPr>
      <w:r w:rsidRPr="00E14801">
        <w:rPr>
          <w:noProof/>
          <w:lang w:val="es-SV" w:eastAsia="es-SV"/>
        </w:rPr>
        <w:drawing>
          <wp:inline distT="0" distB="0" distL="0" distR="0">
            <wp:extent cx="5477413" cy="3632631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464" cy="36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F4" w:rsidRPr="00077800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4367F4" w:rsidRPr="004367F4" w:rsidRDefault="00E14801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  <w:r>
        <w:rPr>
          <w:rFonts w:asciiTheme="majorHAnsi" w:hAnsiTheme="majorHAnsi" w:cs="Arial"/>
          <w:sz w:val="24"/>
          <w:szCs w:val="24"/>
          <w:lang w:val="es-SV"/>
        </w:rPr>
        <w:t xml:space="preserve">A continuación se informa sobre la ejecución presupuestaria, fuente de financiamiento </w:t>
      </w:r>
      <w:r w:rsidR="004367F4" w:rsidRPr="004367F4">
        <w:rPr>
          <w:rFonts w:asciiTheme="majorHAnsi" w:hAnsiTheme="majorHAnsi" w:cs="Arial"/>
          <w:sz w:val="24"/>
          <w:szCs w:val="24"/>
          <w:lang w:val="es-SV"/>
        </w:rPr>
        <w:t>Recursos Propio</w:t>
      </w:r>
      <w:r>
        <w:rPr>
          <w:rFonts w:asciiTheme="majorHAnsi" w:hAnsiTheme="majorHAnsi" w:cs="Arial"/>
          <w:sz w:val="24"/>
          <w:szCs w:val="24"/>
          <w:lang w:val="es-SV"/>
        </w:rPr>
        <w:t xml:space="preserve">: </w:t>
      </w:r>
      <w:r w:rsidR="004367F4" w:rsidRPr="004367F4">
        <w:rPr>
          <w:rFonts w:asciiTheme="majorHAnsi" w:hAnsiTheme="majorHAnsi" w:cs="Arial"/>
          <w:sz w:val="24"/>
          <w:szCs w:val="24"/>
          <w:lang w:val="es-SV"/>
        </w:rPr>
        <w:t xml:space="preserve"> </w:t>
      </w:r>
    </w:p>
    <w:p w:rsidR="004367F4" w:rsidRPr="004367F4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4367F4" w:rsidRPr="00E14801" w:rsidTr="00DC5A48">
        <w:tc>
          <w:tcPr>
            <w:tcW w:w="2830" w:type="dxa"/>
            <w:shd w:val="clear" w:color="auto" w:fill="C4BC96" w:themeFill="background2" w:themeFillShade="BF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b/>
                <w:sz w:val="22"/>
                <w:szCs w:val="24"/>
              </w:rPr>
              <w:t>RUBRO ECONÓMICO DEL GASTO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b/>
                <w:sz w:val="22"/>
                <w:szCs w:val="24"/>
              </w:rPr>
              <w:t>% EJECUCIÓN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b/>
                <w:sz w:val="22"/>
                <w:szCs w:val="24"/>
              </w:rPr>
              <w:t>% SIN EJECUCIÓN</w:t>
            </w:r>
          </w:p>
        </w:tc>
        <w:tc>
          <w:tcPr>
            <w:tcW w:w="3969" w:type="dxa"/>
            <w:shd w:val="clear" w:color="auto" w:fill="C4BC96" w:themeFill="background2" w:themeFillShade="BF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b/>
                <w:sz w:val="22"/>
                <w:szCs w:val="24"/>
              </w:rPr>
              <w:t>COMENTARIOS</w:t>
            </w:r>
          </w:p>
        </w:tc>
      </w:tr>
      <w:tr w:rsidR="004367F4" w:rsidRPr="00E14801" w:rsidTr="00DC5A48">
        <w:tc>
          <w:tcPr>
            <w:tcW w:w="2830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sz w:val="22"/>
                <w:szCs w:val="24"/>
              </w:rPr>
              <w:t xml:space="preserve">Fondo Rotativo </w:t>
            </w:r>
          </w:p>
        </w:tc>
        <w:tc>
          <w:tcPr>
            <w:tcW w:w="1418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Style w:val="Rtulodeencabezadodemensaje"/>
                <w:rFonts w:asciiTheme="majorHAnsi" w:eastAsia="Batang" w:hAnsiTheme="majorHAnsi" w:cs="Arial"/>
                <w:bCs/>
                <w:iCs/>
                <w:sz w:val="22"/>
                <w:szCs w:val="24"/>
                <w:lang w:eastAsia="en-US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Style w:val="Rtulodeencabezadodemensaje"/>
                <w:rFonts w:asciiTheme="majorHAnsi" w:eastAsia="Batang" w:hAnsiTheme="majorHAnsi" w:cs="Arial"/>
                <w:bCs/>
                <w:iCs/>
                <w:sz w:val="22"/>
                <w:szCs w:val="24"/>
                <w:lang w:eastAsia="en-US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E14801">
              <w:rPr>
                <w:rStyle w:val="Rtulodeencabezadodemensaje"/>
                <w:rFonts w:asciiTheme="majorHAnsi" w:eastAsia="Batang" w:hAnsiTheme="majorHAnsi" w:cs="Arial"/>
                <w:b/>
                <w:bCs/>
                <w:iCs/>
                <w:sz w:val="22"/>
                <w:szCs w:val="24"/>
                <w:lang w:eastAsia="en-US"/>
              </w:rPr>
              <w:t>51.25%</w:t>
            </w:r>
          </w:p>
        </w:tc>
        <w:tc>
          <w:tcPr>
            <w:tcW w:w="1701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Style w:val="Rtulodeencabezadodemensaje"/>
                <w:rFonts w:asciiTheme="majorHAnsi" w:eastAsia="Batang" w:hAnsiTheme="majorHAnsi" w:cs="Arial"/>
                <w:bCs/>
                <w:iCs/>
                <w:sz w:val="22"/>
                <w:szCs w:val="24"/>
                <w:lang w:eastAsia="en-US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Style w:val="Rtulodeencabezadodemensaje"/>
                <w:rFonts w:asciiTheme="majorHAnsi" w:eastAsia="Batang" w:hAnsiTheme="majorHAnsi" w:cs="Arial"/>
                <w:bCs/>
                <w:iCs/>
                <w:sz w:val="22"/>
                <w:szCs w:val="24"/>
                <w:lang w:eastAsia="en-US"/>
              </w:rPr>
            </w:pPr>
          </w:p>
          <w:p w:rsidR="004367F4" w:rsidRPr="00E14801" w:rsidRDefault="00E14801" w:rsidP="00DC5A48">
            <w:pPr>
              <w:tabs>
                <w:tab w:val="left" w:pos="9664"/>
              </w:tabs>
              <w:jc w:val="center"/>
              <w:rPr>
                <w:rStyle w:val="Rtulodeencabezadodemensaje"/>
                <w:rFonts w:asciiTheme="majorHAnsi" w:eastAsia="Batang" w:hAnsiTheme="majorHAnsi" w:cs="Arial"/>
                <w:bCs/>
                <w:iCs/>
                <w:sz w:val="22"/>
                <w:szCs w:val="24"/>
                <w:lang w:eastAsia="en-US"/>
              </w:rPr>
            </w:pPr>
            <w:r w:rsidRPr="00E14801">
              <w:rPr>
                <w:rStyle w:val="Rtulodeencabezadodemensaje"/>
                <w:rFonts w:asciiTheme="majorHAnsi" w:eastAsia="Batang" w:hAnsiTheme="majorHAnsi" w:cs="Arial"/>
                <w:bCs/>
                <w:iCs/>
                <w:sz w:val="22"/>
                <w:szCs w:val="24"/>
                <w:lang w:eastAsia="en-US"/>
              </w:rPr>
              <w:t>43</w:t>
            </w:r>
            <w:r w:rsidR="004367F4" w:rsidRPr="00E14801">
              <w:rPr>
                <w:rStyle w:val="Rtulodeencabezadodemensaje"/>
                <w:rFonts w:asciiTheme="majorHAnsi" w:eastAsia="Batang" w:hAnsiTheme="majorHAnsi" w:cs="Arial"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4367F4" w:rsidRPr="00E14801" w:rsidRDefault="00E14801" w:rsidP="00E14801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sz w:val="22"/>
                <w:szCs w:val="24"/>
              </w:rPr>
              <w:t xml:space="preserve">Durante el año 2021 la entrega de créditos vinculada con la 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 xml:space="preserve">ejecución </w:t>
            </w:r>
            <w:r w:rsidRPr="00E14801">
              <w:rPr>
                <w:rFonts w:asciiTheme="majorHAnsi" w:hAnsiTheme="majorHAnsi" w:cs="Arial"/>
                <w:sz w:val="22"/>
                <w:szCs w:val="24"/>
              </w:rPr>
              <w:t>presupuestaria fue baja, debido a que la población beneficiaria solicita en su mayoría créditos de consumo, la cual no está en las líneas de crédito del Fondo Rotativo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 xml:space="preserve">. </w:t>
            </w:r>
          </w:p>
        </w:tc>
      </w:tr>
      <w:tr w:rsidR="004367F4" w:rsidRPr="00E14801" w:rsidTr="00DC5A48">
        <w:tc>
          <w:tcPr>
            <w:tcW w:w="2830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sz w:val="22"/>
                <w:szCs w:val="24"/>
              </w:rPr>
              <w:t xml:space="preserve">Rendimiento de Inversión de la Reserva Técnica </w:t>
            </w:r>
          </w:p>
        </w:tc>
        <w:tc>
          <w:tcPr>
            <w:tcW w:w="1418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E14801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b/>
                <w:sz w:val="22"/>
                <w:szCs w:val="24"/>
              </w:rPr>
              <w:t>92.27%</w:t>
            </w:r>
          </w:p>
        </w:tc>
        <w:tc>
          <w:tcPr>
            <w:tcW w:w="1701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E14801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sz w:val="22"/>
                <w:szCs w:val="24"/>
              </w:rPr>
              <w:t>7.73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4367F4" w:rsidRPr="00E14801" w:rsidRDefault="00E14801" w:rsidP="00510694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  <w:r>
              <w:rPr>
                <w:rFonts w:asciiTheme="majorHAnsi" w:hAnsiTheme="majorHAnsi" w:cs="Arial"/>
                <w:sz w:val="22"/>
                <w:szCs w:val="24"/>
              </w:rPr>
              <w:t xml:space="preserve">El 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>rendimiento de inversión de la Reserva</w:t>
            </w:r>
            <w:r>
              <w:rPr>
                <w:rFonts w:asciiTheme="majorHAnsi" w:hAnsiTheme="majorHAnsi" w:cs="Arial"/>
                <w:sz w:val="22"/>
                <w:szCs w:val="24"/>
              </w:rPr>
              <w:t xml:space="preserve"> 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 xml:space="preserve">Técnica se </w:t>
            </w:r>
            <w:r w:rsidRPr="00E14801">
              <w:rPr>
                <w:rFonts w:asciiTheme="majorHAnsi" w:hAnsiTheme="majorHAnsi" w:cs="Arial"/>
                <w:sz w:val="22"/>
                <w:szCs w:val="24"/>
              </w:rPr>
              <w:t>mantienen</w:t>
            </w:r>
            <w:r>
              <w:rPr>
                <w:rFonts w:asciiTheme="majorHAnsi" w:hAnsiTheme="majorHAnsi" w:cs="Arial"/>
                <w:sz w:val="22"/>
                <w:szCs w:val="24"/>
              </w:rPr>
              <w:t xml:space="preserve"> a una  tasa dentro de lo proyectado, el saldo corresponden a </w:t>
            </w:r>
            <w:r w:rsidR="00510694">
              <w:rPr>
                <w:rFonts w:asciiTheme="majorHAnsi" w:hAnsiTheme="majorHAnsi" w:cs="Arial"/>
                <w:sz w:val="22"/>
                <w:szCs w:val="24"/>
              </w:rPr>
              <w:t xml:space="preserve">intereses de noviembre, en el que finaliza 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>el plazo del depósito</w:t>
            </w:r>
            <w:r w:rsidR="00510694">
              <w:rPr>
                <w:rFonts w:asciiTheme="majorHAnsi" w:hAnsiTheme="majorHAnsi" w:cs="Arial"/>
                <w:sz w:val="22"/>
                <w:szCs w:val="24"/>
              </w:rPr>
              <w:t xml:space="preserve">. 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 xml:space="preserve">   </w:t>
            </w:r>
          </w:p>
        </w:tc>
      </w:tr>
      <w:tr w:rsidR="004367F4" w:rsidRPr="00E14801" w:rsidTr="00DC5A48">
        <w:tc>
          <w:tcPr>
            <w:tcW w:w="2830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sz w:val="22"/>
                <w:szCs w:val="24"/>
              </w:rPr>
              <w:t xml:space="preserve">Recursos para Actividades Institucionales. </w:t>
            </w:r>
          </w:p>
        </w:tc>
        <w:tc>
          <w:tcPr>
            <w:tcW w:w="1418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</w:p>
          <w:p w:rsidR="004367F4" w:rsidRPr="00E14801" w:rsidRDefault="004367F4" w:rsidP="00510694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b/>
                <w:sz w:val="22"/>
                <w:szCs w:val="24"/>
              </w:rPr>
              <w:t>9</w:t>
            </w:r>
            <w:r w:rsidR="00510694">
              <w:rPr>
                <w:rFonts w:asciiTheme="majorHAnsi" w:hAnsiTheme="majorHAnsi" w:cs="Arial"/>
                <w:b/>
                <w:sz w:val="22"/>
                <w:szCs w:val="24"/>
              </w:rPr>
              <w:t>9.49</w:t>
            </w:r>
            <w:r w:rsidRPr="00E14801">
              <w:rPr>
                <w:rFonts w:asciiTheme="majorHAnsi" w:hAnsiTheme="majorHAnsi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sz w:val="22"/>
                <w:szCs w:val="24"/>
              </w:rPr>
            </w:pPr>
          </w:p>
          <w:p w:rsidR="004367F4" w:rsidRPr="00E14801" w:rsidRDefault="00510694" w:rsidP="00DC5A48">
            <w:pPr>
              <w:tabs>
                <w:tab w:val="left" w:pos="9664"/>
              </w:tabs>
              <w:jc w:val="center"/>
              <w:rPr>
                <w:rFonts w:asciiTheme="majorHAnsi" w:hAnsiTheme="majorHAnsi" w:cs="Arial"/>
                <w:sz w:val="22"/>
                <w:szCs w:val="24"/>
              </w:rPr>
            </w:pPr>
            <w:r>
              <w:rPr>
                <w:rFonts w:asciiTheme="majorHAnsi" w:hAnsiTheme="majorHAnsi" w:cs="Arial"/>
                <w:sz w:val="22"/>
                <w:szCs w:val="24"/>
              </w:rPr>
              <w:t>3.51</w:t>
            </w:r>
            <w:r w:rsidR="004367F4" w:rsidRPr="00E14801">
              <w:rPr>
                <w:rFonts w:asciiTheme="majorHAnsi" w:hAnsiTheme="majorHAnsi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4367F4" w:rsidRPr="00E14801" w:rsidRDefault="004367F4" w:rsidP="00DC5A48">
            <w:pPr>
              <w:tabs>
                <w:tab w:val="left" w:pos="9664"/>
              </w:tabs>
              <w:jc w:val="both"/>
              <w:rPr>
                <w:rFonts w:asciiTheme="majorHAnsi" w:hAnsiTheme="majorHAnsi" w:cs="Arial"/>
                <w:sz w:val="22"/>
                <w:szCs w:val="24"/>
              </w:rPr>
            </w:pPr>
            <w:r w:rsidRPr="00E14801">
              <w:rPr>
                <w:rFonts w:asciiTheme="majorHAnsi" w:hAnsiTheme="majorHAnsi" w:cs="Arial"/>
                <w:sz w:val="22"/>
                <w:szCs w:val="24"/>
              </w:rPr>
              <w:t xml:space="preserve">Saldo no utilizado de los recursos programados para eventos institucionales.    </w:t>
            </w:r>
          </w:p>
        </w:tc>
      </w:tr>
    </w:tbl>
    <w:p w:rsidR="004367F4" w:rsidRPr="00E14801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ajorHAnsi" w:hAnsiTheme="majorHAnsi" w:cs="Arial"/>
          <w:szCs w:val="24"/>
          <w:lang w:val="es-SV"/>
        </w:rPr>
      </w:pPr>
    </w:p>
    <w:p w:rsidR="004367F4" w:rsidRPr="00E14801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ajorHAnsi" w:hAnsiTheme="majorHAnsi" w:cs="Arial"/>
          <w:szCs w:val="24"/>
          <w:lang w:val="es-SV"/>
        </w:rPr>
      </w:pPr>
    </w:p>
    <w:p w:rsidR="004367F4" w:rsidRPr="00E14801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ajorHAnsi" w:hAnsiTheme="majorHAnsi" w:cs="Arial"/>
          <w:szCs w:val="24"/>
          <w:lang w:val="es-SV"/>
        </w:rPr>
      </w:pPr>
    </w:p>
    <w:p w:rsidR="004367F4" w:rsidRDefault="004367F4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F51774" w:rsidRDefault="00F51774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DC1A1D" w:rsidRPr="00310E7A" w:rsidRDefault="00DC1A1D" w:rsidP="00DC1A1D">
      <w:pPr>
        <w:pStyle w:val="Encabezadodemensaje"/>
        <w:numPr>
          <w:ilvl w:val="0"/>
          <w:numId w:val="45"/>
        </w:numPr>
        <w:ind w:right="0"/>
        <w:rPr>
          <w:rStyle w:val="Rtulodeencabezadodemensaje"/>
          <w:rFonts w:ascii="Cambria" w:hAnsi="Cambria" w:cs="Arial"/>
          <w:b/>
          <w:i/>
          <w:sz w:val="28"/>
          <w:szCs w:val="24"/>
        </w:rPr>
      </w:pPr>
      <w:r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ESTADO DE EJECUCIÓN DE CONTRATOS U ÓRDENES DE SUMINISTRO DE LOS AÑOS 20</w:t>
      </w:r>
      <w:r w:rsidR="00FC1CE1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2</w:t>
      </w:r>
      <w:r w:rsidR="004E445D">
        <w:rPr>
          <w:rStyle w:val="Rtulodeencabezadodemensaje"/>
          <w:rFonts w:ascii="Cambria" w:hAnsi="Cambria" w:cs="Arial"/>
          <w:b/>
          <w:i/>
          <w:sz w:val="28"/>
          <w:szCs w:val="24"/>
        </w:rPr>
        <w:t>0</w:t>
      </w:r>
      <w:r w:rsidR="00D96CE1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 </w:t>
      </w:r>
      <w:r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Y 20</w:t>
      </w:r>
      <w:r w:rsidR="00D96CE1">
        <w:rPr>
          <w:rStyle w:val="Rtulodeencabezadodemensaje"/>
          <w:rFonts w:ascii="Cambria" w:hAnsi="Cambria" w:cs="Arial"/>
          <w:b/>
          <w:i/>
          <w:sz w:val="28"/>
          <w:szCs w:val="24"/>
        </w:rPr>
        <w:t>21</w:t>
      </w:r>
      <w:r w:rsidR="00264655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 AL 31 DE DICIEMBRE DE 202</w:t>
      </w:r>
      <w:r w:rsidR="00D96CE1">
        <w:rPr>
          <w:rStyle w:val="Rtulodeencabezadodemensaje"/>
          <w:rFonts w:ascii="Cambria" w:hAnsi="Cambria" w:cs="Arial"/>
          <w:b/>
          <w:i/>
          <w:sz w:val="28"/>
          <w:szCs w:val="24"/>
        </w:rPr>
        <w:t>1</w:t>
      </w:r>
      <w:r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.   </w:t>
      </w:r>
    </w:p>
    <w:p w:rsidR="00253F71" w:rsidRPr="00760AE8" w:rsidRDefault="00253F71" w:rsidP="00760AE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253F71" w:rsidRDefault="00D96CE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sz w:val="24"/>
          <w:szCs w:val="24"/>
          <w:lang w:val="es-SV"/>
        </w:rPr>
        <w:t xml:space="preserve">Al cierre del Ejercicio Financiero 2021, los Contratos u Órdenes de Suministro presentan los siguientes saldos: </w:t>
      </w:r>
    </w:p>
    <w:p w:rsidR="00C95251" w:rsidRDefault="00C9525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C95251" w:rsidRDefault="00C9525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C95251">
        <w:rPr>
          <w:noProof/>
          <w:lang w:val="es-SV" w:eastAsia="es-SV"/>
        </w:rPr>
        <w:drawing>
          <wp:inline distT="0" distB="0" distL="0" distR="0">
            <wp:extent cx="6120130" cy="7447085"/>
            <wp:effectExtent l="0" t="0" r="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559" cy="745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51" w:rsidRDefault="00C9525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C95251" w:rsidRDefault="00C9525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C95251" w:rsidRDefault="00C9525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253F71" w:rsidRDefault="00253F71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264655" w:rsidRDefault="004138E5" w:rsidP="00EE4683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4138E5">
        <w:rPr>
          <w:noProof/>
          <w:lang w:val="es-SV" w:eastAsia="es-SV"/>
        </w:rPr>
        <w:drawing>
          <wp:inline distT="0" distB="0" distL="0" distR="0">
            <wp:extent cx="6120765" cy="354418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4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F71" w:rsidRDefault="00253F71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557561" w:rsidRPr="00310E7A" w:rsidRDefault="00557561" w:rsidP="00DC1A1D">
      <w:pPr>
        <w:pStyle w:val="Encabezadodemensaje"/>
        <w:numPr>
          <w:ilvl w:val="0"/>
          <w:numId w:val="45"/>
        </w:numPr>
        <w:ind w:right="0"/>
        <w:rPr>
          <w:rStyle w:val="Rtulodeencabezadodemensaje"/>
          <w:rFonts w:ascii="Cambria" w:hAnsi="Cambria" w:cs="Arial"/>
          <w:b/>
          <w:i/>
          <w:sz w:val="28"/>
          <w:szCs w:val="24"/>
        </w:rPr>
      </w:pPr>
      <w:r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POBLACIÓN BENEFICIARIA ATENDIDA PERIODO DE ENERO A </w:t>
      </w:r>
      <w:r w:rsidR="00EE4683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DICIEMBRE </w:t>
      </w:r>
      <w:r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DEL AÑO 202</w:t>
      </w:r>
      <w:r w:rsidR="00C95251">
        <w:rPr>
          <w:rStyle w:val="Rtulodeencabezadodemensaje"/>
          <w:rFonts w:ascii="Cambria" w:hAnsi="Cambria" w:cs="Arial"/>
          <w:b/>
          <w:i/>
          <w:sz w:val="28"/>
          <w:szCs w:val="24"/>
        </w:rPr>
        <w:t>1</w:t>
      </w:r>
    </w:p>
    <w:p w:rsidR="00AC75E2" w:rsidRDefault="00896200" w:rsidP="00896200">
      <w:pPr>
        <w:pStyle w:val="Encabezadodemensaje"/>
        <w:ind w:left="360" w:right="0" w:firstLine="0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sz w:val="24"/>
          <w:szCs w:val="24"/>
          <w:lang w:val="es-SV"/>
        </w:rPr>
        <w:t xml:space="preserve">Las unidades de gestión </w:t>
      </w:r>
      <w:r w:rsidR="00C95251">
        <w:rPr>
          <w:rFonts w:ascii="Cambria" w:hAnsi="Cambria"/>
          <w:sz w:val="24"/>
          <w:szCs w:val="24"/>
          <w:lang w:val="es-SV"/>
        </w:rPr>
        <w:t>responsables de los programas de atención</w:t>
      </w:r>
      <w:r w:rsidR="00BE0EB1">
        <w:rPr>
          <w:rFonts w:ascii="Cambria" w:hAnsi="Cambria"/>
          <w:sz w:val="24"/>
          <w:szCs w:val="24"/>
          <w:lang w:val="es-SV"/>
        </w:rPr>
        <w:t xml:space="preserve"> informaron sobre la población beneficiaria </w:t>
      </w:r>
      <w:r>
        <w:rPr>
          <w:rFonts w:ascii="Cambria" w:hAnsi="Cambria"/>
          <w:sz w:val="24"/>
          <w:szCs w:val="24"/>
          <w:lang w:val="es-SV"/>
        </w:rPr>
        <w:t>atendida durante el año 202</w:t>
      </w:r>
      <w:r w:rsidR="00BE0EB1">
        <w:rPr>
          <w:rFonts w:ascii="Cambria" w:hAnsi="Cambria"/>
          <w:sz w:val="24"/>
          <w:szCs w:val="24"/>
          <w:lang w:val="es-SV"/>
        </w:rPr>
        <w:t>1</w:t>
      </w:r>
      <w:r>
        <w:rPr>
          <w:rFonts w:ascii="Cambria" w:hAnsi="Cambria"/>
          <w:sz w:val="24"/>
          <w:szCs w:val="24"/>
          <w:lang w:val="es-SV"/>
        </w:rPr>
        <w:t>, la cual se consolida a continuación:</w:t>
      </w:r>
    </w:p>
    <w:p w:rsidR="00BE0EB1" w:rsidRPr="000C58A1" w:rsidRDefault="00BE0EB1" w:rsidP="00BE0EB1">
      <w:pPr>
        <w:pStyle w:val="Encabezadodemensaje"/>
        <w:ind w:left="360" w:right="0" w:firstLine="0"/>
        <w:jc w:val="center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noProof/>
          <w:sz w:val="24"/>
          <w:szCs w:val="24"/>
          <w:lang w:val="es-SV" w:eastAsia="es-SV"/>
        </w:rPr>
        <w:drawing>
          <wp:inline distT="0" distB="0" distL="0" distR="0" wp14:anchorId="09A55D30">
            <wp:extent cx="5671038" cy="3763010"/>
            <wp:effectExtent l="0" t="0" r="635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96" cy="3783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5FE" w:rsidRPr="00664B48" w:rsidRDefault="004255FE" w:rsidP="00896200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4255FE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255FE" w:rsidRPr="00664B48" w:rsidRDefault="004255FE" w:rsidP="00896200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4255FE" w:rsidRDefault="004B346F" w:rsidP="004B346F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4B346F">
        <w:rPr>
          <w:noProof/>
          <w:lang w:val="es-SV" w:eastAsia="es-SV"/>
        </w:rPr>
        <w:drawing>
          <wp:inline distT="0" distB="0" distL="0" distR="0">
            <wp:extent cx="6145334" cy="4187464"/>
            <wp:effectExtent l="0" t="0" r="8255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260" cy="419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FE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255FE" w:rsidRDefault="004B346F" w:rsidP="004B346F">
      <w:pPr>
        <w:pStyle w:val="Prrafodelista"/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4B346F">
        <w:rPr>
          <w:noProof/>
          <w:lang w:val="es-SV" w:eastAsia="es-SV"/>
        </w:rPr>
        <w:drawing>
          <wp:inline distT="0" distB="0" distL="0" distR="0">
            <wp:extent cx="5838093" cy="396656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483" cy="396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06" w:rsidRPr="004B346F" w:rsidRDefault="009F6306" w:rsidP="004B346F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4B346F">
        <w:rPr>
          <w:rFonts w:ascii="Cambria" w:hAnsi="Cambria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140B" w:rsidRDefault="0044002E" w:rsidP="004B346F">
      <w:pPr>
        <w:pStyle w:val="Encabezadodemensaje"/>
        <w:ind w:left="0" w:right="0" w:firstLine="0"/>
        <w:rPr>
          <w:rFonts w:ascii="Cambria" w:hAnsi="Cambria"/>
          <w:sz w:val="22"/>
        </w:rPr>
      </w:pPr>
      <w:r w:rsidRPr="009F299A">
        <w:rPr>
          <w:rFonts w:ascii="Cambria" w:eastAsia="Calibri" w:hAnsi="Cambria"/>
          <w:spacing w:val="0"/>
          <w:sz w:val="24"/>
          <w:szCs w:val="24"/>
          <w:lang w:val="es-SV"/>
        </w:rPr>
        <w:t>Hasta aquí el informe, atentamente</w:t>
      </w:r>
      <w:r w:rsidRPr="009F299A">
        <w:rPr>
          <w:rStyle w:val="Rtulodeencabezadodemensaje"/>
          <w:rFonts w:ascii="Arial" w:hAnsi="Arial"/>
          <w:spacing w:val="-5"/>
          <w:sz w:val="24"/>
          <w:szCs w:val="24"/>
        </w:rPr>
        <w:t>,</w:t>
      </w:r>
    </w:p>
    <w:sectPr w:rsidR="0084140B" w:rsidSect="00FC1CE1">
      <w:footerReference w:type="even" r:id="rId16"/>
      <w:footerReference w:type="default" r:id="rId17"/>
      <w:pgSz w:w="12242" w:h="15842" w:code="1"/>
      <w:pgMar w:top="238" w:right="1327" w:bottom="284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E00" w:rsidRDefault="00921E00">
      <w:r>
        <w:separator/>
      </w:r>
    </w:p>
  </w:endnote>
  <w:endnote w:type="continuationSeparator" w:id="0">
    <w:p w:rsidR="00921E00" w:rsidRDefault="0092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73E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E00" w:rsidRDefault="00921E00">
      <w:r>
        <w:separator/>
      </w:r>
    </w:p>
  </w:footnote>
  <w:footnote w:type="continuationSeparator" w:id="0">
    <w:p w:rsidR="00921E00" w:rsidRDefault="0092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89C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85857"/>
    <w:multiLevelType w:val="hybridMultilevel"/>
    <w:tmpl w:val="80001F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54ABB"/>
    <w:multiLevelType w:val="hybridMultilevel"/>
    <w:tmpl w:val="47A4F2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B7270"/>
    <w:multiLevelType w:val="hybridMultilevel"/>
    <w:tmpl w:val="F42A9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07866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845BE"/>
    <w:multiLevelType w:val="hybridMultilevel"/>
    <w:tmpl w:val="9678F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25B8A"/>
    <w:multiLevelType w:val="hybridMultilevel"/>
    <w:tmpl w:val="C08C7036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D67C0"/>
    <w:multiLevelType w:val="hybridMultilevel"/>
    <w:tmpl w:val="2EE0A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856D8"/>
    <w:multiLevelType w:val="hybridMultilevel"/>
    <w:tmpl w:val="B1D6D4C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B4767B"/>
    <w:multiLevelType w:val="hybridMultilevel"/>
    <w:tmpl w:val="9376BC04"/>
    <w:lvl w:ilvl="0" w:tplc="7D185F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36A80"/>
    <w:multiLevelType w:val="hybridMultilevel"/>
    <w:tmpl w:val="D0D87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591C77"/>
    <w:multiLevelType w:val="hybridMultilevel"/>
    <w:tmpl w:val="3AB0F9A6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343A54"/>
    <w:multiLevelType w:val="hybridMultilevel"/>
    <w:tmpl w:val="C0A610E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6773C"/>
    <w:multiLevelType w:val="hybridMultilevel"/>
    <w:tmpl w:val="63181E4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16144"/>
    <w:multiLevelType w:val="hybridMultilevel"/>
    <w:tmpl w:val="497210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3A42"/>
    <w:multiLevelType w:val="hybridMultilevel"/>
    <w:tmpl w:val="61BE11F8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D64"/>
    <w:multiLevelType w:val="hybridMultilevel"/>
    <w:tmpl w:val="DB504E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51DCD"/>
    <w:multiLevelType w:val="hybridMultilevel"/>
    <w:tmpl w:val="E35A9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67A76"/>
    <w:multiLevelType w:val="hybridMultilevel"/>
    <w:tmpl w:val="A3127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D4648"/>
    <w:multiLevelType w:val="hybridMultilevel"/>
    <w:tmpl w:val="68BED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7B702E"/>
    <w:multiLevelType w:val="hybridMultilevel"/>
    <w:tmpl w:val="CF3E2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A55197"/>
    <w:multiLevelType w:val="hybridMultilevel"/>
    <w:tmpl w:val="ACDE4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14E09"/>
    <w:multiLevelType w:val="hybridMultilevel"/>
    <w:tmpl w:val="B67426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C0299"/>
    <w:multiLevelType w:val="hybridMultilevel"/>
    <w:tmpl w:val="961EABCA"/>
    <w:lvl w:ilvl="0" w:tplc="EC5897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02589"/>
    <w:multiLevelType w:val="hybridMultilevel"/>
    <w:tmpl w:val="8EB68552"/>
    <w:lvl w:ilvl="0" w:tplc="FD983F94">
      <w:start w:val="1"/>
      <w:numFmt w:val="lowerLetter"/>
      <w:lvlText w:val="%1)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>
    <w:nsid w:val="423121B6"/>
    <w:multiLevelType w:val="hybridMultilevel"/>
    <w:tmpl w:val="4A7E46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483EA8"/>
    <w:multiLevelType w:val="hybridMultilevel"/>
    <w:tmpl w:val="AA66A6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584432"/>
    <w:multiLevelType w:val="hybridMultilevel"/>
    <w:tmpl w:val="7266221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929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F0C431A"/>
    <w:multiLevelType w:val="hybridMultilevel"/>
    <w:tmpl w:val="6C407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3C7365"/>
    <w:multiLevelType w:val="hybridMultilevel"/>
    <w:tmpl w:val="5F56FC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9B3774"/>
    <w:multiLevelType w:val="hybridMultilevel"/>
    <w:tmpl w:val="D9DC50F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BE7701"/>
    <w:multiLevelType w:val="hybridMultilevel"/>
    <w:tmpl w:val="480675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4F1854"/>
    <w:multiLevelType w:val="hybridMultilevel"/>
    <w:tmpl w:val="F600EDDA"/>
    <w:lvl w:ilvl="0" w:tplc="4A2ABFFE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377CE"/>
    <w:multiLevelType w:val="hybridMultilevel"/>
    <w:tmpl w:val="EE2228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0615B9"/>
    <w:multiLevelType w:val="hybridMultilevel"/>
    <w:tmpl w:val="D59C67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E56D2"/>
    <w:multiLevelType w:val="hybridMultilevel"/>
    <w:tmpl w:val="5936E0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D0E05"/>
    <w:multiLevelType w:val="hybridMultilevel"/>
    <w:tmpl w:val="6D12E3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AA38BC"/>
    <w:multiLevelType w:val="hybridMultilevel"/>
    <w:tmpl w:val="B5EE0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9E6C66"/>
    <w:multiLevelType w:val="hybridMultilevel"/>
    <w:tmpl w:val="E9CCC19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63CB9"/>
    <w:multiLevelType w:val="hybridMultilevel"/>
    <w:tmpl w:val="76A4D51C"/>
    <w:lvl w:ilvl="0" w:tplc="34504A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E1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0F2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7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34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6C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67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EC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D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855D4A"/>
    <w:multiLevelType w:val="hybridMultilevel"/>
    <w:tmpl w:val="B5809E8A"/>
    <w:lvl w:ilvl="0" w:tplc="CB1EB9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A11574"/>
    <w:multiLevelType w:val="hybridMultilevel"/>
    <w:tmpl w:val="3EFA4FA6"/>
    <w:lvl w:ilvl="0" w:tplc="07B4C59A">
      <w:start w:val="257"/>
      <w:numFmt w:val="decimal"/>
      <w:lvlText w:val="%1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D5B6CB4"/>
    <w:multiLevelType w:val="hybridMultilevel"/>
    <w:tmpl w:val="4A32E8F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00806"/>
    <w:multiLevelType w:val="hybridMultilevel"/>
    <w:tmpl w:val="E90CF08C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16"/>
  </w:num>
  <w:num w:numId="7">
    <w:abstractNumId w:val="22"/>
  </w:num>
  <w:num w:numId="8">
    <w:abstractNumId w:val="25"/>
  </w:num>
  <w:num w:numId="9">
    <w:abstractNumId w:val="10"/>
  </w:num>
  <w:num w:numId="10">
    <w:abstractNumId w:val="38"/>
  </w:num>
  <w:num w:numId="11">
    <w:abstractNumId w:val="5"/>
  </w:num>
  <w:num w:numId="12">
    <w:abstractNumId w:val="24"/>
  </w:num>
  <w:num w:numId="13">
    <w:abstractNumId w:val="28"/>
  </w:num>
  <w:num w:numId="14">
    <w:abstractNumId w:val="29"/>
  </w:num>
  <w:num w:numId="15">
    <w:abstractNumId w:val="14"/>
  </w:num>
  <w:num w:numId="16">
    <w:abstractNumId w:val="18"/>
  </w:num>
  <w:num w:numId="17">
    <w:abstractNumId w:val="7"/>
  </w:num>
  <w:num w:numId="18">
    <w:abstractNumId w:val="26"/>
  </w:num>
  <w:num w:numId="19">
    <w:abstractNumId w:val="42"/>
  </w:num>
  <w:num w:numId="20">
    <w:abstractNumId w:val="31"/>
  </w:num>
  <w:num w:numId="21">
    <w:abstractNumId w:val="2"/>
  </w:num>
  <w:num w:numId="22">
    <w:abstractNumId w:val="32"/>
  </w:num>
  <w:num w:numId="23">
    <w:abstractNumId w:val="34"/>
  </w:num>
  <w:num w:numId="24">
    <w:abstractNumId w:val="15"/>
  </w:num>
  <w:num w:numId="25">
    <w:abstractNumId w:val="36"/>
  </w:num>
  <w:num w:numId="26">
    <w:abstractNumId w:val="44"/>
  </w:num>
  <w:num w:numId="27">
    <w:abstractNumId w:val="19"/>
  </w:num>
  <w:num w:numId="28">
    <w:abstractNumId w:val="30"/>
  </w:num>
  <w:num w:numId="29">
    <w:abstractNumId w:val="6"/>
  </w:num>
  <w:num w:numId="30">
    <w:abstractNumId w:val="27"/>
  </w:num>
  <w:num w:numId="31">
    <w:abstractNumId w:val="43"/>
  </w:num>
  <w:num w:numId="32">
    <w:abstractNumId w:val="11"/>
  </w:num>
  <w:num w:numId="33">
    <w:abstractNumId w:val="12"/>
  </w:num>
  <w:num w:numId="34">
    <w:abstractNumId w:val="0"/>
  </w:num>
  <w:num w:numId="35">
    <w:abstractNumId w:val="41"/>
  </w:num>
  <w:num w:numId="36">
    <w:abstractNumId w:val="9"/>
  </w:num>
  <w:num w:numId="37">
    <w:abstractNumId w:val="40"/>
  </w:num>
  <w:num w:numId="38">
    <w:abstractNumId w:val="4"/>
  </w:num>
  <w:num w:numId="39">
    <w:abstractNumId w:val="23"/>
  </w:num>
  <w:num w:numId="40">
    <w:abstractNumId w:val="35"/>
  </w:num>
  <w:num w:numId="41">
    <w:abstractNumId w:val="8"/>
  </w:num>
  <w:num w:numId="42">
    <w:abstractNumId w:val="39"/>
  </w:num>
  <w:num w:numId="43">
    <w:abstractNumId w:val="13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6f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E3"/>
    <w:rsid w:val="00000DC2"/>
    <w:rsid w:val="000010BB"/>
    <w:rsid w:val="00001556"/>
    <w:rsid w:val="00001D51"/>
    <w:rsid w:val="00003852"/>
    <w:rsid w:val="00003F69"/>
    <w:rsid w:val="00004115"/>
    <w:rsid w:val="00004471"/>
    <w:rsid w:val="0000459A"/>
    <w:rsid w:val="00004CF5"/>
    <w:rsid w:val="000069BF"/>
    <w:rsid w:val="00006AF8"/>
    <w:rsid w:val="00006C7B"/>
    <w:rsid w:val="00006DF5"/>
    <w:rsid w:val="00007C08"/>
    <w:rsid w:val="00007CD1"/>
    <w:rsid w:val="00007F78"/>
    <w:rsid w:val="00011944"/>
    <w:rsid w:val="000128C6"/>
    <w:rsid w:val="00012D92"/>
    <w:rsid w:val="00014AB0"/>
    <w:rsid w:val="00015C41"/>
    <w:rsid w:val="00016366"/>
    <w:rsid w:val="00022509"/>
    <w:rsid w:val="000225B6"/>
    <w:rsid w:val="0002459C"/>
    <w:rsid w:val="000247B4"/>
    <w:rsid w:val="000251C7"/>
    <w:rsid w:val="00025858"/>
    <w:rsid w:val="00025D84"/>
    <w:rsid w:val="0002630E"/>
    <w:rsid w:val="00026344"/>
    <w:rsid w:val="0002670B"/>
    <w:rsid w:val="00030D64"/>
    <w:rsid w:val="00030FE8"/>
    <w:rsid w:val="0003124A"/>
    <w:rsid w:val="0003132C"/>
    <w:rsid w:val="00031E7A"/>
    <w:rsid w:val="00032125"/>
    <w:rsid w:val="000322CB"/>
    <w:rsid w:val="000328F6"/>
    <w:rsid w:val="00032BD3"/>
    <w:rsid w:val="00032E66"/>
    <w:rsid w:val="0003352A"/>
    <w:rsid w:val="000336BD"/>
    <w:rsid w:val="0003398A"/>
    <w:rsid w:val="00034BE7"/>
    <w:rsid w:val="000351A0"/>
    <w:rsid w:val="00035CB2"/>
    <w:rsid w:val="0003640E"/>
    <w:rsid w:val="000371F7"/>
    <w:rsid w:val="000375B8"/>
    <w:rsid w:val="00040909"/>
    <w:rsid w:val="00042081"/>
    <w:rsid w:val="000423D8"/>
    <w:rsid w:val="000426ED"/>
    <w:rsid w:val="00042968"/>
    <w:rsid w:val="00043B32"/>
    <w:rsid w:val="000452B8"/>
    <w:rsid w:val="0004668A"/>
    <w:rsid w:val="00047BD8"/>
    <w:rsid w:val="000509E4"/>
    <w:rsid w:val="00051232"/>
    <w:rsid w:val="000513A6"/>
    <w:rsid w:val="00051751"/>
    <w:rsid w:val="000517C2"/>
    <w:rsid w:val="00051B1D"/>
    <w:rsid w:val="00051BE9"/>
    <w:rsid w:val="000523BD"/>
    <w:rsid w:val="00052A2A"/>
    <w:rsid w:val="00052BAB"/>
    <w:rsid w:val="00053639"/>
    <w:rsid w:val="00055A37"/>
    <w:rsid w:val="00055B8F"/>
    <w:rsid w:val="00060932"/>
    <w:rsid w:val="000609FF"/>
    <w:rsid w:val="00061072"/>
    <w:rsid w:val="00061525"/>
    <w:rsid w:val="000617CD"/>
    <w:rsid w:val="00061EE1"/>
    <w:rsid w:val="00062327"/>
    <w:rsid w:val="0006237B"/>
    <w:rsid w:val="00063763"/>
    <w:rsid w:val="00063987"/>
    <w:rsid w:val="000639C4"/>
    <w:rsid w:val="000647B6"/>
    <w:rsid w:val="00064AE5"/>
    <w:rsid w:val="00065ADE"/>
    <w:rsid w:val="00065CD1"/>
    <w:rsid w:val="00067C93"/>
    <w:rsid w:val="00067EE8"/>
    <w:rsid w:val="00070315"/>
    <w:rsid w:val="00070409"/>
    <w:rsid w:val="00070A31"/>
    <w:rsid w:val="00070BA5"/>
    <w:rsid w:val="00071237"/>
    <w:rsid w:val="0007193A"/>
    <w:rsid w:val="00071F9C"/>
    <w:rsid w:val="0007324C"/>
    <w:rsid w:val="0007332C"/>
    <w:rsid w:val="00075B9D"/>
    <w:rsid w:val="000764BB"/>
    <w:rsid w:val="000775F6"/>
    <w:rsid w:val="00080116"/>
    <w:rsid w:val="00080A02"/>
    <w:rsid w:val="00080DEF"/>
    <w:rsid w:val="00081EA8"/>
    <w:rsid w:val="00082D88"/>
    <w:rsid w:val="00083F9E"/>
    <w:rsid w:val="00084B62"/>
    <w:rsid w:val="00086949"/>
    <w:rsid w:val="00086F0F"/>
    <w:rsid w:val="000873D3"/>
    <w:rsid w:val="00087931"/>
    <w:rsid w:val="00090068"/>
    <w:rsid w:val="0009021B"/>
    <w:rsid w:val="000909C1"/>
    <w:rsid w:val="00090DB2"/>
    <w:rsid w:val="00091FBC"/>
    <w:rsid w:val="0009215B"/>
    <w:rsid w:val="0009260C"/>
    <w:rsid w:val="00092B4F"/>
    <w:rsid w:val="0009368B"/>
    <w:rsid w:val="00093690"/>
    <w:rsid w:val="0009501C"/>
    <w:rsid w:val="00096005"/>
    <w:rsid w:val="0009609A"/>
    <w:rsid w:val="0009619F"/>
    <w:rsid w:val="00096B97"/>
    <w:rsid w:val="00096EFB"/>
    <w:rsid w:val="00097761"/>
    <w:rsid w:val="000A03DC"/>
    <w:rsid w:val="000A1A18"/>
    <w:rsid w:val="000A2409"/>
    <w:rsid w:val="000A2BA0"/>
    <w:rsid w:val="000A3868"/>
    <w:rsid w:val="000A4A47"/>
    <w:rsid w:val="000A56A0"/>
    <w:rsid w:val="000A585A"/>
    <w:rsid w:val="000A5F4B"/>
    <w:rsid w:val="000A6E7E"/>
    <w:rsid w:val="000A7022"/>
    <w:rsid w:val="000A7CD4"/>
    <w:rsid w:val="000B0E5C"/>
    <w:rsid w:val="000B184D"/>
    <w:rsid w:val="000B284E"/>
    <w:rsid w:val="000B2DE7"/>
    <w:rsid w:val="000B372D"/>
    <w:rsid w:val="000B3B7E"/>
    <w:rsid w:val="000B4546"/>
    <w:rsid w:val="000B5700"/>
    <w:rsid w:val="000B62F7"/>
    <w:rsid w:val="000B7136"/>
    <w:rsid w:val="000B7450"/>
    <w:rsid w:val="000B79E5"/>
    <w:rsid w:val="000B7A04"/>
    <w:rsid w:val="000C0361"/>
    <w:rsid w:val="000C17CE"/>
    <w:rsid w:val="000C232E"/>
    <w:rsid w:val="000C24FD"/>
    <w:rsid w:val="000C2E5C"/>
    <w:rsid w:val="000C47F8"/>
    <w:rsid w:val="000C5695"/>
    <w:rsid w:val="000C58A1"/>
    <w:rsid w:val="000C5C69"/>
    <w:rsid w:val="000C5E51"/>
    <w:rsid w:val="000C69A3"/>
    <w:rsid w:val="000C6ABD"/>
    <w:rsid w:val="000C6D1A"/>
    <w:rsid w:val="000C7680"/>
    <w:rsid w:val="000C7DC5"/>
    <w:rsid w:val="000D0631"/>
    <w:rsid w:val="000D288C"/>
    <w:rsid w:val="000D2D60"/>
    <w:rsid w:val="000D3252"/>
    <w:rsid w:val="000D44B0"/>
    <w:rsid w:val="000D4E2A"/>
    <w:rsid w:val="000D581D"/>
    <w:rsid w:val="000D5A9E"/>
    <w:rsid w:val="000D6CD5"/>
    <w:rsid w:val="000D781A"/>
    <w:rsid w:val="000E0222"/>
    <w:rsid w:val="000E2BF8"/>
    <w:rsid w:val="000E323C"/>
    <w:rsid w:val="000E45ED"/>
    <w:rsid w:val="000E6682"/>
    <w:rsid w:val="000E69F3"/>
    <w:rsid w:val="000E7228"/>
    <w:rsid w:val="000E72FD"/>
    <w:rsid w:val="000E7D74"/>
    <w:rsid w:val="000F00CF"/>
    <w:rsid w:val="000F0485"/>
    <w:rsid w:val="000F1171"/>
    <w:rsid w:val="000F1323"/>
    <w:rsid w:val="000F158C"/>
    <w:rsid w:val="000F15EA"/>
    <w:rsid w:val="000F1799"/>
    <w:rsid w:val="000F1D57"/>
    <w:rsid w:val="000F26EC"/>
    <w:rsid w:val="000F3534"/>
    <w:rsid w:val="000F3650"/>
    <w:rsid w:val="000F4937"/>
    <w:rsid w:val="000F5186"/>
    <w:rsid w:val="000F58EC"/>
    <w:rsid w:val="000F5ABA"/>
    <w:rsid w:val="000F6544"/>
    <w:rsid w:val="000F6914"/>
    <w:rsid w:val="000F7108"/>
    <w:rsid w:val="000F71A0"/>
    <w:rsid w:val="000F7386"/>
    <w:rsid w:val="00101309"/>
    <w:rsid w:val="00101506"/>
    <w:rsid w:val="00102A5D"/>
    <w:rsid w:val="00103C88"/>
    <w:rsid w:val="00103DA4"/>
    <w:rsid w:val="001046F0"/>
    <w:rsid w:val="00105B5D"/>
    <w:rsid w:val="00106780"/>
    <w:rsid w:val="00107196"/>
    <w:rsid w:val="001074CA"/>
    <w:rsid w:val="001074F9"/>
    <w:rsid w:val="00107E1F"/>
    <w:rsid w:val="001106E1"/>
    <w:rsid w:val="001107A9"/>
    <w:rsid w:val="00111FBA"/>
    <w:rsid w:val="00112372"/>
    <w:rsid w:val="001123D9"/>
    <w:rsid w:val="00112FFE"/>
    <w:rsid w:val="00115641"/>
    <w:rsid w:val="00115BEB"/>
    <w:rsid w:val="00116111"/>
    <w:rsid w:val="00116B25"/>
    <w:rsid w:val="00117086"/>
    <w:rsid w:val="00121482"/>
    <w:rsid w:val="00122630"/>
    <w:rsid w:val="0012268C"/>
    <w:rsid w:val="00123C70"/>
    <w:rsid w:val="00124D28"/>
    <w:rsid w:val="00125182"/>
    <w:rsid w:val="001259BA"/>
    <w:rsid w:val="00125F78"/>
    <w:rsid w:val="0012685F"/>
    <w:rsid w:val="00126A90"/>
    <w:rsid w:val="00126E22"/>
    <w:rsid w:val="00126EF2"/>
    <w:rsid w:val="0012709F"/>
    <w:rsid w:val="00127509"/>
    <w:rsid w:val="001300A1"/>
    <w:rsid w:val="001303AE"/>
    <w:rsid w:val="00130635"/>
    <w:rsid w:val="00130A49"/>
    <w:rsid w:val="0013118A"/>
    <w:rsid w:val="001312D2"/>
    <w:rsid w:val="00132D69"/>
    <w:rsid w:val="001334F4"/>
    <w:rsid w:val="00133521"/>
    <w:rsid w:val="00133C43"/>
    <w:rsid w:val="00133D77"/>
    <w:rsid w:val="001347F9"/>
    <w:rsid w:val="00134A8C"/>
    <w:rsid w:val="00134B8C"/>
    <w:rsid w:val="001365DC"/>
    <w:rsid w:val="00137C4F"/>
    <w:rsid w:val="0014017B"/>
    <w:rsid w:val="00142710"/>
    <w:rsid w:val="00143F5F"/>
    <w:rsid w:val="00145F69"/>
    <w:rsid w:val="001466BE"/>
    <w:rsid w:val="00146D3F"/>
    <w:rsid w:val="001501F9"/>
    <w:rsid w:val="001512BC"/>
    <w:rsid w:val="001513A3"/>
    <w:rsid w:val="0015191F"/>
    <w:rsid w:val="00151E11"/>
    <w:rsid w:val="001522EB"/>
    <w:rsid w:val="00153876"/>
    <w:rsid w:val="00153E13"/>
    <w:rsid w:val="00154205"/>
    <w:rsid w:val="00154388"/>
    <w:rsid w:val="001555EE"/>
    <w:rsid w:val="001562D1"/>
    <w:rsid w:val="001568B6"/>
    <w:rsid w:val="00156BCE"/>
    <w:rsid w:val="00160107"/>
    <w:rsid w:val="001602A4"/>
    <w:rsid w:val="001611E7"/>
    <w:rsid w:val="0016232F"/>
    <w:rsid w:val="0016367C"/>
    <w:rsid w:val="001638B5"/>
    <w:rsid w:val="0016398B"/>
    <w:rsid w:val="00164932"/>
    <w:rsid w:val="001650BE"/>
    <w:rsid w:val="001658C5"/>
    <w:rsid w:val="001658DF"/>
    <w:rsid w:val="00166459"/>
    <w:rsid w:val="001664F0"/>
    <w:rsid w:val="00167160"/>
    <w:rsid w:val="00167A17"/>
    <w:rsid w:val="001702EF"/>
    <w:rsid w:val="00170BE4"/>
    <w:rsid w:val="00172FF4"/>
    <w:rsid w:val="00173CAC"/>
    <w:rsid w:val="00174EDF"/>
    <w:rsid w:val="0017514B"/>
    <w:rsid w:val="00175694"/>
    <w:rsid w:val="0017597B"/>
    <w:rsid w:val="00176C49"/>
    <w:rsid w:val="00176FFC"/>
    <w:rsid w:val="00180C16"/>
    <w:rsid w:val="00182CAD"/>
    <w:rsid w:val="001842B8"/>
    <w:rsid w:val="00184FD9"/>
    <w:rsid w:val="001850C4"/>
    <w:rsid w:val="001858F6"/>
    <w:rsid w:val="00185C4A"/>
    <w:rsid w:val="00186586"/>
    <w:rsid w:val="001868C5"/>
    <w:rsid w:val="001868F0"/>
    <w:rsid w:val="00186CBE"/>
    <w:rsid w:val="001870BC"/>
    <w:rsid w:val="00190542"/>
    <w:rsid w:val="001908E3"/>
    <w:rsid w:val="00192820"/>
    <w:rsid w:val="00192AC8"/>
    <w:rsid w:val="0019331D"/>
    <w:rsid w:val="001935DE"/>
    <w:rsid w:val="00193B5E"/>
    <w:rsid w:val="00194E9A"/>
    <w:rsid w:val="001956E5"/>
    <w:rsid w:val="001975BB"/>
    <w:rsid w:val="001A0333"/>
    <w:rsid w:val="001A2EDB"/>
    <w:rsid w:val="001A3425"/>
    <w:rsid w:val="001A3EBC"/>
    <w:rsid w:val="001A51E7"/>
    <w:rsid w:val="001A5C92"/>
    <w:rsid w:val="001A6439"/>
    <w:rsid w:val="001A6C60"/>
    <w:rsid w:val="001A6CA3"/>
    <w:rsid w:val="001B0EDD"/>
    <w:rsid w:val="001B1CC7"/>
    <w:rsid w:val="001B1D93"/>
    <w:rsid w:val="001B2001"/>
    <w:rsid w:val="001B25F0"/>
    <w:rsid w:val="001B2840"/>
    <w:rsid w:val="001B368C"/>
    <w:rsid w:val="001B4928"/>
    <w:rsid w:val="001B504B"/>
    <w:rsid w:val="001B5B93"/>
    <w:rsid w:val="001B66B8"/>
    <w:rsid w:val="001B6911"/>
    <w:rsid w:val="001B7462"/>
    <w:rsid w:val="001C01F2"/>
    <w:rsid w:val="001C0485"/>
    <w:rsid w:val="001C15BD"/>
    <w:rsid w:val="001C59AD"/>
    <w:rsid w:val="001C6467"/>
    <w:rsid w:val="001C670F"/>
    <w:rsid w:val="001C76CD"/>
    <w:rsid w:val="001C7CC3"/>
    <w:rsid w:val="001C7D06"/>
    <w:rsid w:val="001D002B"/>
    <w:rsid w:val="001D059A"/>
    <w:rsid w:val="001D0D79"/>
    <w:rsid w:val="001D1060"/>
    <w:rsid w:val="001D1C98"/>
    <w:rsid w:val="001D2D16"/>
    <w:rsid w:val="001D2DBD"/>
    <w:rsid w:val="001D33BF"/>
    <w:rsid w:val="001D50EB"/>
    <w:rsid w:val="001D686E"/>
    <w:rsid w:val="001D68E7"/>
    <w:rsid w:val="001D74F1"/>
    <w:rsid w:val="001D766A"/>
    <w:rsid w:val="001E1584"/>
    <w:rsid w:val="001E1CA5"/>
    <w:rsid w:val="001E2621"/>
    <w:rsid w:val="001E27DF"/>
    <w:rsid w:val="001E286A"/>
    <w:rsid w:val="001E32DE"/>
    <w:rsid w:val="001E4C42"/>
    <w:rsid w:val="001E50EA"/>
    <w:rsid w:val="001F062B"/>
    <w:rsid w:val="001F12AB"/>
    <w:rsid w:val="001F2BD8"/>
    <w:rsid w:val="001F3291"/>
    <w:rsid w:val="001F34D6"/>
    <w:rsid w:val="001F3BC0"/>
    <w:rsid w:val="001F4AB4"/>
    <w:rsid w:val="001F4C91"/>
    <w:rsid w:val="001F52B7"/>
    <w:rsid w:val="001F5AB1"/>
    <w:rsid w:val="001F61E2"/>
    <w:rsid w:val="001F67DA"/>
    <w:rsid w:val="001F6C01"/>
    <w:rsid w:val="001F6F52"/>
    <w:rsid w:val="00200344"/>
    <w:rsid w:val="00200DC2"/>
    <w:rsid w:val="002014B1"/>
    <w:rsid w:val="002018F5"/>
    <w:rsid w:val="0020196B"/>
    <w:rsid w:val="00201DED"/>
    <w:rsid w:val="0020231C"/>
    <w:rsid w:val="0020292E"/>
    <w:rsid w:val="00203450"/>
    <w:rsid w:val="00203C4F"/>
    <w:rsid w:val="00204D12"/>
    <w:rsid w:val="00205306"/>
    <w:rsid w:val="00205D05"/>
    <w:rsid w:val="0020732E"/>
    <w:rsid w:val="00207DE8"/>
    <w:rsid w:val="00210603"/>
    <w:rsid w:val="00211B9B"/>
    <w:rsid w:val="00211C83"/>
    <w:rsid w:val="00211CBF"/>
    <w:rsid w:val="00212C8F"/>
    <w:rsid w:val="00213D17"/>
    <w:rsid w:val="00215A7B"/>
    <w:rsid w:val="00216FBA"/>
    <w:rsid w:val="00217D19"/>
    <w:rsid w:val="00220921"/>
    <w:rsid w:val="00220D1C"/>
    <w:rsid w:val="002214D3"/>
    <w:rsid w:val="0022217C"/>
    <w:rsid w:val="002228D9"/>
    <w:rsid w:val="00222C0E"/>
    <w:rsid w:val="00226487"/>
    <w:rsid w:val="00226B7A"/>
    <w:rsid w:val="00226B89"/>
    <w:rsid w:val="00227DFD"/>
    <w:rsid w:val="002300D1"/>
    <w:rsid w:val="0023038C"/>
    <w:rsid w:val="00230483"/>
    <w:rsid w:val="0023156C"/>
    <w:rsid w:val="00231581"/>
    <w:rsid w:val="00232921"/>
    <w:rsid w:val="002331E0"/>
    <w:rsid w:val="00233449"/>
    <w:rsid w:val="00233B76"/>
    <w:rsid w:val="00234204"/>
    <w:rsid w:val="0023425B"/>
    <w:rsid w:val="00234BE9"/>
    <w:rsid w:val="00234C96"/>
    <w:rsid w:val="0023505B"/>
    <w:rsid w:val="00235495"/>
    <w:rsid w:val="002375C6"/>
    <w:rsid w:val="00237F2A"/>
    <w:rsid w:val="00241B0E"/>
    <w:rsid w:val="00242066"/>
    <w:rsid w:val="002421E0"/>
    <w:rsid w:val="0024275B"/>
    <w:rsid w:val="002428B2"/>
    <w:rsid w:val="00242BAC"/>
    <w:rsid w:val="00242E88"/>
    <w:rsid w:val="00242EE7"/>
    <w:rsid w:val="002430C8"/>
    <w:rsid w:val="0024393D"/>
    <w:rsid w:val="002454E9"/>
    <w:rsid w:val="002455DE"/>
    <w:rsid w:val="00251A6A"/>
    <w:rsid w:val="00252616"/>
    <w:rsid w:val="002528E5"/>
    <w:rsid w:val="00252FB9"/>
    <w:rsid w:val="0025335D"/>
    <w:rsid w:val="0025381B"/>
    <w:rsid w:val="00253C36"/>
    <w:rsid w:val="00253F71"/>
    <w:rsid w:val="00253FA6"/>
    <w:rsid w:val="00254429"/>
    <w:rsid w:val="00254865"/>
    <w:rsid w:val="00255630"/>
    <w:rsid w:val="002556B3"/>
    <w:rsid w:val="002557CB"/>
    <w:rsid w:val="0025581B"/>
    <w:rsid w:val="0025594B"/>
    <w:rsid w:val="00255E2C"/>
    <w:rsid w:val="00256156"/>
    <w:rsid w:val="002571F0"/>
    <w:rsid w:val="0025737B"/>
    <w:rsid w:val="00257686"/>
    <w:rsid w:val="00261306"/>
    <w:rsid w:val="00261962"/>
    <w:rsid w:val="00262D6A"/>
    <w:rsid w:val="002638D5"/>
    <w:rsid w:val="00264655"/>
    <w:rsid w:val="00265C78"/>
    <w:rsid w:val="00266127"/>
    <w:rsid w:val="00266403"/>
    <w:rsid w:val="00266F05"/>
    <w:rsid w:val="00267557"/>
    <w:rsid w:val="002715EA"/>
    <w:rsid w:val="00272328"/>
    <w:rsid w:val="002754CE"/>
    <w:rsid w:val="00275B37"/>
    <w:rsid w:val="0027681E"/>
    <w:rsid w:val="00276B7F"/>
    <w:rsid w:val="00276C64"/>
    <w:rsid w:val="00276E1F"/>
    <w:rsid w:val="002776C2"/>
    <w:rsid w:val="00281BB8"/>
    <w:rsid w:val="00283408"/>
    <w:rsid w:val="00283735"/>
    <w:rsid w:val="00283FD5"/>
    <w:rsid w:val="0028559D"/>
    <w:rsid w:val="00285B6C"/>
    <w:rsid w:val="0028777F"/>
    <w:rsid w:val="00290332"/>
    <w:rsid w:val="00290FEE"/>
    <w:rsid w:val="00292AD6"/>
    <w:rsid w:val="002931F6"/>
    <w:rsid w:val="00293ACB"/>
    <w:rsid w:val="0029454C"/>
    <w:rsid w:val="00295CFC"/>
    <w:rsid w:val="00296181"/>
    <w:rsid w:val="00296D44"/>
    <w:rsid w:val="00297BAC"/>
    <w:rsid w:val="00297DF8"/>
    <w:rsid w:val="002A1597"/>
    <w:rsid w:val="002A41BA"/>
    <w:rsid w:val="002A4B87"/>
    <w:rsid w:val="002A4FD4"/>
    <w:rsid w:val="002A5292"/>
    <w:rsid w:val="002A57CA"/>
    <w:rsid w:val="002A57E4"/>
    <w:rsid w:val="002A73CC"/>
    <w:rsid w:val="002A7D9D"/>
    <w:rsid w:val="002B02A7"/>
    <w:rsid w:val="002B097F"/>
    <w:rsid w:val="002B1AEA"/>
    <w:rsid w:val="002B232C"/>
    <w:rsid w:val="002B3FCB"/>
    <w:rsid w:val="002B54C1"/>
    <w:rsid w:val="002B5F14"/>
    <w:rsid w:val="002B5F1B"/>
    <w:rsid w:val="002B65EC"/>
    <w:rsid w:val="002B6C10"/>
    <w:rsid w:val="002B6FAF"/>
    <w:rsid w:val="002B7BC1"/>
    <w:rsid w:val="002C0957"/>
    <w:rsid w:val="002C0E1C"/>
    <w:rsid w:val="002C12C1"/>
    <w:rsid w:val="002C1448"/>
    <w:rsid w:val="002C1526"/>
    <w:rsid w:val="002C1B13"/>
    <w:rsid w:val="002C23B9"/>
    <w:rsid w:val="002C295C"/>
    <w:rsid w:val="002C2EDB"/>
    <w:rsid w:val="002C3D19"/>
    <w:rsid w:val="002C4422"/>
    <w:rsid w:val="002C447F"/>
    <w:rsid w:val="002C46F8"/>
    <w:rsid w:val="002C4808"/>
    <w:rsid w:val="002C5A05"/>
    <w:rsid w:val="002C6425"/>
    <w:rsid w:val="002C6BEE"/>
    <w:rsid w:val="002C7A74"/>
    <w:rsid w:val="002C7BCA"/>
    <w:rsid w:val="002D13C8"/>
    <w:rsid w:val="002D178C"/>
    <w:rsid w:val="002D1B11"/>
    <w:rsid w:val="002D31D4"/>
    <w:rsid w:val="002D3666"/>
    <w:rsid w:val="002D469E"/>
    <w:rsid w:val="002D46F4"/>
    <w:rsid w:val="002D4E45"/>
    <w:rsid w:val="002D54CD"/>
    <w:rsid w:val="002D6C3F"/>
    <w:rsid w:val="002D70BC"/>
    <w:rsid w:val="002D7933"/>
    <w:rsid w:val="002E02AE"/>
    <w:rsid w:val="002E0825"/>
    <w:rsid w:val="002E1B89"/>
    <w:rsid w:val="002E229B"/>
    <w:rsid w:val="002E28A2"/>
    <w:rsid w:val="002E2922"/>
    <w:rsid w:val="002E2B73"/>
    <w:rsid w:val="002E51C3"/>
    <w:rsid w:val="002E52F0"/>
    <w:rsid w:val="002E536F"/>
    <w:rsid w:val="002E55D7"/>
    <w:rsid w:val="002E5F4F"/>
    <w:rsid w:val="002E649F"/>
    <w:rsid w:val="002E7BF9"/>
    <w:rsid w:val="002E7F43"/>
    <w:rsid w:val="002F03FB"/>
    <w:rsid w:val="002F217B"/>
    <w:rsid w:val="002F2228"/>
    <w:rsid w:val="002F2743"/>
    <w:rsid w:val="002F5259"/>
    <w:rsid w:val="002F56FF"/>
    <w:rsid w:val="002F5ABA"/>
    <w:rsid w:val="002F7394"/>
    <w:rsid w:val="002F7407"/>
    <w:rsid w:val="002F78D6"/>
    <w:rsid w:val="002F7E26"/>
    <w:rsid w:val="00301C23"/>
    <w:rsid w:val="00303CFF"/>
    <w:rsid w:val="00304074"/>
    <w:rsid w:val="00304D5F"/>
    <w:rsid w:val="00304E15"/>
    <w:rsid w:val="003050A4"/>
    <w:rsid w:val="00305243"/>
    <w:rsid w:val="00305C9F"/>
    <w:rsid w:val="00305D6D"/>
    <w:rsid w:val="00310143"/>
    <w:rsid w:val="00310E7A"/>
    <w:rsid w:val="00310EA2"/>
    <w:rsid w:val="00312041"/>
    <w:rsid w:val="003123B8"/>
    <w:rsid w:val="0031338E"/>
    <w:rsid w:val="00315F1B"/>
    <w:rsid w:val="003166C8"/>
    <w:rsid w:val="003171E4"/>
    <w:rsid w:val="00320058"/>
    <w:rsid w:val="00321258"/>
    <w:rsid w:val="003212B0"/>
    <w:rsid w:val="003219BD"/>
    <w:rsid w:val="00321EE0"/>
    <w:rsid w:val="00324587"/>
    <w:rsid w:val="00325DD5"/>
    <w:rsid w:val="00326419"/>
    <w:rsid w:val="003266A9"/>
    <w:rsid w:val="003267E1"/>
    <w:rsid w:val="00326C7F"/>
    <w:rsid w:val="00326EFC"/>
    <w:rsid w:val="00327567"/>
    <w:rsid w:val="00327889"/>
    <w:rsid w:val="00327E92"/>
    <w:rsid w:val="0033005F"/>
    <w:rsid w:val="0033210F"/>
    <w:rsid w:val="0033388A"/>
    <w:rsid w:val="00335E59"/>
    <w:rsid w:val="00336CE3"/>
    <w:rsid w:val="003370EA"/>
    <w:rsid w:val="0033761E"/>
    <w:rsid w:val="00337DB6"/>
    <w:rsid w:val="00340B6E"/>
    <w:rsid w:val="00341587"/>
    <w:rsid w:val="00344575"/>
    <w:rsid w:val="00344C90"/>
    <w:rsid w:val="00344DCD"/>
    <w:rsid w:val="003461A4"/>
    <w:rsid w:val="00346BBD"/>
    <w:rsid w:val="003475AD"/>
    <w:rsid w:val="003476F6"/>
    <w:rsid w:val="0035004F"/>
    <w:rsid w:val="0035012D"/>
    <w:rsid w:val="003508C7"/>
    <w:rsid w:val="00350E68"/>
    <w:rsid w:val="0035101B"/>
    <w:rsid w:val="00351A39"/>
    <w:rsid w:val="00351F0A"/>
    <w:rsid w:val="0035208E"/>
    <w:rsid w:val="003528DE"/>
    <w:rsid w:val="00352A2E"/>
    <w:rsid w:val="00354B91"/>
    <w:rsid w:val="00354BA9"/>
    <w:rsid w:val="00355DA0"/>
    <w:rsid w:val="00356102"/>
    <w:rsid w:val="00357040"/>
    <w:rsid w:val="00362CAE"/>
    <w:rsid w:val="0036342D"/>
    <w:rsid w:val="00364029"/>
    <w:rsid w:val="003641A5"/>
    <w:rsid w:val="003643AB"/>
    <w:rsid w:val="003645A4"/>
    <w:rsid w:val="0036496D"/>
    <w:rsid w:val="00364A1B"/>
    <w:rsid w:val="0036549F"/>
    <w:rsid w:val="00365788"/>
    <w:rsid w:val="00366573"/>
    <w:rsid w:val="003668B9"/>
    <w:rsid w:val="00367119"/>
    <w:rsid w:val="0036738D"/>
    <w:rsid w:val="0036750A"/>
    <w:rsid w:val="0036781A"/>
    <w:rsid w:val="003678B7"/>
    <w:rsid w:val="00370163"/>
    <w:rsid w:val="00370441"/>
    <w:rsid w:val="003717FE"/>
    <w:rsid w:val="00372440"/>
    <w:rsid w:val="0037264A"/>
    <w:rsid w:val="00372F9D"/>
    <w:rsid w:val="00373BFB"/>
    <w:rsid w:val="00373F0D"/>
    <w:rsid w:val="0037475D"/>
    <w:rsid w:val="00374A19"/>
    <w:rsid w:val="0037528A"/>
    <w:rsid w:val="00375DA4"/>
    <w:rsid w:val="0037621C"/>
    <w:rsid w:val="00377402"/>
    <w:rsid w:val="00380342"/>
    <w:rsid w:val="00380472"/>
    <w:rsid w:val="00380EB0"/>
    <w:rsid w:val="0038176C"/>
    <w:rsid w:val="00381C2B"/>
    <w:rsid w:val="0038289A"/>
    <w:rsid w:val="00382C4F"/>
    <w:rsid w:val="00383BE0"/>
    <w:rsid w:val="00383FD7"/>
    <w:rsid w:val="003845E1"/>
    <w:rsid w:val="00384967"/>
    <w:rsid w:val="00384C1D"/>
    <w:rsid w:val="00385D6C"/>
    <w:rsid w:val="00385E60"/>
    <w:rsid w:val="003910FF"/>
    <w:rsid w:val="0039157A"/>
    <w:rsid w:val="00391AB8"/>
    <w:rsid w:val="00391B6B"/>
    <w:rsid w:val="00391CB1"/>
    <w:rsid w:val="0039335E"/>
    <w:rsid w:val="003939AB"/>
    <w:rsid w:val="00393BE5"/>
    <w:rsid w:val="00393C5C"/>
    <w:rsid w:val="0039470C"/>
    <w:rsid w:val="00395248"/>
    <w:rsid w:val="0039578E"/>
    <w:rsid w:val="00396030"/>
    <w:rsid w:val="00397F4D"/>
    <w:rsid w:val="003A0291"/>
    <w:rsid w:val="003A0591"/>
    <w:rsid w:val="003A1B9F"/>
    <w:rsid w:val="003A2142"/>
    <w:rsid w:val="003A2C26"/>
    <w:rsid w:val="003A4187"/>
    <w:rsid w:val="003A47E8"/>
    <w:rsid w:val="003A4E4F"/>
    <w:rsid w:val="003A5890"/>
    <w:rsid w:val="003A67C0"/>
    <w:rsid w:val="003A7059"/>
    <w:rsid w:val="003B0F76"/>
    <w:rsid w:val="003B13C8"/>
    <w:rsid w:val="003B1BB1"/>
    <w:rsid w:val="003B4238"/>
    <w:rsid w:val="003B428B"/>
    <w:rsid w:val="003B4671"/>
    <w:rsid w:val="003B4BAA"/>
    <w:rsid w:val="003B5317"/>
    <w:rsid w:val="003B75B3"/>
    <w:rsid w:val="003C08A1"/>
    <w:rsid w:val="003C12AD"/>
    <w:rsid w:val="003C1302"/>
    <w:rsid w:val="003C17FD"/>
    <w:rsid w:val="003C1B2F"/>
    <w:rsid w:val="003C1EB7"/>
    <w:rsid w:val="003C21AE"/>
    <w:rsid w:val="003C244F"/>
    <w:rsid w:val="003C2792"/>
    <w:rsid w:val="003C30CC"/>
    <w:rsid w:val="003C569A"/>
    <w:rsid w:val="003C5A17"/>
    <w:rsid w:val="003C5B29"/>
    <w:rsid w:val="003C7624"/>
    <w:rsid w:val="003C7ED1"/>
    <w:rsid w:val="003D0CBF"/>
    <w:rsid w:val="003D0D61"/>
    <w:rsid w:val="003D1710"/>
    <w:rsid w:val="003D1F65"/>
    <w:rsid w:val="003D24A2"/>
    <w:rsid w:val="003D323B"/>
    <w:rsid w:val="003D35E8"/>
    <w:rsid w:val="003D4376"/>
    <w:rsid w:val="003D444F"/>
    <w:rsid w:val="003D4484"/>
    <w:rsid w:val="003D4926"/>
    <w:rsid w:val="003D52DE"/>
    <w:rsid w:val="003D60D8"/>
    <w:rsid w:val="003D6847"/>
    <w:rsid w:val="003D7839"/>
    <w:rsid w:val="003D7F4F"/>
    <w:rsid w:val="003E0FE7"/>
    <w:rsid w:val="003E13D5"/>
    <w:rsid w:val="003E1B5C"/>
    <w:rsid w:val="003E4030"/>
    <w:rsid w:val="003E460F"/>
    <w:rsid w:val="003E5445"/>
    <w:rsid w:val="003E5F34"/>
    <w:rsid w:val="003E61A0"/>
    <w:rsid w:val="003E6555"/>
    <w:rsid w:val="003E734E"/>
    <w:rsid w:val="003E7671"/>
    <w:rsid w:val="003E7998"/>
    <w:rsid w:val="003F0449"/>
    <w:rsid w:val="003F34F9"/>
    <w:rsid w:val="003F3A9C"/>
    <w:rsid w:val="003F410C"/>
    <w:rsid w:val="003F4AD5"/>
    <w:rsid w:val="003F4E6A"/>
    <w:rsid w:val="003F776E"/>
    <w:rsid w:val="003F77AC"/>
    <w:rsid w:val="003F7ADD"/>
    <w:rsid w:val="003F7E9E"/>
    <w:rsid w:val="0040115D"/>
    <w:rsid w:val="004012C5"/>
    <w:rsid w:val="0040140D"/>
    <w:rsid w:val="00402B11"/>
    <w:rsid w:val="00402ECA"/>
    <w:rsid w:val="00403310"/>
    <w:rsid w:val="0040357A"/>
    <w:rsid w:val="004048F7"/>
    <w:rsid w:val="00405706"/>
    <w:rsid w:val="004058CF"/>
    <w:rsid w:val="00405951"/>
    <w:rsid w:val="00407C37"/>
    <w:rsid w:val="004107AF"/>
    <w:rsid w:val="004108A6"/>
    <w:rsid w:val="00410AF3"/>
    <w:rsid w:val="00411306"/>
    <w:rsid w:val="00412ACA"/>
    <w:rsid w:val="004138E5"/>
    <w:rsid w:val="00413A12"/>
    <w:rsid w:val="004140DA"/>
    <w:rsid w:val="00414ED3"/>
    <w:rsid w:val="00415452"/>
    <w:rsid w:val="00415C69"/>
    <w:rsid w:val="00416445"/>
    <w:rsid w:val="004164FB"/>
    <w:rsid w:val="004165A3"/>
    <w:rsid w:val="004169CC"/>
    <w:rsid w:val="004171BA"/>
    <w:rsid w:val="00417A67"/>
    <w:rsid w:val="00417C0B"/>
    <w:rsid w:val="00420F18"/>
    <w:rsid w:val="0042109D"/>
    <w:rsid w:val="00422260"/>
    <w:rsid w:val="00422BB6"/>
    <w:rsid w:val="00423F13"/>
    <w:rsid w:val="00425007"/>
    <w:rsid w:val="004255FE"/>
    <w:rsid w:val="0042597C"/>
    <w:rsid w:val="00426150"/>
    <w:rsid w:val="0042663B"/>
    <w:rsid w:val="00426D4A"/>
    <w:rsid w:val="00426EFE"/>
    <w:rsid w:val="00427FC0"/>
    <w:rsid w:val="0043144D"/>
    <w:rsid w:val="004327F7"/>
    <w:rsid w:val="004328D9"/>
    <w:rsid w:val="00433B2B"/>
    <w:rsid w:val="00433C62"/>
    <w:rsid w:val="00434E8C"/>
    <w:rsid w:val="0043546E"/>
    <w:rsid w:val="00435673"/>
    <w:rsid w:val="004358D8"/>
    <w:rsid w:val="00435955"/>
    <w:rsid w:val="004364A5"/>
    <w:rsid w:val="004367F4"/>
    <w:rsid w:val="0043784B"/>
    <w:rsid w:val="0044002E"/>
    <w:rsid w:val="00440BC7"/>
    <w:rsid w:val="00441516"/>
    <w:rsid w:val="00441D2E"/>
    <w:rsid w:val="004421C3"/>
    <w:rsid w:val="00442C07"/>
    <w:rsid w:val="0044309B"/>
    <w:rsid w:val="00443B79"/>
    <w:rsid w:val="004448C0"/>
    <w:rsid w:val="00445D9F"/>
    <w:rsid w:val="00445F96"/>
    <w:rsid w:val="0044627B"/>
    <w:rsid w:val="00446B76"/>
    <w:rsid w:val="0044793D"/>
    <w:rsid w:val="00447DDC"/>
    <w:rsid w:val="00450228"/>
    <w:rsid w:val="00450CCC"/>
    <w:rsid w:val="00450E2D"/>
    <w:rsid w:val="00450FFB"/>
    <w:rsid w:val="004518A7"/>
    <w:rsid w:val="004522AB"/>
    <w:rsid w:val="00453240"/>
    <w:rsid w:val="00453328"/>
    <w:rsid w:val="00453839"/>
    <w:rsid w:val="00454B0C"/>
    <w:rsid w:val="00454F3D"/>
    <w:rsid w:val="004551DF"/>
    <w:rsid w:val="004553ED"/>
    <w:rsid w:val="00455594"/>
    <w:rsid w:val="00456BAB"/>
    <w:rsid w:val="00456BF6"/>
    <w:rsid w:val="00457E68"/>
    <w:rsid w:val="00460E43"/>
    <w:rsid w:val="00461368"/>
    <w:rsid w:val="00462674"/>
    <w:rsid w:val="00464281"/>
    <w:rsid w:val="0046534E"/>
    <w:rsid w:val="00465436"/>
    <w:rsid w:val="004658F4"/>
    <w:rsid w:val="00465AC0"/>
    <w:rsid w:val="004661D3"/>
    <w:rsid w:val="00467B4A"/>
    <w:rsid w:val="00467EC2"/>
    <w:rsid w:val="00470546"/>
    <w:rsid w:val="00470E00"/>
    <w:rsid w:val="00470EF5"/>
    <w:rsid w:val="00471068"/>
    <w:rsid w:val="004715ED"/>
    <w:rsid w:val="004736D6"/>
    <w:rsid w:val="00473B6B"/>
    <w:rsid w:val="00474EA9"/>
    <w:rsid w:val="004758D9"/>
    <w:rsid w:val="0047684C"/>
    <w:rsid w:val="0047688F"/>
    <w:rsid w:val="00476980"/>
    <w:rsid w:val="004770B9"/>
    <w:rsid w:val="00481F66"/>
    <w:rsid w:val="004820C1"/>
    <w:rsid w:val="0048378B"/>
    <w:rsid w:val="0048429A"/>
    <w:rsid w:val="0048517D"/>
    <w:rsid w:val="00485501"/>
    <w:rsid w:val="00485922"/>
    <w:rsid w:val="00486972"/>
    <w:rsid w:val="00487EE6"/>
    <w:rsid w:val="004921EC"/>
    <w:rsid w:val="004924A4"/>
    <w:rsid w:val="004929E2"/>
    <w:rsid w:val="00493527"/>
    <w:rsid w:val="00493540"/>
    <w:rsid w:val="00493A2A"/>
    <w:rsid w:val="00493EC5"/>
    <w:rsid w:val="00493F7F"/>
    <w:rsid w:val="00494981"/>
    <w:rsid w:val="00495404"/>
    <w:rsid w:val="00495C53"/>
    <w:rsid w:val="00496E9A"/>
    <w:rsid w:val="004A0848"/>
    <w:rsid w:val="004A270C"/>
    <w:rsid w:val="004A3533"/>
    <w:rsid w:val="004A3CA4"/>
    <w:rsid w:val="004A43E7"/>
    <w:rsid w:val="004A45B3"/>
    <w:rsid w:val="004A4E0B"/>
    <w:rsid w:val="004A5589"/>
    <w:rsid w:val="004A569E"/>
    <w:rsid w:val="004A5A8B"/>
    <w:rsid w:val="004A5CC9"/>
    <w:rsid w:val="004A743F"/>
    <w:rsid w:val="004B0C1F"/>
    <w:rsid w:val="004B0E02"/>
    <w:rsid w:val="004B1434"/>
    <w:rsid w:val="004B1694"/>
    <w:rsid w:val="004B21EC"/>
    <w:rsid w:val="004B2358"/>
    <w:rsid w:val="004B249F"/>
    <w:rsid w:val="004B2989"/>
    <w:rsid w:val="004B2B4F"/>
    <w:rsid w:val="004B346F"/>
    <w:rsid w:val="004B3500"/>
    <w:rsid w:val="004B3C2C"/>
    <w:rsid w:val="004B3FFC"/>
    <w:rsid w:val="004B4A60"/>
    <w:rsid w:val="004B5141"/>
    <w:rsid w:val="004B6180"/>
    <w:rsid w:val="004B6D78"/>
    <w:rsid w:val="004B7E2C"/>
    <w:rsid w:val="004C0D56"/>
    <w:rsid w:val="004C1227"/>
    <w:rsid w:val="004C15B8"/>
    <w:rsid w:val="004C3919"/>
    <w:rsid w:val="004C4EF9"/>
    <w:rsid w:val="004C5D72"/>
    <w:rsid w:val="004C6CB0"/>
    <w:rsid w:val="004D0995"/>
    <w:rsid w:val="004D0B28"/>
    <w:rsid w:val="004D0D41"/>
    <w:rsid w:val="004D0D5D"/>
    <w:rsid w:val="004D11D0"/>
    <w:rsid w:val="004D1FC3"/>
    <w:rsid w:val="004D27C2"/>
    <w:rsid w:val="004D3ABB"/>
    <w:rsid w:val="004D3B01"/>
    <w:rsid w:val="004D48E3"/>
    <w:rsid w:val="004D5ACB"/>
    <w:rsid w:val="004D5FC2"/>
    <w:rsid w:val="004D7923"/>
    <w:rsid w:val="004E00C1"/>
    <w:rsid w:val="004E29DB"/>
    <w:rsid w:val="004E3172"/>
    <w:rsid w:val="004E32DA"/>
    <w:rsid w:val="004E3978"/>
    <w:rsid w:val="004E39A5"/>
    <w:rsid w:val="004E3B3C"/>
    <w:rsid w:val="004E445D"/>
    <w:rsid w:val="004E4686"/>
    <w:rsid w:val="004E4935"/>
    <w:rsid w:val="004E4AFF"/>
    <w:rsid w:val="004E6511"/>
    <w:rsid w:val="004F2215"/>
    <w:rsid w:val="004F35F6"/>
    <w:rsid w:val="004F39A8"/>
    <w:rsid w:val="004F39C1"/>
    <w:rsid w:val="004F3BAD"/>
    <w:rsid w:val="004F4166"/>
    <w:rsid w:val="004F50BF"/>
    <w:rsid w:val="004F50F2"/>
    <w:rsid w:val="004F5A0B"/>
    <w:rsid w:val="004F5EEC"/>
    <w:rsid w:val="004F7234"/>
    <w:rsid w:val="004F772D"/>
    <w:rsid w:val="00500059"/>
    <w:rsid w:val="00500093"/>
    <w:rsid w:val="005001F4"/>
    <w:rsid w:val="00500F9D"/>
    <w:rsid w:val="00501CE7"/>
    <w:rsid w:val="005029EF"/>
    <w:rsid w:val="00502BFD"/>
    <w:rsid w:val="00502F31"/>
    <w:rsid w:val="00503573"/>
    <w:rsid w:val="00503ED6"/>
    <w:rsid w:val="00504524"/>
    <w:rsid w:val="00504DB3"/>
    <w:rsid w:val="00505D2B"/>
    <w:rsid w:val="00505DDF"/>
    <w:rsid w:val="0050653B"/>
    <w:rsid w:val="00506D38"/>
    <w:rsid w:val="005072A8"/>
    <w:rsid w:val="00510694"/>
    <w:rsid w:val="00510946"/>
    <w:rsid w:val="00511278"/>
    <w:rsid w:val="005118C1"/>
    <w:rsid w:val="00511C33"/>
    <w:rsid w:val="00512423"/>
    <w:rsid w:val="00512805"/>
    <w:rsid w:val="00512A0A"/>
    <w:rsid w:val="00513CFC"/>
    <w:rsid w:val="00513E54"/>
    <w:rsid w:val="0051494A"/>
    <w:rsid w:val="005151E3"/>
    <w:rsid w:val="00515928"/>
    <w:rsid w:val="00516263"/>
    <w:rsid w:val="00516B8D"/>
    <w:rsid w:val="00516DDC"/>
    <w:rsid w:val="00517064"/>
    <w:rsid w:val="00517463"/>
    <w:rsid w:val="00520168"/>
    <w:rsid w:val="005206D3"/>
    <w:rsid w:val="00520CA6"/>
    <w:rsid w:val="0052191D"/>
    <w:rsid w:val="00521C67"/>
    <w:rsid w:val="00522C75"/>
    <w:rsid w:val="00522D83"/>
    <w:rsid w:val="00524223"/>
    <w:rsid w:val="0052473B"/>
    <w:rsid w:val="00525BEC"/>
    <w:rsid w:val="005260CD"/>
    <w:rsid w:val="005261CE"/>
    <w:rsid w:val="00527179"/>
    <w:rsid w:val="005276E4"/>
    <w:rsid w:val="005277EF"/>
    <w:rsid w:val="005279A1"/>
    <w:rsid w:val="00527F0E"/>
    <w:rsid w:val="005303D7"/>
    <w:rsid w:val="005309A0"/>
    <w:rsid w:val="00531631"/>
    <w:rsid w:val="0053239D"/>
    <w:rsid w:val="0053330D"/>
    <w:rsid w:val="005338B0"/>
    <w:rsid w:val="00533E29"/>
    <w:rsid w:val="0053448B"/>
    <w:rsid w:val="00534758"/>
    <w:rsid w:val="005352C5"/>
    <w:rsid w:val="00535928"/>
    <w:rsid w:val="00535EF9"/>
    <w:rsid w:val="00536456"/>
    <w:rsid w:val="00536583"/>
    <w:rsid w:val="00536BBA"/>
    <w:rsid w:val="00536FBB"/>
    <w:rsid w:val="00540C66"/>
    <w:rsid w:val="00541A19"/>
    <w:rsid w:val="005423BB"/>
    <w:rsid w:val="005436AE"/>
    <w:rsid w:val="00543A56"/>
    <w:rsid w:val="00544926"/>
    <w:rsid w:val="00545FBE"/>
    <w:rsid w:val="00546755"/>
    <w:rsid w:val="00546D07"/>
    <w:rsid w:val="00547298"/>
    <w:rsid w:val="00547925"/>
    <w:rsid w:val="00547F81"/>
    <w:rsid w:val="00550029"/>
    <w:rsid w:val="005502C8"/>
    <w:rsid w:val="005505A5"/>
    <w:rsid w:val="00550A10"/>
    <w:rsid w:val="00550B67"/>
    <w:rsid w:val="00551125"/>
    <w:rsid w:val="005512E1"/>
    <w:rsid w:val="005513A3"/>
    <w:rsid w:val="005515C9"/>
    <w:rsid w:val="00551E94"/>
    <w:rsid w:val="005521D5"/>
    <w:rsid w:val="00552889"/>
    <w:rsid w:val="005531CD"/>
    <w:rsid w:val="0055393C"/>
    <w:rsid w:val="00553FE0"/>
    <w:rsid w:val="00554432"/>
    <w:rsid w:val="00554605"/>
    <w:rsid w:val="005556A6"/>
    <w:rsid w:val="0055575A"/>
    <w:rsid w:val="00555786"/>
    <w:rsid w:val="00555954"/>
    <w:rsid w:val="005567A0"/>
    <w:rsid w:val="00557561"/>
    <w:rsid w:val="00562709"/>
    <w:rsid w:val="00563B86"/>
    <w:rsid w:val="005644A4"/>
    <w:rsid w:val="0056468B"/>
    <w:rsid w:val="005659B5"/>
    <w:rsid w:val="00565EC0"/>
    <w:rsid w:val="0056660F"/>
    <w:rsid w:val="00566699"/>
    <w:rsid w:val="00566743"/>
    <w:rsid w:val="00566984"/>
    <w:rsid w:val="00566CA5"/>
    <w:rsid w:val="00566D8B"/>
    <w:rsid w:val="00567625"/>
    <w:rsid w:val="00567EBE"/>
    <w:rsid w:val="005700DE"/>
    <w:rsid w:val="00570451"/>
    <w:rsid w:val="00570D3A"/>
    <w:rsid w:val="005710FB"/>
    <w:rsid w:val="005716F0"/>
    <w:rsid w:val="00571BB0"/>
    <w:rsid w:val="00572F68"/>
    <w:rsid w:val="00573900"/>
    <w:rsid w:val="00575224"/>
    <w:rsid w:val="00575272"/>
    <w:rsid w:val="00575769"/>
    <w:rsid w:val="00576696"/>
    <w:rsid w:val="00577BE3"/>
    <w:rsid w:val="00580AD4"/>
    <w:rsid w:val="00580FB4"/>
    <w:rsid w:val="005817C4"/>
    <w:rsid w:val="00581F7E"/>
    <w:rsid w:val="00582427"/>
    <w:rsid w:val="00583667"/>
    <w:rsid w:val="0058402D"/>
    <w:rsid w:val="00584144"/>
    <w:rsid w:val="00586165"/>
    <w:rsid w:val="0058616B"/>
    <w:rsid w:val="00586E22"/>
    <w:rsid w:val="005871BF"/>
    <w:rsid w:val="005871CA"/>
    <w:rsid w:val="00587335"/>
    <w:rsid w:val="00587427"/>
    <w:rsid w:val="0058757D"/>
    <w:rsid w:val="00590625"/>
    <w:rsid w:val="0059073D"/>
    <w:rsid w:val="00591E67"/>
    <w:rsid w:val="00594457"/>
    <w:rsid w:val="005945FC"/>
    <w:rsid w:val="00594C35"/>
    <w:rsid w:val="00595624"/>
    <w:rsid w:val="00595697"/>
    <w:rsid w:val="005956C9"/>
    <w:rsid w:val="005A0531"/>
    <w:rsid w:val="005A09F5"/>
    <w:rsid w:val="005A13E3"/>
    <w:rsid w:val="005A2962"/>
    <w:rsid w:val="005A3AC3"/>
    <w:rsid w:val="005A3C1C"/>
    <w:rsid w:val="005A45A7"/>
    <w:rsid w:val="005A6850"/>
    <w:rsid w:val="005A71A6"/>
    <w:rsid w:val="005B1105"/>
    <w:rsid w:val="005B3427"/>
    <w:rsid w:val="005B371A"/>
    <w:rsid w:val="005B37A7"/>
    <w:rsid w:val="005B38DC"/>
    <w:rsid w:val="005B5704"/>
    <w:rsid w:val="005B5BA2"/>
    <w:rsid w:val="005B6946"/>
    <w:rsid w:val="005B71D2"/>
    <w:rsid w:val="005B74EC"/>
    <w:rsid w:val="005B7875"/>
    <w:rsid w:val="005B7B8B"/>
    <w:rsid w:val="005C0B55"/>
    <w:rsid w:val="005C167B"/>
    <w:rsid w:val="005C21E1"/>
    <w:rsid w:val="005C2AB4"/>
    <w:rsid w:val="005C312F"/>
    <w:rsid w:val="005C34CA"/>
    <w:rsid w:val="005C424E"/>
    <w:rsid w:val="005C4269"/>
    <w:rsid w:val="005C4DE8"/>
    <w:rsid w:val="005C5579"/>
    <w:rsid w:val="005C627B"/>
    <w:rsid w:val="005C7882"/>
    <w:rsid w:val="005D084E"/>
    <w:rsid w:val="005D1816"/>
    <w:rsid w:val="005D2F95"/>
    <w:rsid w:val="005D33D4"/>
    <w:rsid w:val="005D3B4D"/>
    <w:rsid w:val="005D4073"/>
    <w:rsid w:val="005D5BE7"/>
    <w:rsid w:val="005D6490"/>
    <w:rsid w:val="005D6853"/>
    <w:rsid w:val="005D6D8D"/>
    <w:rsid w:val="005D6F34"/>
    <w:rsid w:val="005D771F"/>
    <w:rsid w:val="005E06F3"/>
    <w:rsid w:val="005E0F00"/>
    <w:rsid w:val="005E19F3"/>
    <w:rsid w:val="005E1C56"/>
    <w:rsid w:val="005E299D"/>
    <w:rsid w:val="005E30E6"/>
    <w:rsid w:val="005E3EFA"/>
    <w:rsid w:val="005E43DC"/>
    <w:rsid w:val="005E44E4"/>
    <w:rsid w:val="005E57BE"/>
    <w:rsid w:val="005E659E"/>
    <w:rsid w:val="005E66AA"/>
    <w:rsid w:val="005E7644"/>
    <w:rsid w:val="005F0B12"/>
    <w:rsid w:val="005F10DA"/>
    <w:rsid w:val="005F16FD"/>
    <w:rsid w:val="005F217F"/>
    <w:rsid w:val="005F258E"/>
    <w:rsid w:val="005F2A76"/>
    <w:rsid w:val="005F2BC0"/>
    <w:rsid w:val="005F338D"/>
    <w:rsid w:val="005F46D2"/>
    <w:rsid w:val="005F55FD"/>
    <w:rsid w:val="005F68DE"/>
    <w:rsid w:val="005F6A49"/>
    <w:rsid w:val="005F6FE2"/>
    <w:rsid w:val="00600A63"/>
    <w:rsid w:val="00600A81"/>
    <w:rsid w:val="00600BCF"/>
    <w:rsid w:val="006015CA"/>
    <w:rsid w:val="00601700"/>
    <w:rsid w:val="00601920"/>
    <w:rsid w:val="00601CB6"/>
    <w:rsid w:val="00602484"/>
    <w:rsid w:val="00602B4A"/>
    <w:rsid w:val="00603495"/>
    <w:rsid w:val="0060591C"/>
    <w:rsid w:val="00606E5D"/>
    <w:rsid w:val="006074B7"/>
    <w:rsid w:val="0061188B"/>
    <w:rsid w:val="00612D58"/>
    <w:rsid w:val="006131DF"/>
    <w:rsid w:val="006138B6"/>
    <w:rsid w:val="00614194"/>
    <w:rsid w:val="00615027"/>
    <w:rsid w:val="00615255"/>
    <w:rsid w:val="0061640A"/>
    <w:rsid w:val="00616AB7"/>
    <w:rsid w:val="00616DA1"/>
    <w:rsid w:val="006171E1"/>
    <w:rsid w:val="0061735E"/>
    <w:rsid w:val="006174E7"/>
    <w:rsid w:val="00617662"/>
    <w:rsid w:val="0062049A"/>
    <w:rsid w:val="00620B19"/>
    <w:rsid w:val="00621179"/>
    <w:rsid w:val="006214FE"/>
    <w:rsid w:val="00621C13"/>
    <w:rsid w:val="00621E49"/>
    <w:rsid w:val="00622312"/>
    <w:rsid w:val="00623282"/>
    <w:rsid w:val="0062350B"/>
    <w:rsid w:val="00623C27"/>
    <w:rsid w:val="0062590B"/>
    <w:rsid w:val="00625EAF"/>
    <w:rsid w:val="0062709A"/>
    <w:rsid w:val="00627A88"/>
    <w:rsid w:val="0063071C"/>
    <w:rsid w:val="0063080E"/>
    <w:rsid w:val="00630E59"/>
    <w:rsid w:val="00632491"/>
    <w:rsid w:val="006329BD"/>
    <w:rsid w:val="00632B89"/>
    <w:rsid w:val="0063354A"/>
    <w:rsid w:val="00633A16"/>
    <w:rsid w:val="006364E1"/>
    <w:rsid w:val="0064035C"/>
    <w:rsid w:val="0064051F"/>
    <w:rsid w:val="00640E31"/>
    <w:rsid w:val="006412B9"/>
    <w:rsid w:val="00641B35"/>
    <w:rsid w:val="00642086"/>
    <w:rsid w:val="006425E2"/>
    <w:rsid w:val="00644DD3"/>
    <w:rsid w:val="00644FE3"/>
    <w:rsid w:val="0064568A"/>
    <w:rsid w:val="0064623A"/>
    <w:rsid w:val="0064645F"/>
    <w:rsid w:val="0065068A"/>
    <w:rsid w:val="00650899"/>
    <w:rsid w:val="00650D8D"/>
    <w:rsid w:val="006513EB"/>
    <w:rsid w:val="006518AD"/>
    <w:rsid w:val="00651B23"/>
    <w:rsid w:val="00651D03"/>
    <w:rsid w:val="00652F5C"/>
    <w:rsid w:val="006530E5"/>
    <w:rsid w:val="0065317A"/>
    <w:rsid w:val="00653527"/>
    <w:rsid w:val="00653719"/>
    <w:rsid w:val="0065399F"/>
    <w:rsid w:val="00653B65"/>
    <w:rsid w:val="00653E30"/>
    <w:rsid w:val="00655060"/>
    <w:rsid w:val="00656162"/>
    <w:rsid w:val="006568AB"/>
    <w:rsid w:val="006571E4"/>
    <w:rsid w:val="006575A6"/>
    <w:rsid w:val="00657BA5"/>
    <w:rsid w:val="00661491"/>
    <w:rsid w:val="0066171D"/>
    <w:rsid w:val="00661888"/>
    <w:rsid w:val="00662DD3"/>
    <w:rsid w:val="00663018"/>
    <w:rsid w:val="00664B48"/>
    <w:rsid w:val="00664FC0"/>
    <w:rsid w:val="00665306"/>
    <w:rsid w:val="006662E8"/>
    <w:rsid w:val="006663B5"/>
    <w:rsid w:val="006674C3"/>
    <w:rsid w:val="00670449"/>
    <w:rsid w:val="00670680"/>
    <w:rsid w:val="006711F2"/>
    <w:rsid w:val="006713FA"/>
    <w:rsid w:val="0067187B"/>
    <w:rsid w:val="006719FA"/>
    <w:rsid w:val="00671D2F"/>
    <w:rsid w:val="006729EF"/>
    <w:rsid w:val="00675A48"/>
    <w:rsid w:val="00675FEB"/>
    <w:rsid w:val="0067710F"/>
    <w:rsid w:val="00680161"/>
    <w:rsid w:val="00680285"/>
    <w:rsid w:val="00680DC3"/>
    <w:rsid w:val="00681376"/>
    <w:rsid w:val="006820FC"/>
    <w:rsid w:val="00682815"/>
    <w:rsid w:val="006837B6"/>
    <w:rsid w:val="006837DA"/>
    <w:rsid w:val="00685CDF"/>
    <w:rsid w:val="00685D15"/>
    <w:rsid w:val="0068769D"/>
    <w:rsid w:val="006905AB"/>
    <w:rsid w:val="00690B5E"/>
    <w:rsid w:val="0069167B"/>
    <w:rsid w:val="00691B38"/>
    <w:rsid w:val="00691D41"/>
    <w:rsid w:val="00692046"/>
    <w:rsid w:val="006924B5"/>
    <w:rsid w:val="0069332C"/>
    <w:rsid w:val="00693BAF"/>
    <w:rsid w:val="00696BCE"/>
    <w:rsid w:val="006978B5"/>
    <w:rsid w:val="006A00F5"/>
    <w:rsid w:val="006A06D7"/>
    <w:rsid w:val="006A0A5F"/>
    <w:rsid w:val="006A1954"/>
    <w:rsid w:val="006A1E57"/>
    <w:rsid w:val="006A24AA"/>
    <w:rsid w:val="006A46A8"/>
    <w:rsid w:val="006A4A38"/>
    <w:rsid w:val="006A4DD1"/>
    <w:rsid w:val="006A4F6B"/>
    <w:rsid w:val="006A5527"/>
    <w:rsid w:val="006A5AB6"/>
    <w:rsid w:val="006A6E21"/>
    <w:rsid w:val="006A74AD"/>
    <w:rsid w:val="006A78BE"/>
    <w:rsid w:val="006A7F73"/>
    <w:rsid w:val="006B0119"/>
    <w:rsid w:val="006B022A"/>
    <w:rsid w:val="006B0DE5"/>
    <w:rsid w:val="006B176A"/>
    <w:rsid w:val="006B1EF6"/>
    <w:rsid w:val="006B2E7C"/>
    <w:rsid w:val="006B3BF3"/>
    <w:rsid w:val="006B3EE8"/>
    <w:rsid w:val="006B600D"/>
    <w:rsid w:val="006B6557"/>
    <w:rsid w:val="006B67AC"/>
    <w:rsid w:val="006B73B9"/>
    <w:rsid w:val="006B7875"/>
    <w:rsid w:val="006C0B40"/>
    <w:rsid w:val="006C0B65"/>
    <w:rsid w:val="006C0BCD"/>
    <w:rsid w:val="006C1670"/>
    <w:rsid w:val="006C22F5"/>
    <w:rsid w:val="006C2494"/>
    <w:rsid w:val="006C30F6"/>
    <w:rsid w:val="006C36B7"/>
    <w:rsid w:val="006C391E"/>
    <w:rsid w:val="006C42EB"/>
    <w:rsid w:val="006C459A"/>
    <w:rsid w:val="006C45F7"/>
    <w:rsid w:val="006C4B2F"/>
    <w:rsid w:val="006C610E"/>
    <w:rsid w:val="006C62D6"/>
    <w:rsid w:val="006C6354"/>
    <w:rsid w:val="006C63D2"/>
    <w:rsid w:val="006C70B1"/>
    <w:rsid w:val="006D026C"/>
    <w:rsid w:val="006D1D88"/>
    <w:rsid w:val="006D2747"/>
    <w:rsid w:val="006D2FA7"/>
    <w:rsid w:val="006D423A"/>
    <w:rsid w:val="006D4AF4"/>
    <w:rsid w:val="006D60D5"/>
    <w:rsid w:val="006D66FC"/>
    <w:rsid w:val="006D6A58"/>
    <w:rsid w:val="006D6E1C"/>
    <w:rsid w:val="006D7C48"/>
    <w:rsid w:val="006D7DE4"/>
    <w:rsid w:val="006E1184"/>
    <w:rsid w:val="006E2AC3"/>
    <w:rsid w:val="006E2C9B"/>
    <w:rsid w:val="006E2EA0"/>
    <w:rsid w:val="006E5ABA"/>
    <w:rsid w:val="006E65BC"/>
    <w:rsid w:val="006E65EA"/>
    <w:rsid w:val="006E677C"/>
    <w:rsid w:val="006E6A01"/>
    <w:rsid w:val="006E6AC7"/>
    <w:rsid w:val="006E74D5"/>
    <w:rsid w:val="006E767A"/>
    <w:rsid w:val="006E7C78"/>
    <w:rsid w:val="006F0550"/>
    <w:rsid w:val="006F0788"/>
    <w:rsid w:val="006F0A79"/>
    <w:rsid w:val="006F0C56"/>
    <w:rsid w:val="006F13E5"/>
    <w:rsid w:val="006F210D"/>
    <w:rsid w:val="006F3329"/>
    <w:rsid w:val="006F38AD"/>
    <w:rsid w:val="006F3E97"/>
    <w:rsid w:val="006F4B46"/>
    <w:rsid w:val="006F51EC"/>
    <w:rsid w:val="006F5A7F"/>
    <w:rsid w:val="006F5FCA"/>
    <w:rsid w:val="006F661B"/>
    <w:rsid w:val="006F688B"/>
    <w:rsid w:val="006F7300"/>
    <w:rsid w:val="00700371"/>
    <w:rsid w:val="00700922"/>
    <w:rsid w:val="00700997"/>
    <w:rsid w:val="00703201"/>
    <w:rsid w:val="00703A28"/>
    <w:rsid w:val="0070486A"/>
    <w:rsid w:val="007049B1"/>
    <w:rsid w:val="00705BBA"/>
    <w:rsid w:val="00705E0D"/>
    <w:rsid w:val="007067B6"/>
    <w:rsid w:val="00706AD6"/>
    <w:rsid w:val="00706F2F"/>
    <w:rsid w:val="007103CE"/>
    <w:rsid w:val="00710E71"/>
    <w:rsid w:val="007111F0"/>
    <w:rsid w:val="00712907"/>
    <w:rsid w:val="00712ACD"/>
    <w:rsid w:val="00712D82"/>
    <w:rsid w:val="0071320F"/>
    <w:rsid w:val="007135C3"/>
    <w:rsid w:val="00713AD0"/>
    <w:rsid w:val="00714120"/>
    <w:rsid w:val="00714C4A"/>
    <w:rsid w:val="007156B0"/>
    <w:rsid w:val="0071593E"/>
    <w:rsid w:val="00716F5F"/>
    <w:rsid w:val="0071748A"/>
    <w:rsid w:val="00717D78"/>
    <w:rsid w:val="00717D7A"/>
    <w:rsid w:val="00717DBC"/>
    <w:rsid w:val="00720718"/>
    <w:rsid w:val="00720B81"/>
    <w:rsid w:val="00721065"/>
    <w:rsid w:val="00721144"/>
    <w:rsid w:val="007211E4"/>
    <w:rsid w:val="00721596"/>
    <w:rsid w:val="00721CDF"/>
    <w:rsid w:val="00721DB8"/>
    <w:rsid w:val="007228D0"/>
    <w:rsid w:val="007234DC"/>
    <w:rsid w:val="00724013"/>
    <w:rsid w:val="007250F6"/>
    <w:rsid w:val="00725230"/>
    <w:rsid w:val="00725A8A"/>
    <w:rsid w:val="00725FAE"/>
    <w:rsid w:val="00726018"/>
    <w:rsid w:val="0072611E"/>
    <w:rsid w:val="007264EF"/>
    <w:rsid w:val="007276DC"/>
    <w:rsid w:val="0072772A"/>
    <w:rsid w:val="00730964"/>
    <w:rsid w:val="00731010"/>
    <w:rsid w:val="0073115D"/>
    <w:rsid w:val="00731703"/>
    <w:rsid w:val="007318AB"/>
    <w:rsid w:val="007318BD"/>
    <w:rsid w:val="00732174"/>
    <w:rsid w:val="007327DA"/>
    <w:rsid w:val="00732BF0"/>
    <w:rsid w:val="007355D4"/>
    <w:rsid w:val="00736171"/>
    <w:rsid w:val="00736470"/>
    <w:rsid w:val="00736521"/>
    <w:rsid w:val="0073751D"/>
    <w:rsid w:val="0074068C"/>
    <w:rsid w:val="00740747"/>
    <w:rsid w:val="0074105F"/>
    <w:rsid w:val="00742D0E"/>
    <w:rsid w:val="00743032"/>
    <w:rsid w:val="007436A7"/>
    <w:rsid w:val="00744C89"/>
    <w:rsid w:val="007451DB"/>
    <w:rsid w:val="00746C49"/>
    <w:rsid w:val="007500D4"/>
    <w:rsid w:val="007503F7"/>
    <w:rsid w:val="00750519"/>
    <w:rsid w:val="00751506"/>
    <w:rsid w:val="007532F0"/>
    <w:rsid w:val="007533FD"/>
    <w:rsid w:val="007537A7"/>
    <w:rsid w:val="00753F85"/>
    <w:rsid w:val="0075570C"/>
    <w:rsid w:val="0075669A"/>
    <w:rsid w:val="0075691D"/>
    <w:rsid w:val="00756B9D"/>
    <w:rsid w:val="007570C8"/>
    <w:rsid w:val="0076015E"/>
    <w:rsid w:val="00760AE8"/>
    <w:rsid w:val="00760D09"/>
    <w:rsid w:val="00761ACF"/>
    <w:rsid w:val="0076295A"/>
    <w:rsid w:val="0076305B"/>
    <w:rsid w:val="00763804"/>
    <w:rsid w:val="007640A6"/>
    <w:rsid w:val="00765469"/>
    <w:rsid w:val="007654B4"/>
    <w:rsid w:val="007654BF"/>
    <w:rsid w:val="007655AC"/>
    <w:rsid w:val="00765A5F"/>
    <w:rsid w:val="007662DF"/>
    <w:rsid w:val="0076642D"/>
    <w:rsid w:val="0076781D"/>
    <w:rsid w:val="007705E9"/>
    <w:rsid w:val="007709A3"/>
    <w:rsid w:val="00770DE5"/>
    <w:rsid w:val="007723D5"/>
    <w:rsid w:val="00772DC8"/>
    <w:rsid w:val="00772EC7"/>
    <w:rsid w:val="007731B8"/>
    <w:rsid w:val="007731F1"/>
    <w:rsid w:val="007731F3"/>
    <w:rsid w:val="00773FB5"/>
    <w:rsid w:val="007741FB"/>
    <w:rsid w:val="00775069"/>
    <w:rsid w:val="00775EFB"/>
    <w:rsid w:val="007775EE"/>
    <w:rsid w:val="007803B8"/>
    <w:rsid w:val="00781134"/>
    <w:rsid w:val="0078139F"/>
    <w:rsid w:val="007818F2"/>
    <w:rsid w:val="007825B8"/>
    <w:rsid w:val="0078278A"/>
    <w:rsid w:val="0078310D"/>
    <w:rsid w:val="007839E0"/>
    <w:rsid w:val="00784EE4"/>
    <w:rsid w:val="00785243"/>
    <w:rsid w:val="00785BDA"/>
    <w:rsid w:val="00785C9B"/>
    <w:rsid w:val="00785F2A"/>
    <w:rsid w:val="0078668E"/>
    <w:rsid w:val="00787630"/>
    <w:rsid w:val="007900AE"/>
    <w:rsid w:val="00790755"/>
    <w:rsid w:val="00791052"/>
    <w:rsid w:val="00791295"/>
    <w:rsid w:val="007916F9"/>
    <w:rsid w:val="00792224"/>
    <w:rsid w:val="00792559"/>
    <w:rsid w:val="00792627"/>
    <w:rsid w:val="00792725"/>
    <w:rsid w:val="007942BE"/>
    <w:rsid w:val="007945AB"/>
    <w:rsid w:val="007961C3"/>
    <w:rsid w:val="00796392"/>
    <w:rsid w:val="00796511"/>
    <w:rsid w:val="00796A98"/>
    <w:rsid w:val="007970A9"/>
    <w:rsid w:val="0079775A"/>
    <w:rsid w:val="00797F52"/>
    <w:rsid w:val="007A00AB"/>
    <w:rsid w:val="007A07AF"/>
    <w:rsid w:val="007A1AA1"/>
    <w:rsid w:val="007A2C98"/>
    <w:rsid w:val="007A2D6A"/>
    <w:rsid w:val="007A3DBE"/>
    <w:rsid w:val="007A474D"/>
    <w:rsid w:val="007A48C9"/>
    <w:rsid w:val="007A4BD7"/>
    <w:rsid w:val="007A5190"/>
    <w:rsid w:val="007A55C8"/>
    <w:rsid w:val="007A5654"/>
    <w:rsid w:val="007A5A11"/>
    <w:rsid w:val="007A6FFA"/>
    <w:rsid w:val="007A71BE"/>
    <w:rsid w:val="007A7357"/>
    <w:rsid w:val="007A7CED"/>
    <w:rsid w:val="007A7D45"/>
    <w:rsid w:val="007B0BAF"/>
    <w:rsid w:val="007B1D06"/>
    <w:rsid w:val="007B1D82"/>
    <w:rsid w:val="007B29C7"/>
    <w:rsid w:val="007B325A"/>
    <w:rsid w:val="007B337E"/>
    <w:rsid w:val="007B39F8"/>
    <w:rsid w:val="007B44C5"/>
    <w:rsid w:val="007B4C6D"/>
    <w:rsid w:val="007B56E1"/>
    <w:rsid w:val="007B60FE"/>
    <w:rsid w:val="007B6EB1"/>
    <w:rsid w:val="007B7549"/>
    <w:rsid w:val="007B77B1"/>
    <w:rsid w:val="007B7A0A"/>
    <w:rsid w:val="007C058D"/>
    <w:rsid w:val="007C0D35"/>
    <w:rsid w:val="007C15D7"/>
    <w:rsid w:val="007C1913"/>
    <w:rsid w:val="007C1FCE"/>
    <w:rsid w:val="007C2357"/>
    <w:rsid w:val="007C2DAD"/>
    <w:rsid w:val="007C3442"/>
    <w:rsid w:val="007C5370"/>
    <w:rsid w:val="007C5492"/>
    <w:rsid w:val="007C737C"/>
    <w:rsid w:val="007C7534"/>
    <w:rsid w:val="007C7FF1"/>
    <w:rsid w:val="007D024E"/>
    <w:rsid w:val="007D0332"/>
    <w:rsid w:val="007D14BE"/>
    <w:rsid w:val="007D2325"/>
    <w:rsid w:val="007D2D10"/>
    <w:rsid w:val="007D49AD"/>
    <w:rsid w:val="007D5966"/>
    <w:rsid w:val="007D655C"/>
    <w:rsid w:val="007D66CF"/>
    <w:rsid w:val="007D678F"/>
    <w:rsid w:val="007D6A19"/>
    <w:rsid w:val="007D7252"/>
    <w:rsid w:val="007E35C0"/>
    <w:rsid w:val="007E43DE"/>
    <w:rsid w:val="007E5218"/>
    <w:rsid w:val="007E594C"/>
    <w:rsid w:val="007E644F"/>
    <w:rsid w:val="007E7C46"/>
    <w:rsid w:val="007F0153"/>
    <w:rsid w:val="007F03C8"/>
    <w:rsid w:val="007F18F9"/>
    <w:rsid w:val="007F2F17"/>
    <w:rsid w:val="007F324D"/>
    <w:rsid w:val="007F4AA0"/>
    <w:rsid w:val="007F5CDF"/>
    <w:rsid w:val="007F600D"/>
    <w:rsid w:val="007F6926"/>
    <w:rsid w:val="007F6FC3"/>
    <w:rsid w:val="007F705F"/>
    <w:rsid w:val="007F792E"/>
    <w:rsid w:val="007F7BD8"/>
    <w:rsid w:val="00800C31"/>
    <w:rsid w:val="008019BF"/>
    <w:rsid w:val="00801A41"/>
    <w:rsid w:val="00802BF1"/>
    <w:rsid w:val="00803283"/>
    <w:rsid w:val="00803A00"/>
    <w:rsid w:val="00804CE7"/>
    <w:rsid w:val="00804FC6"/>
    <w:rsid w:val="008052B5"/>
    <w:rsid w:val="00805F6F"/>
    <w:rsid w:val="00806614"/>
    <w:rsid w:val="00806650"/>
    <w:rsid w:val="008066C0"/>
    <w:rsid w:val="00806DB3"/>
    <w:rsid w:val="00806DEB"/>
    <w:rsid w:val="0081071F"/>
    <w:rsid w:val="0081124E"/>
    <w:rsid w:val="00811BF8"/>
    <w:rsid w:val="008142A5"/>
    <w:rsid w:val="00814AD8"/>
    <w:rsid w:val="0081505F"/>
    <w:rsid w:val="00816376"/>
    <w:rsid w:val="008163B5"/>
    <w:rsid w:val="008169C1"/>
    <w:rsid w:val="00817FCC"/>
    <w:rsid w:val="0082036C"/>
    <w:rsid w:val="008223CE"/>
    <w:rsid w:val="00822411"/>
    <w:rsid w:val="00823528"/>
    <w:rsid w:val="008244D0"/>
    <w:rsid w:val="00826103"/>
    <w:rsid w:val="0082623D"/>
    <w:rsid w:val="00826BEA"/>
    <w:rsid w:val="00827BAE"/>
    <w:rsid w:val="00827C82"/>
    <w:rsid w:val="00827D6A"/>
    <w:rsid w:val="00831319"/>
    <w:rsid w:val="008316D8"/>
    <w:rsid w:val="008318AF"/>
    <w:rsid w:val="00832ABE"/>
    <w:rsid w:val="00833870"/>
    <w:rsid w:val="00834D89"/>
    <w:rsid w:val="00837E01"/>
    <w:rsid w:val="00840DF5"/>
    <w:rsid w:val="00840F13"/>
    <w:rsid w:val="0084140B"/>
    <w:rsid w:val="00842007"/>
    <w:rsid w:val="00843061"/>
    <w:rsid w:val="008438A2"/>
    <w:rsid w:val="008439DC"/>
    <w:rsid w:val="008446F1"/>
    <w:rsid w:val="00845C83"/>
    <w:rsid w:val="00845DA1"/>
    <w:rsid w:val="008460B2"/>
    <w:rsid w:val="00846235"/>
    <w:rsid w:val="00846B69"/>
    <w:rsid w:val="0084785D"/>
    <w:rsid w:val="00850778"/>
    <w:rsid w:val="00851051"/>
    <w:rsid w:val="00852A95"/>
    <w:rsid w:val="00853A10"/>
    <w:rsid w:val="00853BBA"/>
    <w:rsid w:val="008542E7"/>
    <w:rsid w:val="0085568A"/>
    <w:rsid w:val="008556F8"/>
    <w:rsid w:val="00855730"/>
    <w:rsid w:val="00855800"/>
    <w:rsid w:val="00856BBB"/>
    <w:rsid w:val="00856C37"/>
    <w:rsid w:val="00857820"/>
    <w:rsid w:val="00857D35"/>
    <w:rsid w:val="00861625"/>
    <w:rsid w:val="008629CA"/>
    <w:rsid w:val="008630BD"/>
    <w:rsid w:val="00863F92"/>
    <w:rsid w:val="00864653"/>
    <w:rsid w:val="00865792"/>
    <w:rsid w:val="00865953"/>
    <w:rsid w:val="00866092"/>
    <w:rsid w:val="008676E8"/>
    <w:rsid w:val="00870751"/>
    <w:rsid w:val="0087185D"/>
    <w:rsid w:val="0087196A"/>
    <w:rsid w:val="00871B57"/>
    <w:rsid w:val="00872C0B"/>
    <w:rsid w:val="0087382B"/>
    <w:rsid w:val="00873DCA"/>
    <w:rsid w:val="00874E3C"/>
    <w:rsid w:val="00875765"/>
    <w:rsid w:val="00875FDB"/>
    <w:rsid w:val="0087638C"/>
    <w:rsid w:val="008764B3"/>
    <w:rsid w:val="00876588"/>
    <w:rsid w:val="0087674D"/>
    <w:rsid w:val="00876C2F"/>
    <w:rsid w:val="008772BC"/>
    <w:rsid w:val="00877352"/>
    <w:rsid w:val="00877916"/>
    <w:rsid w:val="008804F0"/>
    <w:rsid w:val="00880500"/>
    <w:rsid w:val="00880945"/>
    <w:rsid w:val="00881E75"/>
    <w:rsid w:val="008827AF"/>
    <w:rsid w:val="00885C51"/>
    <w:rsid w:val="0088613B"/>
    <w:rsid w:val="0088666C"/>
    <w:rsid w:val="008868B8"/>
    <w:rsid w:val="008875D1"/>
    <w:rsid w:val="008903C2"/>
    <w:rsid w:val="008919EC"/>
    <w:rsid w:val="00891DF9"/>
    <w:rsid w:val="00892246"/>
    <w:rsid w:val="00896200"/>
    <w:rsid w:val="0089655C"/>
    <w:rsid w:val="00896DFA"/>
    <w:rsid w:val="0089786B"/>
    <w:rsid w:val="008A0183"/>
    <w:rsid w:val="008A0380"/>
    <w:rsid w:val="008A12C9"/>
    <w:rsid w:val="008A18C3"/>
    <w:rsid w:val="008A232B"/>
    <w:rsid w:val="008A2878"/>
    <w:rsid w:val="008A4CD0"/>
    <w:rsid w:val="008A6349"/>
    <w:rsid w:val="008A6739"/>
    <w:rsid w:val="008A6E45"/>
    <w:rsid w:val="008A71D1"/>
    <w:rsid w:val="008B022F"/>
    <w:rsid w:val="008B06A3"/>
    <w:rsid w:val="008B0721"/>
    <w:rsid w:val="008B0A7F"/>
    <w:rsid w:val="008B1C43"/>
    <w:rsid w:val="008B2473"/>
    <w:rsid w:val="008B2C66"/>
    <w:rsid w:val="008B3FC3"/>
    <w:rsid w:val="008B469C"/>
    <w:rsid w:val="008B52CC"/>
    <w:rsid w:val="008B5607"/>
    <w:rsid w:val="008C06E8"/>
    <w:rsid w:val="008C0E67"/>
    <w:rsid w:val="008C155B"/>
    <w:rsid w:val="008C2ADD"/>
    <w:rsid w:val="008C2CE2"/>
    <w:rsid w:val="008C3F11"/>
    <w:rsid w:val="008C450D"/>
    <w:rsid w:val="008C571F"/>
    <w:rsid w:val="008D0056"/>
    <w:rsid w:val="008D07B4"/>
    <w:rsid w:val="008D1480"/>
    <w:rsid w:val="008D2689"/>
    <w:rsid w:val="008D28C5"/>
    <w:rsid w:val="008D2A2C"/>
    <w:rsid w:val="008D32E1"/>
    <w:rsid w:val="008D54D5"/>
    <w:rsid w:val="008D57CE"/>
    <w:rsid w:val="008D65EB"/>
    <w:rsid w:val="008D6C5E"/>
    <w:rsid w:val="008D795D"/>
    <w:rsid w:val="008E11AB"/>
    <w:rsid w:val="008E1B1F"/>
    <w:rsid w:val="008E21B1"/>
    <w:rsid w:val="008E2A5B"/>
    <w:rsid w:val="008E3965"/>
    <w:rsid w:val="008E3B1F"/>
    <w:rsid w:val="008E3FBA"/>
    <w:rsid w:val="008E4340"/>
    <w:rsid w:val="008E537F"/>
    <w:rsid w:val="008E5440"/>
    <w:rsid w:val="008E5637"/>
    <w:rsid w:val="008E581F"/>
    <w:rsid w:val="008E59FB"/>
    <w:rsid w:val="008E5F25"/>
    <w:rsid w:val="008E6740"/>
    <w:rsid w:val="008E756F"/>
    <w:rsid w:val="008F14D7"/>
    <w:rsid w:val="008F2963"/>
    <w:rsid w:val="008F313C"/>
    <w:rsid w:val="008F40CF"/>
    <w:rsid w:val="008F4D10"/>
    <w:rsid w:val="008F4E22"/>
    <w:rsid w:val="008F553F"/>
    <w:rsid w:val="008F6B5F"/>
    <w:rsid w:val="008F7E34"/>
    <w:rsid w:val="00900B65"/>
    <w:rsid w:val="00901882"/>
    <w:rsid w:val="00902CEF"/>
    <w:rsid w:val="009040FB"/>
    <w:rsid w:val="00906FE3"/>
    <w:rsid w:val="009070B0"/>
    <w:rsid w:val="009074A7"/>
    <w:rsid w:val="0091075D"/>
    <w:rsid w:val="00910E33"/>
    <w:rsid w:val="00911290"/>
    <w:rsid w:val="00911561"/>
    <w:rsid w:val="0091393B"/>
    <w:rsid w:val="0091399D"/>
    <w:rsid w:val="009168F0"/>
    <w:rsid w:val="00916A91"/>
    <w:rsid w:val="009172FF"/>
    <w:rsid w:val="00917E80"/>
    <w:rsid w:val="00920C4A"/>
    <w:rsid w:val="0092101E"/>
    <w:rsid w:val="00921457"/>
    <w:rsid w:val="00921E00"/>
    <w:rsid w:val="0092254B"/>
    <w:rsid w:val="009230AD"/>
    <w:rsid w:val="009236B0"/>
    <w:rsid w:val="0092441D"/>
    <w:rsid w:val="009254B7"/>
    <w:rsid w:val="00925F0F"/>
    <w:rsid w:val="009275EC"/>
    <w:rsid w:val="00927829"/>
    <w:rsid w:val="00927A4D"/>
    <w:rsid w:val="00930137"/>
    <w:rsid w:val="00931CC4"/>
    <w:rsid w:val="009320D5"/>
    <w:rsid w:val="00932286"/>
    <w:rsid w:val="00932805"/>
    <w:rsid w:val="00933000"/>
    <w:rsid w:val="00933909"/>
    <w:rsid w:val="009340D3"/>
    <w:rsid w:val="0093460B"/>
    <w:rsid w:val="00934AFA"/>
    <w:rsid w:val="00935225"/>
    <w:rsid w:val="00935496"/>
    <w:rsid w:val="00935655"/>
    <w:rsid w:val="00935DE1"/>
    <w:rsid w:val="009362E1"/>
    <w:rsid w:val="00936506"/>
    <w:rsid w:val="00937C6E"/>
    <w:rsid w:val="0094218D"/>
    <w:rsid w:val="009429EF"/>
    <w:rsid w:val="00943030"/>
    <w:rsid w:val="0094397C"/>
    <w:rsid w:val="00943CCF"/>
    <w:rsid w:val="009446B6"/>
    <w:rsid w:val="00944AC6"/>
    <w:rsid w:val="0094540F"/>
    <w:rsid w:val="009470C2"/>
    <w:rsid w:val="00947776"/>
    <w:rsid w:val="00950988"/>
    <w:rsid w:val="00950E7C"/>
    <w:rsid w:val="00951612"/>
    <w:rsid w:val="00952E66"/>
    <w:rsid w:val="0095310E"/>
    <w:rsid w:val="00953420"/>
    <w:rsid w:val="009544EA"/>
    <w:rsid w:val="009547F5"/>
    <w:rsid w:val="00954CC2"/>
    <w:rsid w:val="009552B0"/>
    <w:rsid w:val="00955441"/>
    <w:rsid w:val="00955B1E"/>
    <w:rsid w:val="009567D2"/>
    <w:rsid w:val="009571A8"/>
    <w:rsid w:val="009574ED"/>
    <w:rsid w:val="009600CA"/>
    <w:rsid w:val="00961AF2"/>
    <w:rsid w:val="0096242D"/>
    <w:rsid w:val="0096302F"/>
    <w:rsid w:val="0096420E"/>
    <w:rsid w:val="009647FF"/>
    <w:rsid w:val="00964F54"/>
    <w:rsid w:val="00965A50"/>
    <w:rsid w:val="00966C9B"/>
    <w:rsid w:val="00966CB4"/>
    <w:rsid w:val="00967117"/>
    <w:rsid w:val="00967340"/>
    <w:rsid w:val="00967A44"/>
    <w:rsid w:val="0097028C"/>
    <w:rsid w:val="00970A11"/>
    <w:rsid w:val="00970AE5"/>
    <w:rsid w:val="00971576"/>
    <w:rsid w:val="00971A1F"/>
    <w:rsid w:val="00971EA0"/>
    <w:rsid w:val="00972166"/>
    <w:rsid w:val="0097273F"/>
    <w:rsid w:val="00972A69"/>
    <w:rsid w:val="00972C8D"/>
    <w:rsid w:val="00972E3F"/>
    <w:rsid w:val="0097363F"/>
    <w:rsid w:val="00973B92"/>
    <w:rsid w:val="00973D30"/>
    <w:rsid w:val="009742E9"/>
    <w:rsid w:val="00974632"/>
    <w:rsid w:val="00974BE6"/>
    <w:rsid w:val="00974C1E"/>
    <w:rsid w:val="00974F13"/>
    <w:rsid w:val="0097542B"/>
    <w:rsid w:val="00975884"/>
    <w:rsid w:val="00980C6E"/>
    <w:rsid w:val="00981057"/>
    <w:rsid w:val="009811A0"/>
    <w:rsid w:val="009816CA"/>
    <w:rsid w:val="00981E31"/>
    <w:rsid w:val="00981FE3"/>
    <w:rsid w:val="00982038"/>
    <w:rsid w:val="00983C30"/>
    <w:rsid w:val="00984147"/>
    <w:rsid w:val="00985226"/>
    <w:rsid w:val="009859A3"/>
    <w:rsid w:val="009877DE"/>
    <w:rsid w:val="00990402"/>
    <w:rsid w:val="00991048"/>
    <w:rsid w:val="009912F7"/>
    <w:rsid w:val="0099176A"/>
    <w:rsid w:val="0099290F"/>
    <w:rsid w:val="0099294F"/>
    <w:rsid w:val="00992A5E"/>
    <w:rsid w:val="00993A8F"/>
    <w:rsid w:val="00993D09"/>
    <w:rsid w:val="00994260"/>
    <w:rsid w:val="00994747"/>
    <w:rsid w:val="00994D76"/>
    <w:rsid w:val="00995B95"/>
    <w:rsid w:val="00997402"/>
    <w:rsid w:val="00997C2F"/>
    <w:rsid w:val="00997EE1"/>
    <w:rsid w:val="009A053D"/>
    <w:rsid w:val="009A0BB5"/>
    <w:rsid w:val="009A1825"/>
    <w:rsid w:val="009A23B5"/>
    <w:rsid w:val="009A2683"/>
    <w:rsid w:val="009A276E"/>
    <w:rsid w:val="009A2DDC"/>
    <w:rsid w:val="009A31D0"/>
    <w:rsid w:val="009A3F46"/>
    <w:rsid w:val="009A4061"/>
    <w:rsid w:val="009A4741"/>
    <w:rsid w:val="009A504B"/>
    <w:rsid w:val="009A669C"/>
    <w:rsid w:val="009B09FC"/>
    <w:rsid w:val="009B0B4A"/>
    <w:rsid w:val="009B32AE"/>
    <w:rsid w:val="009B338C"/>
    <w:rsid w:val="009B3483"/>
    <w:rsid w:val="009B52CE"/>
    <w:rsid w:val="009B577C"/>
    <w:rsid w:val="009B5AC2"/>
    <w:rsid w:val="009B62DC"/>
    <w:rsid w:val="009B69FB"/>
    <w:rsid w:val="009B6AEE"/>
    <w:rsid w:val="009B7CA6"/>
    <w:rsid w:val="009C11C8"/>
    <w:rsid w:val="009C1F2C"/>
    <w:rsid w:val="009C37DC"/>
    <w:rsid w:val="009C3831"/>
    <w:rsid w:val="009C3B67"/>
    <w:rsid w:val="009C44E5"/>
    <w:rsid w:val="009C4946"/>
    <w:rsid w:val="009C5157"/>
    <w:rsid w:val="009C5EE3"/>
    <w:rsid w:val="009C5FAA"/>
    <w:rsid w:val="009C6B19"/>
    <w:rsid w:val="009D0681"/>
    <w:rsid w:val="009D06DE"/>
    <w:rsid w:val="009D083C"/>
    <w:rsid w:val="009D0B0B"/>
    <w:rsid w:val="009D146D"/>
    <w:rsid w:val="009D1943"/>
    <w:rsid w:val="009D1B63"/>
    <w:rsid w:val="009D2A71"/>
    <w:rsid w:val="009D3215"/>
    <w:rsid w:val="009D3679"/>
    <w:rsid w:val="009D3C17"/>
    <w:rsid w:val="009D54C6"/>
    <w:rsid w:val="009D7378"/>
    <w:rsid w:val="009D73A8"/>
    <w:rsid w:val="009E0A9E"/>
    <w:rsid w:val="009E0CE7"/>
    <w:rsid w:val="009E0E31"/>
    <w:rsid w:val="009E0E45"/>
    <w:rsid w:val="009E1E01"/>
    <w:rsid w:val="009E23C7"/>
    <w:rsid w:val="009E342A"/>
    <w:rsid w:val="009E3D94"/>
    <w:rsid w:val="009E3E11"/>
    <w:rsid w:val="009E49F9"/>
    <w:rsid w:val="009E4C84"/>
    <w:rsid w:val="009E5119"/>
    <w:rsid w:val="009E5AB9"/>
    <w:rsid w:val="009E7F61"/>
    <w:rsid w:val="009F016A"/>
    <w:rsid w:val="009F08FB"/>
    <w:rsid w:val="009F1B57"/>
    <w:rsid w:val="009F1DB0"/>
    <w:rsid w:val="009F299A"/>
    <w:rsid w:val="009F2E85"/>
    <w:rsid w:val="009F336D"/>
    <w:rsid w:val="009F343E"/>
    <w:rsid w:val="009F36DA"/>
    <w:rsid w:val="009F3964"/>
    <w:rsid w:val="009F43EC"/>
    <w:rsid w:val="009F5179"/>
    <w:rsid w:val="009F54CE"/>
    <w:rsid w:val="009F5B3D"/>
    <w:rsid w:val="009F6306"/>
    <w:rsid w:val="009F688F"/>
    <w:rsid w:val="009F72E4"/>
    <w:rsid w:val="009F7D44"/>
    <w:rsid w:val="00A001A7"/>
    <w:rsid w:val="00A016D4"/>
    <w:rsid w:val="00A01959"/>
    <w:rsid w:val="00A01C57"/>
    <w:rsid w:val="00A0272C"/>
    <w:rsid w:val="00A0324C"/>
    <w:rsid w:val="00A036B2"/>
    <w:rsid w:val="00A03A5A"/>
    <w:rsid w:val="00A03D9D"/>
    <w:rsid w:val="00A03F59"/>
    <w:rsid w:val="00A042BD"/>
    <w:rsid w:val="00A047A6"/>
    <w:rsid w:val="00A04D1E"/>
    <w:rsid w:val="00A050A6"/>
    <w:rsid w:val="00A0591C"/>
    <w:rsid w:val="00A074F0"/>
    <w:rsid w:val="00A10F8A"/>
    <w:rsid w:val="00A11130"/>
    <w:rsid w:val="00A11392"/>
    <w:rsid w:val="00A125CE"/>
    <w:rsid w:val="00A12882"/>
    <w:rsid w:val="00A13498"/>
    <w:rsid w:val="00A13C93"/>
    <w:rsid w:val="00A150F3"/>
    <w:rsid w:val="00A1591B"/>
    <w:rsid w:val="00A16576"/>
    <w:rsid w:val="00A17D57"/>
    <w:rsid w:val="00A17FCA"/>
    <w:rsid w:val="00A209BA"/>
    <w:rsid w:val="00A223F2"/>
    <w:rsid w:val="00A22669"/>
    <w:rsid w:val="00A234EB"/>
    <w:rsid w:val="00A2403A"/>
    <w:rsid w:val="00A26861"/>
    <w:rsid w:val="00A305D9"/>
    <w:rsid w:val="00A30960"/>
    <w:rsid w:val="00A30A3D"/>
    <w:rsid w:val="00A30BE9"/>
    <w:rsid w:val="00A31378"/>
    <w:rsid w:val="00A32029"/>
    <w:rsid w:val="00A35108"/>
    <w:rsid w:val="00A36645"/>
    <w:rsid w:val="00A366AD"/>
    <w:rsid w:val="00A40965"/>
    <w:rsid w:val="00A40F93"/>
    <w:rsid w:val="00A40FBD"/>
    <w:rsid w:val="00A42135"/>
    <w:rsid w:val="00A42697"/>
    <w:rsid w:val="00A42FBE"/>
    <w:rsid w:val="00A43D65"/>
    <w:rsid w:val="00A43F38"/>
    <w:rsid w:val="00A4503C"/>
    <w:rsid w:val="00A45EC8"/>
    <w:rsid w:val="00A465E1"/>
    <w:rsid w:val="00A46D63"/>
    <w:rsid w:val="00A50AE3"/>
    <w:rsid w:val="00A525DD"/>
    <w:rsid w:val="00A530BC"/>
    <w:rsid w:val="00A5374D"/>
    <w:rsid w:val="00A537D6"/>
    <w:rsid w:val="00A54A93"/>
    <w:rsid w:val="00A55C09"/>
    <w:rsid w:val="00A55F6D"/>
    <w:rsid w:val="00A56E36"/>
    <w:rsid w:val="00A60953"/>
    <w:rsid w:val="00A62623"/>
    <w:rsid w:val="00A62784"/>
    <w:rsid w:val="00A632FB"/>
    <w:rsid w:val="00A6392B"/>
    <w:rsid w:val="00A64324"/>
    <w:rsid w:val="00A64A06"/>
    <w:rsid w:val="00A6622A"/>
    <w:rsid w:val="00A66820"/>
    <w:rsid w:val="00A66C8B"/>
    <w:rsid w:val="00A679D4"/>
    <w:rsid w:val="00A67E02"/>
    <w:rsid w:val="00A67EB9"/>
    <w:rsid w:val="00A72BB6"/>
    <w:rsid w:val="00A72F11"/>
    <w:rsid w:val="00A733DB"/>
    <w:rsid w:val="00A736D2"/>
    <w:rsid w:val="00A73F26"/>
    <w:rsid w:val="00A7471F"/>
    <w:rsid w:val="00A749A0"/>
    <w:rsid w:val="00A75269"/>
    <w:rsid w:val="00A758C6"/>
    <w:rsid w:val="00A76A64"/>
    <w:rsid w:val="00A76CF6"/>
    <w:rsid w:val="00A77D86"/>
    <w:rsid w:val="00A804A1"/>
    <w:rsid w:val="00A80BCB"/>
    <w:rsid w:val="00A82222"/>
    <w:rsid w:val="00A82BD0"/>
    <w:rsid w:val="00A82D9C"/>
    <w:rsid w:val="00A839B3"/>
    <w:rsid w:val="00A83C2A"/>
    <w:rsid w:val="00A83F82"/>
    <w:rsid w:val="00A840F6"/>
    <w:rsid w:val="00A84312"/>
    <w:rsid w:val="00A8470E"/>
    <w:rsid w:val="00A847D8"/>
    <w:rsid w:val="00A8527C"/>
    <w:rsid w:val="00A85E7D"/>
    <w:rsid w:val="00A866B4"/>
    <w:rsid w:val="00A86BB8"/>
    <w:rsid w:val="00A90260"/>
    <w:rsid w:val="00A91DBD"/>
    <w:rsid w:val="00A92042"/>
    <w:rsid w:val="00A927E0"/>
    <w:rsid w:val="00A92F56"/>
    <w:rsid w:val="00A93429"/>
    <w:rsid w:val="00A93904"/>
    <w:rsid w:val="00A93C8E"/>
    <w:rsid w:val="00A94035"/>
    <w:rsid w:val="00A96424"/>
    <w:rsid w:val="00A9661B"/>
    <w:rsid w:val="00A9742E"/>
    <w:rsid w:val="00A9791C"/>
    <w:rsid w:val="00AA0078"/>
    <w:rsid w:val="00AA0D38"/>
    <w:rsid w:val="00AA0D5A"/>
    <w:rsid w:val="00AA2019"/>
    <w:rsid w:val="00AA2B1A"/>
    <w:rsid w:val="00AA3231"/>
    <w:rsid w:val="00AA4C30"/>
    <w:rsid w:val="00AA5CDD"/>
    <w:rsid w:val="00AA60A0"/>
    <w:rsid w:val="00AB0373"/>
    <w:rsid w:val="00AB0AD1"/>
    <w:rsid w:val="00AB1B6F"/>
    <w:rsid w:val="00AB1EE6"/>
    <w:rsid w:val="00AB27FB"/>
    <w:rsid w:val="00AB2D83"/>
    <w:rsid w:val="00AB30EE"/>
    <w:rsid w:val="00AB342C"/>
    <w:rsid w:val="00AB48E0"/>
    <w:rsid w:val="00AB4D22"/>
    <w:rsid w:val="00AB524B"/>
    <w:rsid w:val="00AB55B5"/>
    <w:rsid w:val="00AB570F"/>
    <w:rsid w:val="00AB582C"/>
    <w:rsid w:val="00AB5E5D"/>
    <w:rsid w:val="00AB665B"/>
    <w:rsid w:val="00AB7C13"/>
    <w:rsid w:val="00AC0018"/>
    <w:rsid w:val="00AC0258"/>
    <w:rsid w:val="00AC0AFE"/>
    <w:rsid w:val="00AC26F7"/>
    <w:rsid w:val="00AC293A"/>
    <w:rsid w:val="00AC3406"/>
    <w:rsid w:val="00AC6263"/>
    <w:rsid w:val="00AC6777"/>
    <w:rsid w:val="00AC6E14"/>
    <w:rsid w:val="00AC75E2"/>
    <w:rsid w:val="00AD0619"/>
    <w:rsid w:val="00AD0BDB"/>
    <w:rsid w:val="00AD148D"/>
    <w:rsid w:val="00AD151E"/>
    <w:rsid w:val="00AD2328"/>
    <w:rsid w:val="00AD3506"/>
    <w:rsid w:val="00AD3B64"/>
    <w:rsid w:val="00AD4036"/>
    <w:rsid w:val="00AD47CF"/>
    <w:rsid w:val="00AD4AED"/>
    <w:rsid w:val="00AD4BA2"/>
    <w:rsid w:val="00AD4D32"/>
    <w:rsid w:val="00AD6555"/>
    <w:rsid w:val="00AD66C6"/>
    <w:rsid w:val="00AD6872"/>
    <w:rsid w:val="00AD6A7E"/>
    <w:rsid w:val="00AD7219"/>
    <w:rsid w:val="00AD7C81"/>
    <w:rsid w:val="00AE0A69"/>
    <w:rsid w:val="00AE1503"/>
    <w:rsid w:val="00AE1784"/>
    <w:rsid w:val="00AE439A"/>
    <w:rsid w:val="00AE47F8"/>
    <w:rsid w:val="00AE4C07"/>
    <w:rsid w:val="00AE4FD4"/>
    <w:rsid w:val="00AE5967"/>
    <w:rsid w:val="00AE68EA"/>
    <w:rsid w:val="00AE7041"/>
    <w:rsid w:val="00AE7BAE"/>
    <w:rsid w:val="00AF00F3"/>
    <w:rsid w:val="00AF3F37"/>
    <w:rsid w:val="00AF44DD"/>
    <w:rsid w:val="00AF6316"/>
    <w:rsid w:val="00AF63A4"/>
    <w:rsid w:val="00AF643A"/>
    <w:rsid w:val="00AF6AC5"/>
    <w:rsid w:val="00AF7C4B"/>
    <w:rsid w:val="00B00588"/>
    <w:rsid w:val="00B025A8"/>
    <w:rsid w:val="00B0282A"/>
    <w:rsid w:val="00B04012"/>
    <w:rsid w:val="00B045E2"/>
    <w:rsid w:val="00B05CCC"/>
    <w:rsid w:val="00B06783"/>
    <w:rsid w:val="00B073BB"/>
    <w:rsid w:val="00B07CA6"/>
    <w:rsid w:val="00B07EDC"/>
    <w:rsid w:val="00B10F35"/>
    <w:rsid w:val="00B119DC"/>
    <w:rsid w:val="00B11DE0"/>
    <w:rsid w:val="00B120AD"/>
    <w:rsid w:val="00B12703"/>
    <w:rsid w:val="00B12CD6"/>
    <w:rsid w:val="00B13A42"/>
    <w:rsid w:val="00B13E57"/>
    <w:rsid w:val="00B14B00"/>
    <w:rsid w:val="00B15229"/>
    <w:rsid w:val="00B155D0"/>
    <w:rsid w:val="00B15915"/>
    <w:rsid w:val="00B17D4A"/>
    <w:rsid w:val="00B20677"/>
    <w:rsid w:val="00B21786"/>
    <w:rsid w:val="00B22F6C"/>
    <w:rsid w:val="00B2317F"/>
    <w:rsid w:val="00B274ED"/>
    <w:rsid w:val="00B27A24"/>
    <w:rsid w:val="00B27B0D"/>
    <w:rsid w:val="00B27CFF"/>
    <w:rsid w:val="00B305A2"/>
    <w:rsid w:val="00B3177E"/>
    <w:rsid w:val="00B31D01"/>
    <w:rsid w:val="00B3220E"/>
    <w:rsid w:val="00B3425E"/>
    <w:rsid w:val="00B343E6"/>
    <w:rsid w:val="00B350F2"/>
    <w:rsid w:val="00B352CC"/>
    <w:rsid w:val="00B35381"/>
    <w:rsid w:val="00B35A11"/>
    <w:rsid w:val="00B36154"/>
    <w:rsid w:val="00B36811"/>
    <w:rsid w:val="00B36B3D"/>
    <w:rsid w:val="00B40F57"/>
    <w:rsid w:val="00B413C3"/>
    <w:rsid w:val="00B41C38"/>
    <w:rsid w:val="00B439AD"/>
    <w:rsid w:val="00B4470C"/>
    <w:rsid w:val="00B447A6"/>
    <w:rsid w:val="00B45598"/>
    <w:rsid w:val="00B459E3"/>
    <w:rsid w:val="00B506D0"/>
    <w:rsid w:val="00B50956"/>
    <w:rsid w:val="00B50E77"/>
    <w:rsid w:val="00B521A5"/>
    <w:rsid w:val="00B52B9B"/>
    <w:rsid w:val="00B52DE4"/>
    <w:rsid w:val="00B55EBB"/>
    <w:rsid w:val="00B563BB"/>
    <w:rsid w:val="00B57798"/>
    <w:rsid w:val="00B57847"/>
    <w:rsid w:val="00B60806"/>
    <w:rsid w:val="00B60B68"/>
    <w:rsid w:val="00B61EC5"/>
    <w:rsid w:val="00B61ED1"/>
    <w:rsid w:val="00B63C68"/>
    <w:rsid w:val="00B66889"/>
    <w:rsid w:val="00B7102C"/>
    <w:rsid w:val="00B71619"/>
    <w:rsid w:val="00B71AED"/>
    <w:rsid w:val="00B72FAA"/>
    <w:rsid w:val="00B7337C"/>
    <w:rsid w:val="00B73E7B"/>
    <w:rsid w:val="00B74C0B"/>
    <w:rsid w:val="00B75612"/>
    <w:rsid w:val="00B75BA9"/>
    <w:rsid w:val="00B76030"/>
    <w:rsid w:val="00B76474"/>
    <w:rsid w:val="00B76B93"/>
    <w:rsid w:val="00B770E3"/>
    <w:rsid w:val="00B777A1"/>
    <w:rsid w:val="00B77FFC"/>
    <w:rsid w:val="00B81C33"/>
    <w:rsid w:val="00B822B4"/>
    <w:rsid w:val="00B824D6"/>
    <w:rsid w:val="00B8252C"/>
    <w:rsid w:val="00B8258F"/>
    <w:rsid w:val="00B828A6"/>
    <w:rsid w:val="00B8305E"/>
    <w:rsid w:val="00B846E7"/>
    <w:rsid w:val="00B84A50"/>
    <w:rsid w:val="00B84E6C"/>
    <w:rsid w:val="00B84FA1"/>
    <w:rsid w:val="00B852EF"/>
    <w:rsid w:val="00B85B71"/>
    <w:rsid w:val="00B85F76"/>
    <w:rsid w:val="00B86C21"/>
    <w:rsid w:val="00B87157"/>
    <w:rsid w:val="00B8725C"/>
    <w:rsid w:val="00B874AC"/>
    <w:rsid w:val="00B901AF"/>
    <w:rsid w:val="00B905E1"/>
    <w:rsid w:val="00B90B59"/>
    <w:rsid w:val="00B90EC2"/>
    <w:rsid w:val="00B924E3"/>
    <w:rsid w:val="00B931E1"/>
    <w:rsid w:val="00B9358C"/>
    <w:rsid w:val="00B9397E"/>
    <w:rsid w:val="00B94055"/>
    <w:rsid w:val="00B94223"/>
    <w:rsid w:val="00B94B94"/>
    <w:rsid w:val="00B9513A"/>
    <w:rsid w:val="00B95401"/>
    <w:rsid w:val="00B96501"/>
    <w:rsid w:val="00B97063"/>
    <w:rsid w:val="00BA001E"/>
    <w:rsid w:val="00BA08A8"/>
    <w:rsid w:val="00BA0EBE"/>
    <w:rsid w:val="00BA1060"/>
    <w:rsid w:val="00BA1086"/>
    <w:rsid w:val="00BA1A6E"/>
    <w:rsid w:val="00BA1AA1"/>
    <w:rsid w:val="00BA2040"/>
    <w:rsid w:val="00BA287A"/>
    <w:rsid w:val="00BA4145"/>
    <w:rsid w:val="00BA47D0"/>
    <w:rsid w:val="00BA509F"/>
    <w:rsid w:val="00BA675F"/>
    <w:rsid w:val="00BA6933"/>
    <w:rsid w:val="00BA78A5"/>
    <w:rsid w:val="00BB0A61"/>
    <w:rsid w:val="00BB162A"/>
    <w:rsid w:val="00BB2231"/>
    <w:rsid w:val="00BB308D"/>
    <w:rsid w:val="00BB321A"/>
    <w:rsid w:val="00BB323F"/>
    <w:rsid w:val="00BB3D34"/>
    <w:rsid w:val="00BB44C3"/>
    <w:rsid w:val="00BB4683"/>
    <w:rsid w:val="00BB4E41"/>
    <w:rsid w:val="00BB4FA4"/>
    <w:rsid w:val="00BB5136"/>
    <w:rsid w:val="00BB51E6"/>
    <w:rsid w:val="00BB587C"/>
    <w:rsid w:val="00BB6B9F"/>
    <w:rsid w:val="00BB6C42"/>
    <w:rsid w:val="00BB71BA"/>
    <w:rsid w:val="00BB7711"/>
    <w:rsid w:val="00BC02BF"/>
    <w:rsid w:val="00BC037F"/>
    <w:rsid w:val="00BC149C"/>
    <w:rsid w:val="00BC1659"/>
    <w:rsid w:val="00BC1966"/>
    <w:rsid w:val="00BC2532"/>
    <w:rsid w:val="00BC31B6"/>
    <w:rsid w:val="00BC34A8"/>
    <w:rsid w:val="00BC4090"/>
    <w:rsid w:val="00BC43A2"/>
    <w:rsid w:val="00BC4B97"/>
    <w:rsid w:val="00BC4BEF"/>
    <w:rsid w:val="00BC56D5"/>
    <w:rsid w:val="00BC6870"/>
    <w:rsid w:val="00BC6FFC"/>
    <w:rsid w:val="00BD0CC9"/>
    <w:rsid w:val="00BD1D60"/>
    <w:rsid w:val="00BD1DAF"/>
    <w:rsid w:val="00BD23D0"/>
    <w:rsid w:val="00BD2A5E"/>
    <w:rsid w:val="00BD332C"/>
    <w:rsid w:val="00BD4905"/>
    <w:rsid w:val="00BD4E30"/>
    <w:rsid w:val="00BD4E84"/>
    <w:rsid w:val="00BD5637"/>
    <w:rsid w:val="00BD57EC"/>
    <w:rsid w:val="00BD62D0"/>
    <w:rsid w:val="00BD63CD"/>
    <w:rsid w:val="00BD693F"/>
    <w:rsid w:val="00BE0416"/>
    <w:rsid w:val="00BE0EB1"/>
    <w:rsid w:val="00BE0F01"/>
    <w:rsid w:val="00BE1F1C"/>
    <w:rsid w:val="00BE2A5A"/>
    <w:rsid w:val="00BE3F31"/>
    <w:rsid w:val="00BE45BE"/>
    <w:rsid w:val="00BE4B8B"/>
    <w:rsid w:val="00BE5E8D"/>
    <w:rsid w:val="00BE5F3A"/>
    <w:rsid w:val="00BE62BD"/>
    <w:rsid w:val="00BE70FD"/>
    <w:rsid w:val="00BE78DC"/>
    <w:rsid w:val="00BF0FC2"/>
    <w:rsid w:val="00BF2394"/>
    <w:rsid w:val="00BF28F1"/>
    <w:rsid w:val="00BF2E83"/>
    <w:rsid w:val="00BF33B3"/>
    <w:rsid w:val="00BF3934"/>
    <w:rsid w:val="00BF3D0F"/>
    <w:rsid w:val="00BF3FD4"/>
    <w:rsid w:val="00BF4460"/>
    <w:rsid w:val="00BF4AF6"/>
    <w:rsid w:val="00BF547C"/>
    <w:rsid w:val="00BF59E5"/>
    <w:rsid w:val="00BF5F15"/>
    <w:rsid w:val="00BF6332"/>
    <w:rsid w:val="00BF7E12"/>
    <w:rsid w:val="00BF7FD4"/>
    <w:rsid w:val="00C003C2"/>
    <w:rsid w:val="00C03727"/>
    <w:rsid w:val="00C048A7"/>
    <w:rsid w:val="00C04D68"/>
    <w:rsid w:val="00C05823"/>
    <w:rsid w:val="00C06490"/>
    <w:rsid w:val="00C06CD3"/>
    <w:rsid w:val="00C07C64"/>
    <w:rsid w:val="00C11CB5"/>
    <w:rsid w:val="00C122A3"/>
    <w:rsid w:val="00C12F2A"/>
    <w:rsid w:val="00C130E7"/>
    <w:rsid w:val="00C13837"/>
    <w:rsid w:val="00C13A23"/>
    <w:rsid w:val="00C13E35"/>
    <w:rsid w:val="00C146B7"/>
    <w:rsid w:val="00C1491B"/>
    <w:rsid w:val="00C1493E"/>
    <w:rsid w:val="00C14C4B"/>
    <w:rsid w:val="00C1534B"/>
    <w:rsid w:val="00C16553"/>
    <w:rsid w:val="00C1709C"/>
    <w:rsid w:val="00C1754D"/>
    <w:rsid w:val="00C201DB"/>
    <w:rsid w:val="00C2135F"/>
    <w:rsid w:val="00C213D1"/>
    <w:rsid w:val="00C23716"/>
    <w:rsid w:val="00C23E7C"/>
    <w:rsid w:val="00C23E89"/>
    <w:rsid w:val="00C24724"/>
    <w:rsid w:val="00C24D2A"/>
    <w:rsid w:val="00C26B3C"/>
    <w:rsid w:val="00C272BF"/>
    <w:rsid w:val="00C27339"/>
    <w:rsid w:val="00C274EB"/>
    <w:rsid w:val="00C27BD1"/>
    <w:rsid w:val="00C3019B"/>
    <w:rsid w:val="00C301CD"/>
    <w:rsid w:val="00C30D75"/>
    <w:rsid w:val="00C30F23"/>
    <w:rsid w:val="00C3139F"/>
    <w:rsid w:val="00C31636"/>
    <w:rsid w:val="00C33187"/>
    <w:rsid w:val="00C340EE"/>
    <w:rsid w:val="00C3529C"/>
    <w:rsid w:val="00C35B17"/>
    <w:rsid w:val="00C361C7"/>
    <w:rsid w:val="00C365BD"/>
    <w:rsid w:val="00C36961"/>
    <w:rsid w:val="00C3721E"/>
    <w:rsid w:val="00C37436"/>
    <w:rsid w:val="00C37D80"/>
    <w:rsid w:val="00C40015"/>
    <w:rsid w:val="00C4031A"/>
    <w:rsid w:val="00C4078E"/>
    <w:rsid w:val="00C42520"/>
    <w:rsid w:val="00C425DE"/>
    <w:rsid w:val="00C426F2"/>
    <w:rsid w:val="00C433A1"/>
    <w:rsid w:val="00C46155"/>
    <w:rsid w:val="00C47741"/>
    <w:rsid w:val="00C47D72"/>
    <w:rsid w:val="00C50965"/>
    <w:rsid w:val="00C5281B"/>
    <w:rsid w:val="00C53298"/>
    <w:rsid w:val="00C5433B"/>
    <w:rsid w:val="00C54D38"/>
    <w:rsid w:val="00C55517"/>
    <w:rsid w:val="00C6086F"/>
    <w:rsid w:val="00C60A41"/>
    <w:rsid w:val="00C60E37"/>
    <w:rsid w:val="00C611CA"/>
    <w:rsid w:val="00C61F5D"/>
    <w:rsid w:val="00C624D4"/>
    <w:rsid w:val="00C629C2"/>
    <w:rsid w:val="00C62F55"/>
    <w:rsid w:val="00C63B0A"/>
    <w:rsid w:val="00C642B0"/>
    <w:rsid w:val="00C643A3"/>
    <w:rsid w:val="00C6461D"/>
    <w:rsid w:val="00C64EF5"/>
    <w:rsid w:val="00C64F2F"/>
    <w:rsid w:val="00C65151"/>
    <w:rsid w:val="00C655A8"/>
    <w:rsid w:val="00C65706"/>
    <w:rsid w:val="00C660DD"/>
    <w:rsid w:val="00C6674D"/>
    <w:rsid w:val="00C67236"/>
    <w:rsid w:val="00C67BA9"/>
    <w:rsid w:val="00C70031"/>
    <w:rsid w:val="00C709E0"/>
    <w:rsid w:val="00C70AE6"/>
    <w:rsid w:val="00C71843"/>
    <w:rsid w:val="00C72A91"/>
    <w:rsid w:val="00C73FDF"/>
    <w:rsid w:val="00C74439"/>
    <w:rsid w:val="00C747E3"/>
    <w:rsid w:val="00C762B5"/>
    <w:rsid w:val="00C7687B"/>
    <w:rsid w:val="00C77031"/>
    <w:rsid w:val="00C7771E"/>
    <w:rsid w:val="00C77B81"/>
    <w:rsid w:val="00C8053B"/>
    <w:rsid w:val="00C806B2"/>
    <w:rsid w:val="00C80C34"/>
    <w:rsid w:val="00C813FE"/>
    <w:rsid w:val="00C8145E"/>
    <w:rsid w:val="00C81AD6"/>
    <w:rsid w:val="00C826B2"/>
    <w:rsid w:val="00C82E2B"/>
    <w:rsid w:val="00C83989"/>
    <w:rsid w:val="00C83BC0"/>
    <w:rsid w:val="00C840A3"/>
    <w:rsid w:val="00C86E4E"/>
    <w:rsid w:val="00C91C1A"/>
    <w:rsid w:val="00C93E7F"/>
    <w:rsid w:val="00C943CA"/>
    <w:rsid w:val="00C95251"/>
    <w:rsid w:val="00C95468"/>
    <w:rsid w:val="00C95562"/>
    <w:rsid w:val="00C95AB9"/>
    <w:rsid w:val="00C9622E"/>
    <w:rsid w:val="00C96A59"/>
    <w:rsid w:val="00CA03BC"/>
    <w:rsid w:val="00CA073F"/>
    <w:rsid w:val="00CA07B1"/>
    <w:rsid w:val="00CA087C"/>
    <w:rsid w:val="00CA0BF9"/>
    <w:rsid w:val="00CA1944"/>
    <w:rsid w:val="00CA226B"/>
    <w:rsid w:val="00CA2B6E"/>
    <w:rsid w:val="00CA3DA8"/>
    <w:rsid w:val="00CA4159"/>
    <w:rsid w:val="00CA592D"/>
    <w:rsid w:val="00CA5C49"/>
    <w:rsid w:val="00CA703F"/>
    <w:rsid w:val="00CA749C"/>
    <w:rsid w:val="00CA7544"/>
    <w:rsid w:val="00CA79FA"/>
    <w:rsid w:val="00CB023B"/>
    <w:rsid w:val="00CB0C48"/>
    <w:rsid w:val="00CB22D9"/>
    <w:rsid w:val="00CB243F"/>
    <w:rsid w:val="00CB25B2"/>
    <w:rsid w:val="00CB2A8F"/>
    <w:rsid w:val="00CB3398"/>
    <w:rsid w:val="00CB3865"/>
    <w:rsid w:val="00CB42BC"/>
    <w:rsid w:val="00CB444E"/>
    <w:rsid w:val="00CB46D2"/>
    <w:rsid w:val="00CB494E"/>
    <w:rsid w:val="00CB5C9A"/>
    <w:rsid w:val="00CB5E0A"/>
    <w:rsid w:val="00CB5F4D"/>
    <w:rsid w:val="00CB7071"/>
    <w:rsid w:val="00CB7706"/>
    <w:rsid w:val="00CC01C4"/>
    <w:rsid w:val="00CC0643"/>
    <w:rsid w:val="00CC0D79"/>
    <w:rsid w:val="00CC0E6B"/>
    <w:rsid w:val="00CC1DC3"/>
    <w:rsid w:val="00CC3511"/>
    <w:rsid w:val="00CC374A"/>
    <w:rsid w:val="00CC3F0E"/>
    <w:rsid w:val="00CC50B0"/>
    <w:rsid w:val="00CC5B8D"/>
    <w:rsid w:val="00CC6BE9"/>
    <w:rsid w:val="00CC6DB4"/>
    <w:rsid w:val="00CC7A46"/>
    <w:rsid w:val="00CC7EBA"/>
    <w:rsid w:val="00CD0952"/>
    <w:rsid w:val="00CD1AA0"/>
    <w:rsid w:val="00CD2A54"/>
    <w:rsid w:val="00CD3E3F"/>
    <w:rsid w:val="00CD4627"/>
    <w:rsid w:val="00CD48E4"/>
    <w:rsid w:val="00CD4B23"/>
    <w:rsid w:val="00CD5F4B"/>
    <w:rsid w:val="00CD66E3"/>
    <w:rsid w:val="00CD68DE"/>
    <w:rsid w:val="00CD6B42"/>
    <w:rsid w:val="00CE03C9"/>
    <w:rsid w:val="00CE0984"/>
    <w:rsid w:val="00CE0BFA"/>
    <w:rsid w:val="00CE2227"/>
    <w:rsid w:val="00CE2F79"/>
    <w:rsid w:val="00CE572D"/>
    <w:rsid w:val="00CE5BD4"/>
    <w:rsid w:val="00CE6535"/>
    <w:rsid w:val="00CE65AE"/>
    <w:rsid w:val="00CF00BD"/>
    <w:rsid w:val="00CF0210"/>
    <w:rsid w:val="00CF0231"/>
    <w:rsid w:val="00CF0EE8"/>
    <w:rsid w:val="00CF0EF7"/>
    <w:rsid w:val="00CF18BE"/>
    <w:rsid w:val="00CF23C2"/>
    <w:rsid w:val="00CF29B1"/>
    <w:rsid w:val="00CF3D16"/>
    <w:rsid w:val="00CF4410"/>
    <w:rsid w:val="00CF4529"/>
    <w:rsid w:val="00CF55D6"/>
    <w:rsid w:val="00CF6368"/>
    <w:rsid w:val="00CF67F6"/>
    <w:rsid w:val="00CF6880"/>
    <w:rsid w:val="00CF6D24"/>
    <w:rsid w:val="00CF75DB"/>
    <w:rsid w:val="00CF7901"/>
    <w:rsid w:val="00CF7C51"/>
    <w:rsid w:val="00D00518"/>
    <w:rsid w:val="00D019E0"/>
    <w:rsid w:val="00D02EB3"/>
    <w:rsid w:val="00D044EE"/>
    <w:rsid w:val="00D04A67"/>
    <w:rsid w:val="00D04D68"/>
    <w:rsid w:val="00D05115"/>
    <w:rsid w:val="00D053BA"/>
    <w:rsid w:val="00D056D0"/>
    <w:rsid w:val="00D067C2"/>
    <w:rsid w:val="00D104C8"/>
    <w:rsid w:val="00D11A0C"/>
    <w:rsid w:val="00D11C21"/>
    <w:rsid w:val="00D121D9"/>
    <w:rsid w:val="00D13AB3"/>
    <w:rsid w:val="00D14943"/>
    <w:rsid w:val="00D15019"/>
    <w:rsid w:val="00D150E7"/>
    <w:rsid w:val="00D157CA"/>
    <w:rsid w:val="00D162E3"/>
    <w:rsid w:val="00D1681B"/>
    <w:rsid w:val="00D1754C"/>
    <w:rsid w:val="00D200FD"/>
    <w:rsid w:val="00D203F9"/>
    <w:rsid w:val="00D20734"/>
    <w:rsid w:val="00D21467"/>
    <w:rsid w:val="00D218E7"/>
    <w:rsid w:val="00D22067"/>
    <w:rsid w:val="00D2206E"/>
    <w:rsid w:val="00D240B1"/>
    <w:rsid w:val="00D24F93"/>
    <w:rsid w:val="00D257B0"/>
    <w:rsid w:val="00D26BBF"/>
    <w:rsid w:val="00D27171"/>
    <w:rsid w:val="00D274EC"/>
    <w:rsid w:val="00D2751F"/>
    <w:rsid w:val="00D30E39"/>
    <w:rsid w:val="00D31EF6"/>
    <w:rsid w:val="00D32A19"/>
    <w:rsid w:val="00D335EE"/>
    <w:rsid w:val="00D33A63"/>
    <w:rsid w:val="00D33DFE"/>
    <w:rsid w:val="00D347AA"/>
    <w:rsid w:val="00D34BA0"/>
    <w:rsid w:val="00D351A6"/>
    <w:rsid w:val="00D36AAB"/>
    <w:rsid w:val="00D36ABC"/>
    <w:rsid w:val="00D40E6D"/>
    <w:rsid w:val="00D417AA"/>
    <w:rsid w:val="00D41AE3"/>
    <w:rsid w:val="00D443FE"/>
    <w:rsid w:val="00D44641"/>
    <w:rsid w:val="00D44970"/>
    <w:rsid w:val="00D45689"/>
    <w:rsid w:val="00D45FF4"/>
    <w:rsid w:val="00D46614"/>
    <w:rsid w:val="00D470F2"/>
    <w:rsid w:val="00D47246"/>
    <w:rsid w:val="00D50899"/>
    <w:rsid w:val="00D50E83"/>
    <w:rsid w:val="00D51113"/>
    <w:rsid w:val="00D51189"/>
    <w:rsid w:val="00D51E7A"/>
    <w:rsid w:val="00D546C1"/>
    <w:rsid w:val="00D54EB5"/>
    <w:rsid w:val="00D54F0C"/>
    <w:rsid w:val="00D55D37"/>
    <w:rsid w:val="00D600D0"/>
    <w:rsid w:val="00D60436"/>
    <w:rsid w:val="00D6054B"/>
    <w:rsid w:val="00D605C9"/>
    <w:rsid w:val="00D606F9"/>
    <w:rsid w:val="00D60BF1"/>
    <w:rsid w:val="00D6247A"/>
    <w:rsid w:val="00D634D6"/>
    <w:rsid w:val="00D63856"/>
    <w:rsid w:val="00D642C5"/>
    <w:rsid w:val="00D64945"/>
    <w:rsid w:val="00D64CDC"/>
    <w:rsid w:val="00D65D7A"/>
    <w:rsid w:val="00D660CF"/>
    <w:rsid w:val="00D66BBF"/>
    <w:rsid w:val="00D67249"/>
    <w:rsid w:val="00D67B25"/>
    <w:rsid w:val="00D7042D"/>
    <w:rsid w:val="00D70A2D"/>
    <w:rsid w:val="00D72AE5"/>
    <w:rsid w:val="00D72BED"/>
    <w:rsid w:val="00D72D7A"/>
    <w:rsid w:val="00D72F58"/>
    <w:rsid w:val="00D73853"/>
    <w:rsid w:val="00D74FC4"/>
    <w:rsid w:val="00D75B87"/>
    <w:rsid w:val="00D770A6"/>
    <w:rsid w:val="00D7717F"/>
    <w:rsid w:val="00D776AB"/>
    <w:rsid w:val="00D77A3E"/>
    <w:rsid w:val="00D8053A"/>
    <w:rsid w:val="00D806F0"/>
    <w:rsid w:val="00D837E6"/>
    <w:rsid w:val="00D84165"/>
    <w:rsid w:val="00D84556"/>
    <w:rsid w:val="00D8480F"/>
    <w:rsid w:val="00D85048"/>
    <w:rsid w:val="00D85570"/>
    <w:rsid w:val="00D85AD6"/>
    <w:rsid w:val="00D85ECC"/>
    <w:rsid w:val="00D8649F"/>
    <w:rsid w:val="00D875A7"/>
    <w:rsid w:val="00D902B1"/>
    <w:rsid w:val="00D91026"/>
    <w:rsid w:val="00D93318"/>
    <w:rsid w:val="00D9368B"/>
    <w:rsid w:val="00D94228"/>
    <w:rsid w:val="00D94302"/>
    <w:rsid w:val="00D94BD1"/>
    <w:rsid w:val="00D954CF"/>
    <w:rsid w:val="00D964C9"/>
    <w:rsid w:val="00D965D2"/>
    <w:rsid w:val="00D96CE1"/>
    <w:rsid w:val="00D97059"/>
    <w:rsid w:val="00D97BE2"/>
    <w:rsid w:val="00D97DFD"/>
    <w:rsid w:val="00DA2778"/>
    <w:rsid w:val="00DA3736"/>
    <w:rsid w:val="00DA4175"/>
    <w:rsid w:val="00DA433F"/>
    <w:rsid w:val="00DA4A3F"/>
    <w:rsid w:val="00DA4FAF"/>
    <w:rsid w:val="00DA5E3C"/>
    <w:rsid w:val="00DA74F9"/>
    <w:rsid w:val="00DA7A02"/>
    <w:rsid w:val="00DB0204"/>
    <w:rsid w:val="00DB0301"/>
    <w:rsid w:val="00DB0A6C"/>
    <w:rsid w:val="00DB1F90"/>
    <w:rsid w:val="00DB2C72"/>
    <w:rsid w:val="00DB2EDF"/>
    <w:rsid w:val="00DB32DD"/>
    <w:rsid w:val="00DB4174"/>
    <w:rsid w:val="00DB458B"/>
    <w:rsid w:val="00DB4AA7"/>
    <w:rsid w:val="00DB4C1B"/>
    <w:rsid w:val="00DB5DBA"/>
    <w:rsid w:val="00DB6FE4"/>
    <w:rsid w:val="00DB7332"/>
    <w:rsid w:val="00DB7A07"/>
    <w:rsid w:val="00DB7F73"/>
    <w:rsid w:val="00DC09B9"/>
    <w:rsid w:val="00DC0A6E"/>
    <w:rsid w:val="00DC1A1D"/>
    <w:rsid w:val="00DC1CD2"/>
    <w:rsid w:val="00DC301F"/>
    <w:rsid w:val="00DC41E6"/>
    <w:rsid w:val="00DC4A0B"/>
    <w:rsid w:val="00DC4EB0"/>
    <w:rsid w:val="00DC4F40"/>
    <w:rsid w:val="00DC5035"/>
    <w:rsid w:val="00DC5C38"/>
    <w:rsid w:val="00DC62AE"/>
    <w:rsid w:val="00DC78F2"/>
    <w:rsid w:val="00DC7CF4"/>
    <w:rsid w:val="00DD0E59"/>
    <w:rsid w:val="00DD1AA7"/>
    <w:rsid w:val="00DD1CBC"/>
    <w:rsid w:val="00DD2339"/>
    <w:rsid w:val="00DD525D"/>
    <w:rsid w:val="00DD6679"/>
    <w:rsid w:val="00DD7C97"/>
    <w:rsid w:val="00DE0D9C"/>
    <w:rsid w:val="00DE1188"/>
    <w:rsid w:val="00DE1920"/>
    <w:rsid w:val="00DE4437"/>
    <w:rsid w:val="00DE4642"/>
    <w:rsid w:val="00DE4E02"/>
    <w:rsid w:val="00DE5739"/>
    <w:rsid w:val="00DE5AE4"/>
    <w:rsid w:val="00DE7737"/>
    <w:rsid w:val="00DE7865"/>
    <w:rsid w:val="00DE7D1C"/>
    <w:rsid w:val="00DF07D8"/>
    <w:rsid w:val="00DF0DA2"/>
    <w:rsid w:val="00DF13ED"/>
    <w:rsid w:val="00DF30EF"/>
    <w:rsid w:val="00DF42C8"/>
    <w:rsid w:val="00DF4D21"/>
    <w:rsid w:val="00DF6BD4"/>
    <w:rsid w:val="00DF6F6B"/>
    <w:rsid w:val="00DF72C2"/>
    <w:rsid w:val="00DF773A"/>
    <w:rsid w:val="00DF7D3B"/>
    <w:rsid w:val="00DF7E73"/>
    <w:rsid w:val="00E00DC8"/>
    <w:rsid w:val="00E018CC"/>
    <w:rsid w:val="00E02B9E"/>
    <w:rsid w:val="00E0331E"/>
    <w:rsid w:val="00E036C6"/>
    <w:rsid w:val="00E03FE5"/>
    <w:rsid w:val="00E05F08"/>
    <w:rsid w:val="00E06873"/>
    <w:rsid w:val="00E06AC9"/>
    <w:rsid w:val="00E071EA"/>
    <w:rsid w:val="00E11648"/>
    <w:rsid w:val="00E12445"/>
    <w:rsid w:val="00E13301"/>
    <w:rsid w:val="00E138C0"/>
    <w:rsid w:val="00E14801"/>
    <w:rsid w:val="00E149FC"/>
    <w:rsid w:val="00E14F48"/>
    <w:rsid w:val="00E15269"/>
    <w:rsid w:val="00E15A87"/>
    <w:rsid w:val="00E16BF2"/>
    <w:rsid w:val="00E175D4"/>
    <w:rsid w:val="00E20E90"/>
    <w:rsid w:val="00E21603"/>
    <w:rsid w:val="00E21D3D"/>
    <w:rsid w:val="00E22954"/>
    <w:rsid w:val="00E236C1"/>
    <w:rsid w:val="00E23AD2"/>
    <w:rsid w:val="00E23B3D"/>
    <w:rsid w:val="00E24031"/>
    <w:rsid w:val="00E240ED"/>
    <w:rsid w:val="00E253B6"/>
    <w:rsid w:val="00E264DA"/>
    <w:rsid w:val="00E26634"/>
    <w:rsid w:val="00E2792E"/>
    <w:rsid w:val="00E30A15"/>
    <w:rsid w:val="00E31DDB"/>
    <w:rsid w:val="00E32435"/>
    <w:rsid w:val="00E32694"/>
    <w:rsid w:val="00E33042"/>
    <w:rsid w:val="00E330C6"/>
    <w:rsid w:val="00E33623"/>
    <w:rsid w:val="00E35706"/>
    <w:rsid w:val="00E375F0"/>
    <w:rsid w:val="00E37920"/>
    <w:rsid w:val="00E37C43"/>
    <w:rsid w:val="00E4044A"/>
    <w:rsid w:val="00E408E8"/>
    <w:rsid w:val="00E40F03"/>
    <w:rsid w:val="00E415A5"/>
    <w:rsid w:val="00E416DF"/>
    <w:rsid w:val="00E42D35"/>
    <w:rsid w:val="00E43FC7"/>
    <w:rsid w:val="00E44C4F"/>
    <w:rsid w:val="00E44CE6"/>
    <w:rsid w:val="00E459CB"/>
    <w:rsid w:val="00E45AD5"/>
    <w:rsid w:val="00E46AE8"/>
    <w:rsid w:val="00E474DE"/>
    <w:rsid w:val="00E47529"/>
    <w:rsid w:val="00E476DC"/>
    <w:rsid w:val="00E501CC"/>
    <w:rsid w:val="00E508B0"/>
    <w:rsid w:val="00E509BA"/>
    <w:rsid w:val="00E51769"/>
    <w:rsid w:val="00E52366"/>
    <w:rsid w:val="00E541D4"/>
    <w:rsid w:val="00E547D7"/>
    <w:rsid w:val="00E55AC2"/>
    <w:rsid w:val="00E55C32"/>
    <w:rsid w:val="00E571B2"/>
    <w:rsid w:val="00E6001C"/>
    <w:rsid w:val="00E60714"/>
    <w:rsid w:val="00E60882"/>
    <w:rsid w:val="00E60D4D"/>
    <w:rsid w:val="00E61666"/>
    <w:rsid w:val="00E6235D"/>
    <w:rsid w:val="00E6308D"/>
    <w:rsid w:val="00E63749"/>
    <w:rsid w:val="00E63D53"/>
    <w:rsid w:val="00E641A5"/>
    <w:rsid w:val="00E64C71"/>
    <w:rsid w:val="00E64F4A"/>
    <w:rsid w:val="00E65C00"/>
    <w:rsid w:val="00E67A9B"/>
    <w:rsid w:val="00E67E59"/>
    <w:rsid w:val="00E70B9F"/>
    <w:rsid w:val="00E713F1"/>
    <w:rsid w:val="00E71A85"/>
    <w:rsid w:val="00E71DFF"/>
    <w:rsid w:val="00E7283E"/>
    <w:rsid w:val="00E72FD9"/>
    <w:rsid w:val="00E733B2"/>
    <w:rsid w:val="00E73917"/>
    <w:rsid w:val="00E744EC"/>
    <w:rsid w:val="00E74B25"/>
    <w:rsid w:val="00E75374"/>
    <w:rsid w:val="00E76538"/>
    <w:rsid w:val="00E7675B"/>
    <w:rsid w:val="00E76BD4"/>
    <w:rsid w:val="00E77E5B"/>
    <w:rsid w:val="00E80EAA"/>
    <w:rsid w:val="00E81275"/>
    <w:rsid w:val="00E829F0"/>
    <w:rsid w:val="00E833F6"/>
    <w:rsid w:val="00E8345B"/>
    <w:rsid w:val="00E83C42"/>
    <w:rsid w:val="00E8412F"/>
    <w:rsid w:val="00E84191"/>
    <w:rsid w:val="00E85A42"/>
    <w:rsid w:val="00E87620"/>
    <w:rsid w:val="00E879BF"/>
    <w:rsid w:val="00E87BD5"/>
    <w:rsid w:val="00E900AF"/>
    <w:rsid w:val="00E91A8A"/>
    <w:rsid w:val="00E92692"/>
    <w:rsid w:val="00E934CC"/>
    <w:rsid w:val="00E93A84"/>
    <w:rsid w:val="00E93DB6"/>
    <w:rsid w:val="00E93EDC"/>
    <w:rsid w:val="00E94162"/>
    <w:rsid w:val="00E94F3F"/>
    <w:rsid w:val="00E956A5"/>
    <w:rsid w:val="00E96435"/>
    <w:rsid w:val="00EA0560"/>
    <w:rsid w:val="00EA14A6"/>
    <w:rsid w:val="00EA1A2C"/>
    <w:rsid w:val="00EA1BDC"/>
    <w:rsid w:val="00EA21E4"/>
    <w:rsid w:val="00EA256A"/>
    <w:rsid w:val="00EA3444"/>
    <w:rsid w:val="00EA4122"/>
    <w:rsid w:val="00EA4604"/>
    <w:rsid w:val="00EA49E8"/>
    <w:rsid w:val="00EA4ACC"/>
    <w:rsid w:val="00EA4FBF"/>
    <w:rsid w:val="00EA51A3"/>
    <w:rsid w:val="00EA54C7"/>
    <w:rsid w:val="00EA5683"/>
    <w:rsid w:val="00EA571D"/>
    <w:rsid w:val="00EA609C"/>
    <w:rsid w:val="00EA6A23"/>
    <w:rsid w:val="00EB0D44"/>
    <w:rsid w:val="00EB1CD3"/>
    <w:rsid w:val="00EB2952"/>
    <w:rsid w:val="00EB2A1D"/>
    <w:rsid w:val="00EB2C29"/>
    <w:rsid w:val="00EB2EE3"/>
    <w:rsid w:val="00EB3195"/>
    <w:rsid w:val="00EB390C"/>
    <w:rsid w:val="00EB39B7"/>
    <w:rsid w:val="00EB412C"/>
    <w:rsid w:val="00EB52B6"/>
    <w:rsid w:val="00EB562C"/>
    <w:rsid w:val="00EB5A83"/>
    <w:rsid w:val="00EB64B2"/>
    <w:rsid w:val="00EB6B9D"/>
    <w:rsid w:val="00EB79B4"/>
    <w:rsid w:val="00EC03D5"/>
    <w:rsid w:val="00EC0B0C"/>
    <w:rsid w:val="00EC1337"/>
    <w:rsid w:val="00EC2E75"/>
    <w:rsid w:val="00EC3338"/>
    <w:rsid w:val="00EC393D"/>
    <w:rsid w:val="00EC3BF7"/>
    <w:rsid w:val="00EC3C3E"/>
    <w:rsid w:val="00EC407E"/>
    <w:rsid w:val="00EC5C08"/>
    <w:rsid w:val="00EC5C2A"/>
    <w:rsid w:val="00EC5F91"/>
    <w:rsid w:val="00EC606C"/>
    <w:rsid w:val="00EC6EAE"/>
    <w:rsid w:val="00EC6F41"/>
    <w:rsid w:val="00ED0D85"/>
    <w:rsid w:val="00ED205E"/>
    <w:rsid w:val="00ED213F"/>
    <w:rsid w:val="00ED297A"/>
    <w:rsid w:val="00ED3996"/>
    <w:rsid w:val="00ED3B82"/>
    <w:rsid w:val="00ED4020"/>
    <w:rsid w:val="00ED487E"/>
    <w:rsid w:val="00ED7729"/>
    <w:rsid w:val="00EE02E8"/>
    <w:rsid w:val="00EE1533"/>
    <w:rsid w:val="00EE1FD3"/>
    <w:rsid w:val="00EE26B5"/>
    <w:rsid w:val="00EE2A53"/>
    <w:rsid w:val="00EE2A60"/>
    <w:rsid w:val="00EE3019"/>
    <w:rsid w:val="00EE4683"/>
    <w:rsid w:val="00EE469F"/>
    <w:rsid w:val="00EE5AC2"/>
    <w:rsid w:val="00EE69AB"/>
    <w:rsid w:val="00EE6BF3"/>
    <w:rsid w:val="00EE7B67"/>
    <w:rsid w:val="00EE7C10"/>
    <w:rsid w:val="00EE7CEF"/>
    <w:rsid w:val="00EE7F2A"/>
    <w:rsid w:val="00EF03E4"/>
    <w:rsid w:val="00EF19B7"/>
    <w:rsid w:val="00EF217F"/>
    <w:rsid w:val="00EF240F"/>
    <w:rsid w:val="00EF2663"/>
    <w:rsid w:val="00EF4207"/>
    <w:rsid w:val="00EF46B3"/>
    <w:rsid w:val="00EF4B1C"/>
    <w:rsid w:val="00EF4FC5"/>
    <w:rsid w:val="00EF5CD5"/>
    <w:rsid w:val="00EF6386"/>
    <w:rsid w:val="00EF661F"/>
    <w:rsid w:val="00EF67ED"/>
    <w:rsid w:val="00EF7591"/>
    <w:rsid w:val="00EF7B1E"/>
    <w:rsid w:val="00EF7E98"/>
    <w:rsid w:val="00F0051B"/>
    <w:rsid w:val="00F00A11"/>
    <w:rsid w:val="00F010AE"/>
    <w:rsid w:val="00F0204C"/>
    <w:rsid w:val="00F02DB4"/>
    <w:rsid w:val="00F02F1A"/>
    <w:rsid w:val="00F03285"/>
    <w:rsid w:val="00F042FF"/>
    <w:rsid w:val="00F043C3"/>
    <w:rsid w:val="00F05979"/>
    <w:rsid w:val="00F05B84"/>
    <w:rsid w:val="00F07973"/>
    <w:rsid w:val="00F100B6"/>
    <w:rsid w:val="00F10177"/>
    <w:rsid w:val="00F10403"/>
    <w:rsid w:val="00F11807"/>
    <w:rsid w:val="00F12DDC"/>
    <w:rsid w:val="00F13D78"/>
    <w:rsid w:val="00F13E09"/>
    <w:rsid w:val="00F142FB"/>
    <w:rsid w:val="00F143B7"/>
    <w:rsid w:val="00F1469E"/>
    <w:rsid w:val="00F14703"/>
    <w:rsid w:val="00F153A3"/>
    <w:rsid w:val="00F15E4C"/>
    <w:rsid w:val="00F163F9"/>
    <w:rsid w:val="00F1758B"/>
    <w:rsid w:val="00F1777F"/>
    <w:rsid w:val="00F177E9"/>
    <w:rsid w:val="00F17C7C"/>
    <w:rsid w:val="00F2116C"/>
    <w:rsid w:val="00F211CC"/>
    <w:rsid w:val="00F212EF"/>
    <w:rsid w:val="00F21901"/>
    <w:rsid w:val="00F22641"/>
    <w:rsid w:val="00F22E40"/>
    <w:rsid w:val="00F24744"/>
    <w:rsid w:val="00F247F4"/>
    <w:rsid w:val="00F24C9D"/>
    <w:rsid w:val="00F27CE8"/>
    <w:rsid w:val="00F3073D"/>
    <w:rsid w:val="00F30B58"/>
    <w:rsid w:val="00F3114D"/>
    <w:rsid w:val="00F3173E"/>
    <w:rsid w:val="00F3318E"/>
    <w:rsid w:val="00F331A1"/>
    <w:rsid w:val="00F34E97"/>
    <w:rsid w:val="00F376F5"/>
    <w:rsid w:val="00F37C26"/>
    <w:rsid w:val="00F405D9"/>
    <w:rsid w:val="00F40602"/>
    <w:rsid w:val="00F407A6"/>
    <w:rsid w:val="00F41094"/>
    <w:rsid w:val="00F41406"/>
    <w:rsid w:val="00F41896"/>
    <w:rsid w:val="00F41E66"/>
    <w:rsid w:val="00F42AB7"/>
    <w:rsid w:val="00F4350D"/>
    <w:rsid w:val="00F438FE"/>
    <w:rsid w:val="00F457C3"/>
    <w:rsid w:val="00F45DBE"/>
    <w:rsid w:val="00F4622E"/>
    <w:rsid w:val="00F46A35"/>
    <w:rsid w:val="00F47305"/>
    <w:rsid w:val="00F47956"/>
    <w:rsid w:val="00F47B1A"/>
    <w:rsid w:val="00F50B7A"/>
    <w:rsid w:val="00F5123A"/>
    <w:rsid w:val="00F51743"/>
    <w:rsid w:val="00F51774"/>
    <w:rsid w:val="00F5271B"/>
    <w:rsid w:val="00F52B35"/>
    <w:rsid w:val="00F52CC6"/>
    <w:rsid w:val="00F54633"/>
    <w:rsid w:val="00F5486B"/>
    <w:rsid w:val="00F54F08"/>
    <w:rsid w:val="00F55A9E"/>
    <w:rsid w:val="00F56036"/>
    <w:rsid w:val="00F56093"/>
    <w:rsid w:val="00F60735"/>
    <w:rsid w:val="00F609B3"/>
    <w:rsid w:val="00F6178F"/>
    <w:rsid w:val="00F62D43"/>
    <w:rsid w:val="00F62F94"/>
    <w:rsid w:val="00F63CD8"/>
    <w:rsid w:val="00F63D49"/>
    <w:rsid w:val="00F66068"/>
    <w:rsid w:val="00F662AA"/>
    <w:rsid w:val="00F668E6"/>
    <w:rsid w:val="00F67357"/>
    <w:rsid w:val="00F679AF"/>
    <w:rsid w:val="00F7061C"/>
    <w:rsid w:val="00F7171C"/>
    <w:rsid w:val="00F72F27"/>
    <w:rsid w:val="00F731B7"/>
    <w:rsid w:val="00F748E4"/>
    <w:rsid w:val="00F74AAF"/>
    <w:rsid w:val="00F75BD9"/>
    <w:rsid w:val="00F75E90"/>
    <w:rsid w:val="00F76771"/>
    <w:rsid w:val="00F76AD3"/>
    <w:rsid w:val="00F76CF1"/>
    <w:rsid w:val="00F77BB4"/>
    <w:rsid w:val="00F80307"/>
    <w:rsid w:val="00F80866"/>
    <w:rsid w:val="00F8160D"/>
    <w:rsid w:val="00F834A2"/>
    <w:rsid w:val="00F83731"/>
    <w:rsid w:val="00F854EC"/>
    <w:rsid w:val="00F85A48"/>
    <w:rsid w:val="00F86C27"/>
    <w:rsid w:val="00F86ED2"/>
    <w:rsid w:val="00F86F04"/>
    <w:rsid w:val="00F87276"/>
    <w:rsid w:val="00F872AE"/>
    <w:rsid w:val="00F873E6"/>
    <w:rsid w:val="00F906E9"/>
    <w:rsid w:val="00F90E03"/>
    <w:rsid w:val="00F90EEE"/>
    <w:rsid w:val="00F91815"/>
    <w:rsid w:val="00F91ED0"/>
    <w:rsid w:val="00F928F0"/>
    <w:rsid w:val="00F92BFB"/>
    <w:rsid w:val="00F93A7C"/>
    <w:rsid w:val="00F9407C"/>
    <w:rsid w:val="00F949D3"/>
    <w:rsid w:val="00F94BA1"/>
    <w:rsid w:val="00F94F46"/>
    <w:rsid w:val="00F9543C"/>
    <w:rsid w:val="00F95515"/>
    <w:rsid w:val="00F9571F"/>
    <w:rsid w:val="00F95993"/>
    <w:rsid w:val="00F96062"/>
    <w:rsid w:val="00F9655D"/>
    <w:rsid w:val="00F96852"/>
    <w:rsid w:val="00FA01C0"/>
    <w:rsid w:val="00FA0C12"/>
    <w:rsid w:val="00FA0CE1"/>
    <w:rsid w:val="00FA0D61"/>
    <w:rsid w:val="00FA1F81"/>
    <w:rsid w:val="00FA2D70"/>
    <w:rsid w:val="00FA39D3"/>
    <w:rsid w:val="00FA3AD0"/>
    <w:rsid w:val="00FA3F97"/>
    <w:rsid w:val="00FA40A7"/>
    <w:rsid w:val="00FA5A86"/>
    <w:rsid w:val="00FA634D"/>
    <w:rsid w:val="00FA64B2"/>
    <w:rsid w:val="00FA6547"/>
    <w:rsid w:val="00FA6DD1"/>
    <w:rsid w:val="00FA73E7"/>
    <w:rsid w:val="00FA7F1B"/>
    <w:rsid w:val="00FB0E57"/>
    <w:rsid w:val="00FB1849"/>
    <w:rsid w:val="00FB1937"/>
    <w:rsid w:val="00FB1BE5"/>
    <w:rsid w:val="00FB2AEC"/>
    <w:rsid w:val="00FB2B05"/>
    <w:rsid w:val="00FB3845"/>
    <w:rsid w:val="00FB415A"/>
    <w:rsid w:val="00FB46A6"/>
    <w:rsid w:val="00FB4B29"/>
    <w:rsid w:val="00FB4F89"/>
    <w:rsid w:val="00FB6295"/>
    <w:rsid w:val="00FB64C9"/>
    <w:rsid w:val="00FB6C2D"/>
    <w:rsid w:val="00FC0804"/>
    <w:rsid w:val="00FC0A38"/>
    <w:rsid w:val="00FC1391"/>
    <w:rsid w:val="00FC1CE1"/>
    <w:rsid w:val="00FC1FAC"/>
    <w:rsid w:val="00FC2AC1"/>
    <w:rsid w:val="00FC2B8A"/>
    <w:rsid w:val="00FC30BC"/>
    <w:rsid w:val="00FC4BC9"/>
    <w:rsid w:val="00FC542E"/>
    <w:rsid w:val="00FC553C"/>
    <w:rsid w:val="00FC5995"/>
    <w:rsid w:val="00FC6CA5"/>
    <w:rsid w:val="00FD0724"/>
    <w:rsid w:val="00FD20E5"/>
    <w:rsid w:val="00FD23DF"/>
    <w:rsid w:val="00FD2B0C"/>
    <w:rsid w:val="00FD2B58"/>
    <w:rsid w:val="00FD2E16"/>
    <w:rsid w:val="00FD3B20"/>
    <w:rsid w:val="00FD3CCF"/>
    <w:rsid w:val="00FD46EF"/>
    <w:rsid w:val="00FD4AD4"/>
    <w:rsid w:val="00FD4B92"/>
    <w:rsid w:val="00FD4DCD"/>
    <w:rsid w:val="00FD5177"/>
    <w:rsid w:val="00FD5CE9"/>
    <w:rsid w:val="00FD5DFD"/>
    <w:rsid w:val="00FD6CF7"/>
    <w:rsid w:val="00FD6D02"/>
    <w:rsid w:val="00FE05EB"/>
    <w:rsid w:val="00FE1AE7"/>
    <w:rsid w:val="00FE212F"/>
    <w:rsid w:val="00FE2857"/>
    <w:rsid w:val="00FE2AC2"/>
    <w:rsid w:val="00FE362A"/>
    <w:rsid w:val="00FE3BAA"/>
    <w:rsid w:val="00FE3F27"/>
    <w:rsid w:val="00FE4BA9"/>
    <w:rsid w:val="00FE6208"/>
    <w:rsid w:val="00FF0CC7"/>
    <w:rsid w:val="00FF1169"/>
    <w:rsid w:val="00FF1A10"/>
    <w:rsid w:val="00FF1F50"/>
    <w:rsid w:val="00FF4D8B"/>
    <w:rsid w:val="00FF5ED7"/>
    <w:rsid w:val="00FF5FC6"/>
    <w:rsid w:val="00FF68B4"/>
    <w:rsid w:val="00FF6F70"/>
    <w:rsid w:val="00FF748B"/>
    <w:rsid w:val="00FF75A8"/>
    <w:rsid w:val="00FF76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f,#0c0"/>
    </o:shapedefaults>
    <o:shapelayout v:ext="edit">
      <o:idmap v:ext="edit" data="1"/>
    </o:shapelayout>
  </w:shapeDefaults>
  <w:decimalSymbol w:val="."/>
  <w:listSeparator w:val=","/>
  <w15:docId w15:val="{2427C5C1-9E7E-4337-9C1C-D16500A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rsid w:val="0044627B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F90E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0E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63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283FD5"/>
  </w:style>
  <w:style w:type="character" w:styleId="Refdenotaalpie">
    <w:name w:val="footnote reference"/>
    <w:semiHidden/>
    <w:rsid w:val="00283FD5"/>
    <w:rPr>
      <w:vertAlign w:val="superscript"/>
    </w:rPr>
  </w:style>
  <w:style w:type="paragraph" w:styleId="Textonotaalfinal">
    <w:name w:val="endnote text"/>
    <w:basedOn w:val="Normal"/>
    <w:semiHidden/>
    <w:rsid w:val="004A0848"/>
  </w:style>
  <w:style w:type="character" w:styleId="Refdenotaalfinal">
    <w:name w:val="endnote reference"/>
    <w:semiHidden/>
    <w:rsid w:val="004A0848"/>
    <w:rPr>
      <w:vertAlign w:val="superscript"/>
    </w:rPr>
  </w:style>
  <w:style w:type="paragraph" w:styleId="Lista">
    <w:name w:val="List"/>
    <w:basedOn w:val="Normal"/>
    <w:rsid w:val="005E3EFA"/>
    <w:pPr>
      <w:ind w:left="283" w:hanging="283"/>
    </w:pPr>
    <w:rPr>
      <w:sz w:val="24"/>
      <w:szCs w:val="24"/>
    </w:rPr>
  </w:style>
  <w:style w:type="paragraph" w:styleId="Lista2">
    <w:name w:val="List 2"/>
    <w:basedOn w:val="Normal"/>
    <w:rsid w:val="005E3EFA"/>
    <w:pPr>
      <w:ind w:left="566" w:hanging="283"/>
    </w:pPr>
    <w:rPr>
      <w:sz w:val="24"/>
      <w:szCs w:val="24"/>
    </w:rPr>
  </w:style>
  <w:style w:type="paragraph" w:customStyle="1" w:styleId="ListaCC">
    <w:name w:val="Lista CC."/>
    <w:basedOn w:val="Normal"/>
    <w:rsid w:val="005E3EFA"/>
    <w:rPr>
      <w:sz w:val="24"/>
      <w:szCs w:val="24"/>
    </w:rPr>
  </w:style>
  <w:style w:type="paragraph" w:styleId="Textoindependiente">
    <w:name w:val="Body Text"/>
    <w:basedOn w:val="Normal"/>
    <w:rsid w:val="005E3EFA"/>
    <w:pPr>
      <w:spacing w:after="120"/>
    </w:pPr>
    <w:rPr>
      <w:sz w:val="24"/>
      <w:szCs w:val="24"/>
    </w:rPr>
  </w:style>
  <w:style w:type="paragraph" w:styleId="Sangradetextonormal">
    <w:name w:val="Body Text Indent"/>
    <w:basedOn w:val="Normal"/>
    <w:rsid w:val="005E3EFA"/>
    <w:pPr>
      <w:spacing w:after="120"/>
      <w:ind w:left="283"/>
    </w:pPr>
    <w:rPr>
      <w:sz w:val="24"/>
      <w:szCs w:val="24"/>
    </w:rPr>
  </w:style>
  <w:style w:type="paragraph" w:styleId="Encabezadodemensaje">
    <w:name w:val="Message Header"/>
    <w:basedOn w:val="Textoindependiente"/>
    <w:link w:val="EncabezadodemensajeCar"/>
    <w:rsid w:val="00040909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040909"/>
    <w:rPr>
      <w:rFonts w:ascii="Arial Black" w:hAnsi="Arial Black"/>
      <w:spacing w:val="-10"/>
      <w:sz w:val="18"/>
    </w:rPr>
  </w:style>
  <w:style w:type="character" w:styleId="Nmerodepgina">
    <w:name w:val="page number"/>
    <w:basedOn w:val="Fuentedeprrafopredeter"/>
    <w:rsid w:val="0028559D"/>
  </w:style>
  <w:style w:type="table" w:styleId="Tablabsica1">
    <w:name w:val="Table Simple 1"/>
    <w:basedOn w:val="Tablanormal"/>
    <w:rsid w:val="00A4213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demensajeCar">
    <w:name w:val="Encabezado de mensaje Car"/>
    <w:link w:val="Encabezadodemensaje"/>
    <w:rsid w:val="001F3BC0"/>
    <w:rPr>
      <w:rFonts w:ascii="Arial" w:eastAsia="Batang" w:hAnsi="Arial"/>
      <w:spacing w:val="-5"/>
      <w:lang w:val="es-ES" w:eastAsia="en-US"/>
    </w:rPr>
  </w:style>
  <w:style w:type="table" w:styleId="Tablaclsica3">
    <w:name w:val="Table Classic 3"/>
    <w:basedOn w:val="Tablanormal"/>
    <w:rsid w:val="008C0E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4358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58D8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6755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81C2B"/>
    <w:pPr>
      <w:spacing w:before="100" w:beforeAutospacing="1" w:after="100" w:afterAutospacing="1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FECE-E2E9-41D4-980F-76A39410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1396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DE PROTECCION DE LISIADOS Y DISCAPACITADOS</vt:lpstr>
    </vt:vector>
  </TitlesOfParts>
  <Company>INFORMATICA-FONDO DE LISIADOS</Company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PROTECCION DE LISIADOS Y DISCAPACITADOS</dc:title>
  <dc:subject/>
  <dc:creator>Ulises Montoya</dc:creator>
  <cp:keywords/>
  <dc:description/>
  <cp:lastModifiedBy>Irma Noemi Estevez Posada</cp:lastModifiedBy>
  <cp:revision>30</cp:revision>
  <cp:lastPrinted>2020-02-18T18:34:00Z</cp:lastPrinted>
  <dcterms:created xsi:type="dcterms:W3CDTF">2022-03-09T19:57:00Z</dcterms:created>
  <dcterms:modified xsi:type="dcterms:W3CDTF">2022-03-10T16:49:00Z</dcterms:modified>
</cp:coreProperties>
</file>