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1C3E09" w:rsidRPr="006B0321" w:rsidRDefault="001C3E09" w:rsidP="001C3E09">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1C3E09" w:rsidRPr="006B0321" w:rsidRDefault="001C3E09" w:rsidP="001C3E09">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1C3E09" w:rsidRPr="006B0321" w:rsidRDefault="001C3E09" w:rsidP="001C3E09">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1C3E09" w:rsidRPr="006B0321" w:rsidRDefault="001C3E09" w:rsidP="001C3E09">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1C3E09" w:rsidRPr="006B0321" w:rsidRDefault="001C3E09" w:rsidP="001C3E09">
      <w:pPr>
        <w:spacing w:after="0" w:line="840" w:lineRule="exact"/>
        <w:ind w:left="1530" w:right="1532"/>
        <w:jc w:val="center"/>
        <w:rPr>
          <w:rFonts w:ascii="Calibri" w:eastAsia="Calibri" w:hAnsi="Calibri" w:cs="Calibri"/>
          <w:b/>
          <w:position w:val="3"/>
          <w:sz w:val="72"/>
          <w:szCs w:val="72"/>
        </w:rPr>
      </w:pPr>
    </w:p>
    <w:p w:rsidR="001C3E09" w:rsidRPr="006B0321" w:rsidRDefault="001C3E09" w:rsidP="001C3E09">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1C3E09" w:rsidRPr="006B0321" w:rsidRDefault="001C3E09" w:rsidP="001C3E09">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1C3E09" w:rsidRDefault="001C3E09" w:rsidP="001C3E09">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1C3E09" w:rsidRDefault="001C3E09"/>
    <w:p w:rsidR="001C3E09" w:rsidRDefault="001C3E09"/>
    <w:p w:rsidR="001C3E09" w:rsidRDefault="001C3E09"/>
    <w:p w:rsidR="001C3E09" w:rsidRDefault="001C3E09"/>
    <w:p w:rsidR="001C3E09" w:rsidRDefault="001C3E09"/>
    <w:p w:rsidR="001C3E09" w:rsidRDefault="001C3E09" w:rsidP="001C3E09">
      <w:pPr>
        <w:keepNext/>
        <w:spacing w:after="0" w:line="240" w:lineRule="exact"/>
        <w:outlineLvl w:val="3"/>
        <w:rPr>
          <w:rFonts w:ascii="Arial" w:eastAsia="Arial Unicode MS" w:hAnsi="Arial" w:cs="Arial"/>
          <w:b/>
          <w:bCs/>
          <w:sz w:val="24"/>
          <w:szCs w:val="24"/>
          <w:lang w:eastAsia="es-ES"/>
        </w:rPr>
      </w:pPr>
    </w:p>
    <w:p w:rsidR="001C3E09" w:rsidRDefault="001C3E09" w:rsidP="001C3E09">
      <w:pPr>
        <w:keepNext/>
        <w:spacing w:after="0" w:line="240" w:lineRule="exact"/>
        <w:outlineLvl w:val="3"/>
        <w:rPr>
          <w:rFonts w:ascii="Arial" w:eastAsia="Arial Unicode MS" w:hAnsi="Arial" w:cs="Arial"/>
          <w:b/>
          <w:bCs/>
          <w:sz w:val="24"/>
          <w:szCs w:val="24"/>
          <w:lang w:eastAsia="es-ES"/>
        </w:rPr>
      </w:pPr>
    </w:p>
    <w:p w:rsidR="001C3E09" w:rsidRPr="001C3E09" w:rsidRDefault="001C3E09" w:rsidP="001C3E09">
      <w:pPr>
        <w:keepNext/>
        <w:spacing w:after="0" w:line="240" w:lineRule="exact"/>
        <w:outlineLvl w:val="3"/>
        <w:rPr>
          <w:rFonts w:ascii="Arial" w:eastAsia="Arial Unicode MS" w:hAnsi="Arial" w:cs="Arial"/>
          <w:b/>
          <w:bCs/>
          <w:sz w:val="24"/>
          <w:szCs w:val="24"/>
          <w:lang w:eastAsia="es-ES"/>
        </w:rPr>
      </w:pPr>
      <w:r>
        <w:rPr>
          <w:rFonts w:ascii="Arial" w:eastAsia="Arial Unicode MS" w:hAnsi="Arial" w:cs="Arial"/>
          <w:b/>
          <w:bCs/>
          <w:sz w:val="24"/>
          <w:szCs w:val="24"/>
          <w:lang w:eastAsia="es-ES"/>
        </w:rPr>
        <w:t>S</w:t>
      </w:r>
      <w:r w:rsidRPr="001C3E09">
        <w:rPr>
          <w:rFonts w:ascii="Arial" w:eastAsia="Arial Unicode MS" w:hAnsi="Arial" w:cs="Arial"/>
          <w:b/>
          <w:bCs/>
          <w:sz w:val="24"/>
          <w:szCs w:val="24"/>
          <w:lang w:eastAsia="es-ES"/>
        </w:rPr>
        <w:t>E HA EMITIDO EL ACUERDO QUE DICE:</w:t>
      </w:r>
    </w:p>
    <w:p w:rsidR="001C3E09" w:rsidRPr="001C3E09" w:rsidRDefault="001C3E09" w:rsidP="001C3E09">
      <w:pPr>
        <w:spacing w:after="0" w:line="240" w:lineRule="auto"/>
        <w:rPr>
          <w:rFonts w:ascii="Arial" w:eastAsia="Times New Roman" w:hAnsi="Arial" w:cs="Times New Roman"/>
          <w:sz w:val="24"/>
          <w:szCs w:val="24"/>
          <w:lang w:eastAsia="es-ES"/>
        </w:rPr>
      </w:pPr>
    </w:p>
    <w:p w:rsidR="001C3E09" w:rsidRPr="001C3E09" w:rsidRDefault="001C3E09" w:rsidP="001C3E09">
      <w:pPr>
        <w:spacing w:after="0" w:line="240" w:lineRule="auto"/>
        <w:rPr>
          <w:rFonts w:ascii="Arial" w:eastAsia="Times New Roman" w:hAnsi="Arial" w:cs="Times New Roman"/>
          <w:sz w:val="24"/>
          <w:szCs w:val="24"/>
          <w:lang w:eastAsia="es-ES"/>
        </w:rPr>
      </w:pPr>
    </w:p>
    <w:p w:rsidR="001C3E09" w:rsidRPr="001C3E09" w:rsidRDefault="001C3E09" w:rsidP="001C3E09">
      <w:pPr>
        <w:spacing w:after="0" w:line="240" w:lineRule="auto"/>
        <w:jc w:val="both"/>
        <w:rPr>
          <w:rFonts w:ascii="Arial" w:eastAsia="Calibri" w:hAnsi="Arial" w:cs="Arial"/>
          <w:b/>
          <w:sz w:val="24"/>
          <w:szCs w:val="24"/>
          <w:lang w:eastAsia="es-ES"/>
        </w:rPr>
      </w:pPr>
    </w:p>
    <w:p w:rsidR="001C3E09" w:rsidRDefault="001C3E09" w:rsidP="001C3E09">
      <w:pPr>
        <w:tabs>
          <w:tab w:val="left" w:pos="426"/>
        </w:tabs>
        <w:spacing w:after="0" w:line="240" w:lineRule="auto"/>
        <w:contextualSpacing/>
        <w:jc w:val="both"/>
        <w:rPr>
          <w:rFonts w:ascii="Arial" w:eastAsia="Calibri" w:hAnsi="Arial" w:cs="Times New Roman"/>
          <w:sz w:val="24"/>
          <w:szCs w:val="24"/>
          <w:lang w:val="es-ES" w:eastAsia="es-ES"/>
        </w:rPr>
      </w:pPr>
      <w:r w:rsidRPr="001C3E09">
        <w:rPr>
          <w:rFonts w:ascii="Arial" w:eastAsia="Calibri" w:hAnsi="Arial" w:cs="Arial"/>
          <w:b/>
          <w:sz w:val="24"/>
          <w:szCs w:val="24"/>
          <w:lang w:val="es-ES" w:eastAsia="es-ES"/>
        </w:rPr>
        <w:t xml:space="preserve">San Salvador, 09 de septiembre de 2021, ACTA No. 34.09.2021, ACUERDO No. 591.09.2021. La Junta Directiva del Fondo de Protección de Lisiados y Discapacitados a Consecuencia del Conflicto Armado, </w:t>
      </w:r>
      <w:r w:rsidRPr="001C3E09">
        <w:rPr>
          <w:rFonts w:ascii="Arial" w:eastAsia="Calibri" w:hAnsi="Arial" w:cs="Arial"/>
          <w:sz w:val="24"/>
          <w:szCs w:val="24"/>
          <w:lang w:val="es-ES" w:eastAsia="es-ES"/>
        </w:rPr>
        <w:t>con el voto favorable de los Directivos Propietarios Representantes de:</w:t>
      </w:r>
      <w:r w:rsidRPr="001C3E09">
        <w:rPr>
          <w:rFonts w:ascii="Arial" w:eastAsia="Calibri" w:hAnsi="Arial" w:cs="Arial"/>
          <w:b/>
          <w:sz w:val="24"/>
          <w:szCs w:val="24"/>
          <w:lang w:val="es-ES" w:eastAsia="es-ES"/>
        </w:rPr>
        <w:t xml:space="preserve"> </w:t>
      </w:r>
      <w:r w:rsidRPr="001C3E09">
        <w:rPr>
          <w:rFonts w:ascii="Arial" w:eastAsia="Calibri" w:hAnsi="Arial" w:cs="Arial"/>
          <w:b/>
          <w:sz w:val="24"/>
          <w:szCs w:val="24"/>
          <w:lang w:val="es-ES" w:eastAsia="es-SV"/>
        </w:rPr>
        <w:t xml:space="preserve">ALFAES, ALGES </w:t>
      </w:r>
      <w:r w:rsidRPr="001C3E09">
        <w:rPr>
          <w:rFonts w:ascii="Arial" w:eastAsia="Calibri" w:hAnsi="Arial" w:cs="Arial"/>
          <w:sz w:val="24"/>
          <w:szCs w:val="24"/>
          <w:lang w:val="es-ES" w:eastAsia="es-SV"/>
        </w:rPr>
        <w:t>y el</w:t>
      </w:r>
      <w:r w:rsidRPr="001C3E09">
        <w:rPr>
          <w:rFonts w:ascii="Arial" w:eastAsia="Calibri" w:hAnsi="Arial" w:cs="Arial"/>
          <w:b/>
          <w:sz w:val="24"/>
          <w:szCs w:val="24"/>
          <w:lang w:val="es-ES" w:eastAsia="es-SV"/>
        </w:rPr>
        <w:t xml:space="preserve"> Presidente; </w:t>
      </w:r>
      <w:r w:rsidRPr="001C3E09">
        <w:rPr>
          <w:rFonts w:ascii="Arial" w:eastAsia="Calibri" w:hAnsi="Arial" w:cs="Arial"/>
          <w:sz w:val="24"/>
          <w:szCs w:val="24"/>
          <w:lang w:val="es-ES" w:eastAsia="es-SV"/>
        </w:rPr>
        <w:t xml:space="preserve">y las Directivos Suplentes de: </w:t>
      </w:r>
      <w:r w:rsidRPr="001C3E09">
        <w:rPr>
          <w:rFonts w:ascii="Arial" w:eastAsia="Calibri" w:hAnsi="Arial" w:cs="Arial"/>
          <w:b/>
          <w:sz w:val="24"/>
          <w:szCs w:val="24"/>
          <w:lang w:val="es-ES" w:eastAsia="es-SV"/>
        </w:rPr>
        <w:t>IPSFA</w:t>
      </w:r>
      <w:r w:rsidRPr="001C3E09">
        <w:rPr>
          <w:rFonts w:ascii="Arial" w:eastAsia="Calibri" w:hAnsi="Arial" w:cs="Arial"/>
          <w:sz w:val="24"/>
          <w:szCs w:val="24"/>
          <w:lang w:val="es-ES" w:eastAsia="es-SV"/>
        </w:rPr>
        <w:t xml:space="preserve"> y </w:t>
      </w:r>
      <w:r w:rsidRPr="001C3E09">
        <w:rPr>
          <w:rFonts w:ascii="Arial" w:eastAsia="Calibri" w:hAnsi="Arial" w:cs="Arial"/>
          <w:b/>
          <w:sz w:val="24"/>
          <w:szCs w:val="24"/>
          <w:lang w:val="es-ES" w:eastAsia="es-SV"/>
        </w:rPr>
        <w:t xml:space="preserve">MINSAL, </w:t>
      </w:r>
      <w:r w:rsidRPr="001C3E09">
        <w:rPr>
          <w:rFonts w:ascii="Arial" w:eastAsia="Calibri" w:hAnsi="Arial" w:cs="Arial"/>
          <w:sz w:val="24"/>
          <w:szCs w:val="24"/>
          <w:lang w:val="es-ES" w:eastAsia="es-SV"/>
        </w:rPr>
        <w:t xml:space="preserve">la abstención del Directivo Suplente de </w:t>
      </w:r>
      <w:r w:rsidRPr="001C3E09">
        <w:rPr>
          <w:rFonts w:ascii="Arial" w:eastAsia="Calibri" w:hAnsi="Arial" w:cs="Arial"/>
          <w:b/>
          <w:sz w:val="24"/>
          <w:szCs w:val="24"/>
          <w:lang w:val="es-ES" w:eastAsia="es-SV"/>
        </w:rPr>
        <w:t xml:space="preserve">AOSSTALGFAES; </w:t>
      </w:r>
      <w:r w:rsidRPr="001C3E09">
        <w:rPr>
          <w:rFonts w:ascii="Arial" w:eastAsia="Calibri" w:hAnsi="Arial" w:cs="Arial"/>
          <w:sz w:val="24"/>
          <w:szCs w:val="24"/>
          <w:lang w:val="es-ES" w:eastAsia="es-SV"/>
        </w:rPr>
        <w:t>y en el caso del Directivo Propietario de</w:t>
      </w:r>
      <w:r w:rsidRPr="001C3E09">
        <w:rPr>
          <w:rFonts w:ascii="Arial" w:eastAsia="Calibri" w:hAnsi="Arial" w:cs="Arial"/>
          <w:b/>
          <w:sz w:val="24"/>
          <w:szCs w:val="24"/>
          <w:lang w:val="es-ES" w:eastAsia="es-SV"/>
        </w:rPr>
        <w:t xml:space="preserve"> ASALDIG </w:t>
      </w:r>
      <w:r w:rsidRPr="001C3E09">
        <w:rPr>
          <w:rFonts w:ascii="Arial" w:eastAsia="Calibri" w:hAnsi="Arial" w:cs="Arial"/>
          <w:sz w:val="24"/>
          <w:szCs w:val="24"/>
          <w:lang w:val="es-ES" w:eastAsia="es-SV"/>
        </w:rPr>
        <w:t>y la Directivo Suplente de</w:t>
      </w:r>
      <w:r w:rsidRPr="001C3E09">
        <w:rPr>
          <w:rFonts w:ascii="Arial" w:eastAsia="Calibri" w:hAnsi="Arial" w:cs="Arial"/>
          <w:b/>
          <w:sz w:val="24"/>
          <w:szCs w:val="24"/>
          <w:lang w:val="es-ES" w:eastAsia="es-SV"/>
        </w:rPr>
        <w:t xml:space="preserve"> ISRI, </w:t>
      </w:r>
      <w:r w:rsidRPr="001C3E09">
        <w:rPr>
          <w:rFonts w:ascii="Arial" w:eastAsia="Calibri" w:hAnsi="Arial" w:cs="Arial"/>
          <w:sz w:val="24"/>
          <w:szCs w:val="24"/>
          <w:lang w:val="es-ES" w:eastAsia="es-SV"/>
        </w:rPr>
        <w:t>voto favorable en los casos de las señoras</w:t>
      </w:r>
      <w:r w:rsidRPr="001C3E09">
        <w:rPr>
          <w:rFonts w:ascii="Arial" w:eastAsia="Calibri" w:hAnsi="Arial" w:cs="Arial"/>
          <w:b/>
          <w:sz w:val="24"/>
          <w:szCs w:val="24"/>
          <w:lang w:val="es-ES" w:eastAsia="es-SV"/>
        </w:rPr>
        <w:t xml:space="preserve"> </w:t>
      </w:r>
      <w:r w:rsidR="008918EE" w:rsidRPr="008918EE">
        <w:rPr>
          <w:rFonts w:ascii="Arial" w:eastAsia="Calibri" w:hAnsi="Arial" w:cs="Arial"/>
          <w:b/>
          <w:sz w:val="24"/>
          <w:szCs w:val="24"/>
          <w:lang w:val="es-ES" w:eastAsia="es-SV"/>
        </w:rPr>
        <w:t>XXXXXXXXXXXXXXXXXXXX</w:t>
      </w:r>
      <w:r w:rsidRPr="001C3E09">
        <w:rPr>
          <w:rFonts w:ascii="Arial" w:eastAsia="Calibri" w:hAnsi="Arial" w:cs="Arial"/>
          <w:sz w:val="24"/>
          <w:szCs w:val="24"/>
          <w:lang w:val="es-ES" w:eastAsia="es-ES"/>
        </w:rPr>
        <w:t xml:space="preserve"> y </w:t>
      </w:r>
      <w:r w:rsidR="008918EE" w:rsidRPr="008918EE">
        <w:rPr>
          <w:rFonts w:ascii="Arial" w:eastAsia="Calibri" w:hAnsi="Arial" w:cs="Arial"/>
          <w:b/>
          <w:sz w:val="24"/>
          <w:szCs w:val="24"/>
          <w:lang w:val="es-ES" w:eastAsia="es-ES"/>
        </w:rPr>
        <w:t>XXXXXXXXXXXXXXXXXXXX</w:t>
      </w:r>
      <w:r w:rsidRPr="001C3E09">
        <w:rPr>
          <w:rFonts w:ascii="Arial" w:eastAsia="Calibri" w:hAnsi="Arial" w:cs="Arial"/>
          <w:bCs/>
          <w:sz w:val="24"/>
          <w:szCs w:val="24"/>
          <w:lang w:val="es-ES" w:eastAsia="es-ES"/>
        </w:rPr>
        <w:t xml:space="preserve"> y voto en contra en el caso del señor</w:t>
      </w:r>
      <w:r w:rsidRPr="001C3E09">
        <w:rPr>
          <w:rFonts w:ascii="Arial" w:eastAsia="Calibri" w:hAnsi="Arial" w:cs="Arial"/>
          <w:b/>
          <w:bCs/>
          <w:sz w:val="24"/>
          <w:szCs w:val="24"/>
          <w:lang w:val="es-ES" w:eastAsia="es-ES"/>
        </w:rPr>
        <w:t xml:space="preserve"> </w:t>
      </w:r>
      <w:r w:rsidR="008918EE" w:rsidRPr="008918EE">
        <w:rPr>
          <w:rFonts w:ascii="Arial" w:eastAsia="Calibri" w:hAnsi="Arial" w:cs="Arial"/>
          <w:b/>
          <w:bCs/>
          <w:sz w:val="24"/>
          <w:szCs w:val="24"/>
          <w:lang w:val="es-ES" w:eastAsia="es-ES"/>
        </w:rPr>
        <w:t>XXXXXXXXXXXXXXXXXXXX</w:t>
      </w:r>
      <w:r w:rsidRPr="001C3E09">
        <w:rPr>
          <w:rFonts w:ascii="Arial" w:eastAsia="Calibri" w:hAnsi="Arial" w:cs="Arial"/>
          <w:b/>
          <w:sz w:val="24"/>
          <w:szCs w:val="24"/>
          <w:lang w:val="es-ES" w:eastAsia="es-ES"/>
        </w:rPr>
        <w:t xml:space="preserve">, </w:t>
      </w:r>
      <w:r w:rsidRPr="001C3E09">
        <w:rPr>
          <w:rFonts w:ascii="Arial" w:eastAsia="Calibri" w:hAnsi="Arial" w:cs="Arial"/>
          <w:sz w:val="24"/>
          <w:szCs w:val="24"/>
          <w:lang w:val="es-ES" w:eastAsia="es-SV"/>
        </w:rPr>
        <w:t>se</w:t>
      </w:r>
      <w:r w:rsidRPr="001C3E09">
        <w:rPr>
          <w:rFonts w:ascii="Arial" w:eastAsia="Calibri" w:hAnsi="Arial" w:cs="Arial"/>
          <w:sz w:val="24"/>
          <w:szCs w:val="24"/>
          <w:lang w:val="es-ES" w:eastAsia="es-ES"/>
        </w:rPr>
        <w:t xml:space="preserve"> emitió y ratificó el acuerdo siguiente: </w:t>
      </w:r>
      <w:r w:rsidRPr="001C3E09">
        <w:rPr>
          <w:rFonts w:ascii="Arial" w:eastAsia="Calibri" w:hAnsi="Arial" w:cs="Times New Roman"/>
          <w:b/>
          <w:sz w:val="24"/>
          <w:szCs w:val="24"/>
          <w:lang w:val="es-ES" w:eastAsia="es-ES"/>
        </w:rPr>
        <w:t>“</w:t>
      </w:r>
      <w:r w:rsidRPr="001C3E09">
        <w:rPr>
          <w:rFonts w:ascii="Arial" w:eastAsia="Calibri" w:hAnsi="Arial" w:cs="Times New Roman"/>
          <w:sz w:val="24"/>
          <w:szCs w:val="24"/>
          <w:lang w:val="es-ES" w:eastAsia="es-ES"/>
        </w:rPr>
        <w:t xml:space="preserve">La Junta Directiva conforme a la propuesta presentada por la Comisión Especial de Apelaciones, con la cual se resuelven los recursos de apelación presentados por tres personas, </w:t>
      </w:r>
      <w:r w:rsidRPr="001C3E09">
        <w:rPr>
          <w:rFonts w:ascii="Arial" w:eastAsia="Calibri" w:hAnsi="Arial" w:cs="Times New Roman"/>
          <w:b/>
          <w:sz w:val="24"/>
          <w:szCs w:val="24"/>
          <w:lang w:val="es-ES" w:eastAsia="es-ES"/>
        </w:rPr>
        <w:t xml:space="preserve">RESUELVE: </w:t>
      </w:r>
      <w:r w:rsidRPr="001C3E09">
        <w:rPr>
          <w:rFonts w:ascii="Arial" w:eastAsia="Calibri" w:hAnsi="Arial" w:cs="Times New Roman"/>
          <w:b/>
          <w:sz w:val="24"/>
          <w:szCs w:val="24"/>
          <w:u w:val="single"/>
          <w:lang w:val="es-ES" w:eastAsia="es-ES"/>
        </w:rPr>
        <w:t>c)</w:t>
      </w:r>
      <w:r w:rsidRPr="001C3E09">
        <w:rPr>
          <w:rFonts w:ascii="Arial" w:eastAsia="Calibri" w:hAnsi="Arial" w:cs="Times New Roman"/>
          <w:sz w:val="24"/>
          <w:szCs w:val="24"/>
          <w:u w:val="single"/>
          <w:lang w:val="es-ES" w:eastAsia="es-ES"/>
        </w:rPr>
        <w:t xml:space="preserve"> Ratificar con 62% de </w:t>
      </w:r>
      <w:r w:rsidR="00EB225F">
        <w:rPr>
          <w:rFonts w:ascii="Arial" w:eastAsia="Calibri" w:hAnsi="Arial" w:cs="Times New Roman"/>
          <w:sz w:val="24"/>
          <w:szCs w:val="24"/>
          <w:u w:val="single"/>
          <w:lang w:val="es-ES" w:eastAsia="es-ES"/>
        </w:rPr>
        <w:t xml:space="preserve">discapacidad global a la señora </w:t>
      </w:r>
      <w:r w:rsidR="00EB225F">
        <w:rPr>
          <w:rFonts w:ascii="Arial" w:eastAsia="Calibri" w:hAnsi="Arial" w:cs="Times New Roman"/>
          <w:sz w:val="23"/>
          <w:szCs w:val="23"/>
          <w:u w:val="single"/>
          <w:lang w:val="es-ES" w:eastAsia="es-ES"/>
        </w:rPr>
        <w:t>XXXXXXXXXXXXXXXXXXXX</w:t>
      </w:r>
      <w:r w:rsidRPr="001C3E09">
        <w:rPr>
          <w:rFonts w:ascii="Arial" w:eastAsia="Calibri" w:hAnsi="Arial" w:cs="Times New Roman"/>
          <w:b/>
          <w:bCs/>
          <w:sz w:val="24"/>
          <w:szCs w:val="24"/>
          <w:u w:val="single"/>
          <w:lang w:val="es-ES" w:eastAsia="es-ES"/>
        </w:rPr>
        <w:t>,</w:t>
      </w:r>
      <w:r w:rsidRPr="001C3E09">
        <w:rPr>
          <w:rFonts w:ascii="Arial" w:eastAsia="Calibri" w:hAnsi="Arial" w:cs="Times New Roman"/>
          <w:bCs/>
          <w:sz w:val="24"/>
          <w:szCs w:val="24"/>
          <w:lang w:val="es-ES" w:eastAsia="es-ES"/>
        </w:rPr>
        <w:t xml:space="preserve"> expediente No. 3756, manteniendo </w:t>
      </w:r>
      <w:r w:rsidRPr="001C3E09">
        <w:rPr>
          <w:rFonts w:ascii="Arial" w:eastAsia="Calibri" w:hAnsi="Arial" w:cs="Times New Roman"/>
          <w:sz w:val="24"/>
          <w:szCs w:val="24"/>
          <w:lang w:val="es-ES" w:eastAsia="es-ES"/>
        </w:rPr>
        <w:t xml:space="preserve">el porcentaje de discapacidad global de SESENTA Y DOS POR CIENTO (62%), dictaminado por la Comisión Técnica Evaluadora en fecha 05 de febrero de 1997; sin embargo, con base a la evaluación física realizada por esta Comisión y en estricto apego a los principios generales de la actividad administrativa regulados en el Art. 3, y en cumplimiento a lo establecido en los Art. 22, 23 </w:t>
      </w:r>
      <w:proofErr w:type="spellStart"/>
      <w:r w:rsidRPr="001C3E09">
        <w:rPr>
          <w:rFonts w:ascii="Arial" w:eastAsia="Calibri" w:hAnsi="Arial" w:cs="Times New Roman"/>
          <w:sz w:val="24"/>
          <w:szCs w:val="24"/>
          <w:lang w:val="es-ES" w:eastAsia="es-ES"/>
        </w:rPr>
        <w:t>lit</w:t>
      </w:r>
      <w:proofErr w:type="spellEnd"/>
      <w:r w:rsidRPr="001C3E09">
        <w:rPr>
          <w:rFonts w:ascii="Arial" w:eastAsia="Calibri" w:hAnsi="Arial" w:cs="Times New Roman"/>
          <w:sz w:val="24"/>
          <w:szCs w:val="24"/>
          <w:lang w:val="es-ES" w:eastAsia="es-ES"/>
        </w:rPr>
        <w:t xml:space="preserve"> c),  129  y 131 de la Ley de Procedimientos Administrativos y con base  el dictamen de los  médicos especialistas que evaluaron a la recurrente el grado de discapacidad global es de VEINTISIETE POR CIENTO (27%): </w:t>
      </w:r>
      <w:r w:rsidRPr="001C3E09">
        <w:rPr>
          <w:rFonts w:ascii="Arial" w:eastAsia="Calibri" w:hAnsi="Arial" w:cs="Times New Roman"/>
          <w:b/>
          <w:sz w:val="24"/>
          <w:szCs w:val="24"/>
          <w:lang w:val="es-ES" w:eastAsia="es-ES"/>
        </w:rPr>
        <w:t>1)</w:t>
      </w:r>
      <w:r w:rsidRPr="001C3E09">
        <w:rPr>
          <w:rFonts w:ascii="Arial" w:eastAsia="Calibri" w:hAnsi="Arial" w:cs="Times New Roman"/>
          <w:sz w:val="24"/>
          <w:szCs w:val="24"/>
          <w:lang w:val="es-ES" w:eastAsia="es-ES"/>
        </w:rPr>
        <w:t xml:space="preserve"> Psiquiatra: Sin alteración del estado de salud mental y conducta. Porcentaje de discapacidad por sistema: Cero por ciento (0%); </w:t>
      </w:r>
      <w:r w:rsidRPr="001C3E09">
        <w:rPr>
          <w:rFonts w:ascii="Arial" w:eastAsia="Calibri" w:hAnsi="Arial" w:cs="Times New Roman"/>
          <w:b/>
          <w:sz w:val="24"/>
          <w:szCs w:val="24"/>
          <w:lang w:val="es-ES" w:eastAsia="es-ES"/>
        </w:rPr>
        <w:t>2)</w:t>
      </w:r>
      <w:r w:rsidRPr="001C3E09">
        <w:rPr>
          <w:rFonts w:ascii="Arial" w:eastAsia="Calibri" w:hAnsi="Arial" w:cs="Times New Roman"/>
          <w:sz w:val="24"/>
          <w:szCs w:val="24"/>
          <w:lang w:val="es-ES" w:eastAsia="es-ES"/>
        </w:rPr>
        <w:t xml:space="preserve"> Cirugía plástica: A nivel de tórax y brazo derecho presenta cicatriz plana de 10 x 5cm. no causa retracción, refiere prurito. En muslo izquierdo una cicatriz plana, sin retracción. Porcentaje de discapacidad por sistema: Tres por ciento (3%); </w:t>
      </w:r>
      <w:r w:rsidRPr="001C3E09">
        <w:rPr>
          <w:rFonts w:ascii="Arial" w:eastAsia="Calibri" w:hAnsi="Arial" w:cs="Times New Roman"/>
          <w:b/>
          <w:sz w:val="24"/>
          <w:szCs w:val="24"/>
          <w:lang w:val="es-ES" w:eastAsia="es-ES"/>
        </w:rPr>
        <w:t>3)</w:t>
      </w:r>
      <w:r w:rsidRPr="001C3E09">
        <w:rPr>
          <w:rFonts w:ascii="Arial" w:eastAsia="Calibri" w:hAnsi="Arial" w:cs="Times New Roman"/>
          <w:sz w:val="24"/>
          <w:szCs w:val="24"/>
          <w:lang w:val="es-ES" w:eastAsia="es-ES"/>
        </w:rPr>
        <w:t xml:space="preserve"> Fisiatra: Arcos de movilidad de hombro derecho normales, arcos de movilidad de codo derecho normales. Limitación de arcos de muñeca derecha. Electromiografía y velocidad de </w:t>
      </w:r>
      <w:proofErr w:type="spellStart"/>
      <w:r w:rsidRPr="001C3E09">
        <w:rPr>
          <w:rFonts w:ascii="Arial" w:eastAsia="Calibri" w:hAnsi="Arial" w:cs="Times New Roman"/>
          <w:sz w:val="24"/>
          <w:szCs w:val="24"/>
          <w:lang w:val="es-ES" w:eastAsia="es-ES"/>
        </w:rPr>
        <w:t>neuroconducción</w:t>
      </w:r>
      <w:proofErr w:type="spellEnd"/>
      <w:r w:rsidRPr="001C3E09">
        <w:rPr>
          <w:rFonts w:ascii="Arial" w:eastAsia="Calibri" w:hAnsi="Arial" w:cs="Times New Roman"/>
          <w:sz w:val="24"/>
          <w:szCs w:val="24"/>
          <w:lang w:val="es-ES" w:eastAsia="es-ES"/>
        </w:rPr>
        <w:t xml:space="preserve"> de miembro superior derecho refleja lesión del plexo braquial derecho: </w:t>
      </w:r>
      <w:proofErr w:type="spellStart"/>
      <w:r w:rsidRPr="001C3E09">
        <w:rPr>
          <w:rFonts w:ascii="Arial" w:eastAsia="Calibri" w:hAnsi="Arial" w:cs="Times New Roman"/>
          <w:sz w:val="24"/>
          <w:szCs w:val="24"/>
          <w:lang w:val="es-ES" w:eastAsia="es-ES"/>
        </w:rPr>
        <w:t>axonotmesis</w:t>
      </w:r>
      <w:proofErr w:type="spellEnd"/>
      <w:r w:rsidRPr="001C3E09">
        <w:rPr>
          <w:rFonts w:ascii="Arial" w:eastAsia="Calibri" w:hAnsi="Arial" w:cs="Times New Roman"/>
          <w:sz w:val="24"/>
          <w:szCs w:val="24"/>
          <w:lang w:val="es-ES" w:eastAsia="es-ES"/>
        </w:rPr>
        <w:t xml:space="preserve"> moderada crónica del plexo braquial (radial mediano y cubital derecho). Discapacidad por sistema: Veinticinco por ciento (25%); pero de conformidad al </w:t>
      </w:r>
      <w:r w:rsidRPr="001C3E09">
        <w:rPr>
          <w:rFonts w:ascii="Arial" w:eastAsia="Calibri" w:hAnsi="Arial" w:cs="Times New Roman"/>
          <w:iCs/>
          <w:sz w:val="24"/>
          <w:szCs w:val="24"/>
          <w:lang w:val="es-ES" w:eastAsia="es-ES"/>
        </w:rPr>
        <w:t>Decreto Legislativo No.770 publicado en el Diario Oficial el día 12 de Diciembre de 2008, el cual arguye que por ningún motivo podrá disminuirse el grado de discapacidad de los beneficiarios a quienes se les hubiera determinado una discapacidad que ya este configurada entre el 6% al 59%  o entre el 60% y el 100%, s</w:t>
      </w:r>
      <w:r w:rsidRPr="001C3E09">
        <w:rPr>
          <w:rFonts w:ascii="Arial" w:eastAsia="Calibri" w:hAnsi="Arial" w:cs="Times New Roman"/>
          <w:sz w:val="24"/>
          <w:szCs w:val="24"/>
          <w:lang w:val="es-ES" w:eastAsia="es-ES"/>
        </w:rPr>
        <w:t xml:space="preserve">e ratifica el porcentaje de discapacidad global de SESENTA Y DOS POR CIENTO DE DISCAPACIDAD GLOBAL (62%). Se advierte que la resolución que resuelve el recurso de apelación no admite recurso alguno de conformidad al Art.21-A inciso </w:t>
      </w:r>
    </w:p>
    <w:p w:rsidR="001C3E09" w:rsidRDefault="001C3E09" w:rsidP="001C3E09">
      <w:pPr>
        <w:tabs>
          <w:tab w:val="left" w:pos="426"/>
        </w:tabs>
        <w:spacing w:after="0" w:line="240" w:lineRule="auto"/>
        <w:contextualSpacing/>
        <w:jc w:val="both"/>
        <w:rPr>
          <w:rFonts w:ascii="Arial" w:eastAsia="Calibri" w:hAnsi="Arial" w:cs="Times New Roman"/>
          <w:sz w:val="24"/>
          <w:szCs w:val="24"/>
          <w:lang w:val="es-ES" w:eastAsia="es-ES"/>
        </w:rPr>
      </w:pPr>
    </w:p>
    <w:p w:rsidR="001C3E09" w:rsidRDefault="001C3E09" w:rsidP="001C3E09">
      <w:pPr>
        <w:tabs>
          <w:tab w:val="left" w:pos="426"/>
        </w:tabs>
        <w:spacing w:after="0" w:line="240" w:lineRule="auto"/>
        <w:contextualSpacing/>
        <w:jc w:val="both"/>
        <w:rPr>
          <w:rFonts w:ascii="Arial" w:eastAsia="Calibri" w:hAnsi="Arial" w:cs="Times New Roman"/>
          <w:sz w:val="24"/>
          <w:szCs w:val="24"/>
          <w:lang w:val="es-ES" w:eastAsia="es-ES"/>
        </w:rPr>
      </w:pPr>
    </w:p>
    <w:p w:rsidR="001C3E09" w:rsidRDefault="001C3E09" w:rsidP="001C3E09">
      <w:pPr>
        <w:tabs>
          <w:tab w:val="left" w:pos="426"/>
        </w:tabs>
        <w:spacing w:after="0" w:line="240" w:lineRule="auto"/>
        <w:contextualSpacing/>
        <w:jc w:val="both"/>
        <w:rPr>
          <w:rFonts w:ascii="Arial" w:eastAsia="Calibri" w:hAnsi="Arial" w:cs="Times New Roman"/>
          <w:sz w:val="24"/>
          <w:szCs w:val="24"/>
          <w:lang w:val="es-ES" w:eastAsia="es-ES"/>
        </w:rPr>
      </w:pPr>
    </w:p>
    <w:p w:rsidR="001C3E09" w:rsidRDefault="001C3E09" w:rsidP="001C3E09">
      <w:pPr>
        <w:tabs>
          <w:tab w:val="left" w:pos="426"/>
        </w:tabs>
        <w:spacing w:after="0" w:line="240" w:lineRule="auto"/>
        <w:contextualSpacing/>
        <w:jc w:val="both"/>
        <w:rPr>
          <w:rFonts w:ascii="Arial" w:eastAsia="Calibri" w:hAnsi="Arial" w:cs="Times New Roman"/>
          <w:sz w:val="24"/>
          <w:szCs w:val="24"/>
          <w:lang w:val="es-ES" w:eastAsia="es-ES"/>
        </w:rPr>
      </w:pPr>
    </w:p>
    <w:p w:rsidR="001C3E09" w:rsidRPr="001C3E09" w:rsidRDefault="001C3E09" w:rsidP="001C3E09">
      <w:pPr>
        <w:tabs>
          <w:tab w:val="left" w:pos="426"/>
        </w:tabs>
        <w:spacing w:after="0" w:line="240" w:lineRule="auto"/>
        <w:contextualSpacing/>
        <w:jc w:val="both"/>
        <w:rPr>
          <w:rFonts w:ascii="Arial" w:eastAsia="Calibri" w:hAnsi="Arial" w:cs="Arial"/>
          <w:b/>
          <w:sz w:val="24"/>
          <w:szCs w:val="24"/>
          <w:lang w:val="es-ES" w:eastAsia="es-ES"/>
        </w:rPr>
      </w:pPr>
      <w:r w:rsidRPr="001C3E09">
        <w:rPr>
          <w:rFonts w:ascii="Arial" w:eastAsia="Calibri" w:hAnsi="Arial" w:cs="Times New Roman"/>
          <w:sz w:val="24"/>
          <w:szCs w:val="24"/>
          <w:lang w:val="es-ES" w:eastAsia="es-ES"/>
        </w:rPr>
        <w:t xml:space="preserve">último de la Ley de Beneficio para la Protección de Lisiados y Discapacitados a Consecuencia del Conflicto </w:t>
      </w:r>
      <w:bookmarkStart w:id="0" w:name="_GoBack"/>
      <w:bookmarkEnd w:id="0"/>
      <w:r w:rsidR="008918EE" w:rsidRPr="001C3E09">
        <w:rPr>
          <w:rFonts w:ascii="Arial" w:eastAsia="Calibri" w:hAnsi="Arial" w:cs="Times New Roman"/>
          <w:sz w:val="24"/>
          <w:szCs w:val="24"/>
          <w:lang w:val="es-ES" w:eastAsia="es-ES"/>
        </w:rPr>
        <w:t>Armado, en</w:t>
      </w:r>
      <w:r w:rsidRPr="001C3E09">
        <w:rPr>
          <w:rFonts w:ascii="Arial" w:eastAsia="Calibri" w:hAnsi="Arial" w:cs="Times New Roman"/>
          <w:sz w:val="24"/>
          <w:szCs w:val="24"/>
          <w:lang w:val="es-ES" w:eastAsia="es-ES"/>
        </w:rPr>
        <w:t xml:space="preserve"> relación al Art. 108 Inciso ultimo del Reglamento de la Ley antes citada; quedándole expedito el derecho a realizarse seguimientos médicos a su estado de salud cada 24 meses de conformidad al Acuerdo de Junta Directiva No 326.05.2019, de fecha 31 de mayo de 2019. </w:t>
      </w:r>
      <w:r w:rsidRPr="001C3E09">
        <w:rPr>
          <w:rFonts w:ascii="Arial" w:eastAsia="Calibri" w:hAnsi="Arial" w:cs="Arial"/>
          <w:b/>
          <w:sz w:val="24"/>
          <w:szCs w:val="24"/>
          <w:lang w:val="es-ES" w:eastAsia="es-ES"/>
        </w:rPr>
        <w:t xml:space="preserve">COMUNÍQUESE”. </w:t>
      </w:r>
      <w:r w:rsidRPr="001C3E09">
        <w:rPr>
          <w:rFonts w:ascii="Arial" w:eastAsia="Calibri" w:hAnsi="Arial" w:cs="Arial"/>
          <w:bCs/>
          <w:sz w:val="24"/>
          <w:szCs w:val="24"/>
          <w:lang w:val="es-ES" w:eastAsia="es-ES"/>
        </w:rPr>
        <w:t>Rubricado por: Presidente de Junta Directiva: “ILEGIBLE”; Representante Propietario de ASALDIG: “ILEGIBLE”; Representante Propietario de ALFAES: “ILEGIBLE”; Representante Propietaria de ALGES: “ILEGIBLE”; Representante Suplente de ISRI: “ILEGIBLE”; Representante Suplente de IPSFA: “ILEGIBLE”; y Representante Suplente de MINSAL: “ILEGIBLE”.</w:t>
      </w:r>
    </w:p>
    <w:p w:rsidR="001C3E09" w:rsidRPr="001C3E09" w:rsidRDefault="001C3E09" w:rsidP="001C3E09">
      <w:pPr>
        <w:spacing w:after="0" w:line="240" w:lineRule="auto"/>
        <w:rPr>
          <w:rFonts w:ascii="Arial" w:eastAsia="Times New Roman" w:hAnsi="Arial" w:cs="Arial"/>
          <w:bCs/>
          <w:sz w:val="24"/>
          <w:szCs w:val="24"/>
          <w:lang w:val="es-ES_tradnl" w:eastAsia="es-ES"/>
        </w:rPr>
      </w:pPr>
    </w:p>
    <w:p w:rsidR="001C3E09" w:rsidRPr="001C3E09" w:rsidRDefault="001C3E09" w:rsidP="001C3E09">
      <w:pPr>
        <w:spacing w:after="0" w:line="240" w:lineRule="auto"/>
        <w:rPr>
          <w:rFonts w:ascii="Arial" w:eastAsia="Times New Roman" w:hAnsi="Arial" w:cs="Arial"/>
          <w:bCs/>
          <w:sz w:val="24"/>
          <w:szCs w:val="24"/>
          <w:lang w:val="es-ES_tradnl" w:eastAsia="es-ES"/>
        </w:rPr>
      </w:pPr>
      <w:r w:rsidRPr="001C3E09">
        <w:rPr>
          <w:rFonts w:ascii="Arial" w:eastAsia="Times New Roman" w:hAnsi="Arial" w:cs="Arial"/>
          <w:bCs/>
          <w:sz w:val="24"/>
          <w:szCs w:val="24"/>
          <w:lang w:val="es-ES_tradnl" w:eastAsia="es-ES"/>
        </w:rPr>
        <w:t>Lo que se transcribe para los efectos pertinentes.</w:t>
      </w:r>
    </w:p>
    <w:p w:rsidR="001C3E09" w:rsidRPr="001C3E09" w:rsidRDefault="001C3E09" w:rsidP="001C3E09">
      <w:pPr>
        <w:spacing w:after="0" w:line="240" w:lineRule="auto"/>
        <w:rPr>
          <w:rFonts w:ascii="Arial" w:eastAsia="Times New Roman" w:hAnsi="Arial" w:cs="Arial"/>
          <w:bCs/>
          <w:sz w:val="24"/>
          <w:szCs w:val="24"/>
          <w:lang w:val="es-ES_tradnl" w:eastAsia="es-ES"/>
        </w:rPr>
      </w:pPr>
    </w:p>
    <w:p w:rsidR="001C3E09" w:rsidRPr="001C3E09" w:rsidRDefault="001C3E09" w:rsidP="001C3E09">
      <w:pPr>
        <w:spacing w:after="0" w:line="240" w:lineRule="auto"/>
        <w:rPr>
          <w:rFonts w:ascii="Arial" w:eastAsia="Times New Roman" w:hAnsi="Arial" w:cs="Arial"/>
          <w:bCs/>
          <w:sz w:val="24"/>
          <w:szCs w:val="24"/>
          <w:lang w:val="es-ES_tradnl" w:eastAsia="es-ES"/>
        </w:rPr>
      </w:pPr>
    </w:p>
    <w:p w:rsidR="001C3E09" w:rsidRPr="001C3E09" w:rsidRDefault="001C3E09" w:rsidP="001C3E09">
      <w:pPr>
        <w:spacing w:after="0" w:line="240" w:lineRule="auto"/>
        <w:rPr>
          <w:rFonts w:ascii="Arial" w:eastAsia="Times New Roman" w:hAnsi="Arial" w:cs="Arial"/>
          <w:bCs/>
          <w:sz w:val="24"/>
          <w:szCs w:val="24"/>
          <w:lang w:val="es-ES_tradnl" w:eastAsia="es-ES"/>
        </w:rPr>
      </w:pPr>
    </w:p>
    <w:p w:rsidR="001C3E09" w:rsidRPr="001C3E09" w:rsidRDefault="001C3E09" w:rsidP="001C3E09">
      <w:pPr>
        <w:tabs>
          <w:tab w:val="left" w:pos="480"/>
        </w:tabs>
        <w:spacing w:after="0" w:line="240" w:lineRule="auto"/>
        <w:jc w:val="center"/>
        <w:rPr>
          <w:rFonts w:ascii="Arial" w:eastAsia="Times New Roman" w:hAnsi="Arial" w:cs="Arial"/>
          <w:sz w:val="24"/>
          <w:szCs w:val="24"/>
          <w:lang w:eastAsia="es-ES"/>
        </w:rPr>
      </w:pPr>
      <w:r w:rsidRPr="001C3E09">
        <w:rPr>
          <w:rFonts w:ascii="Arial" w:eastAsia="Times New Roman" w:hAnsi="Arial" w:cs="Arial"/>
          <w:sz w:val="24"/>
          <w:szCs w:val="24"/>
          <w:lang w:eastAsia="es-ES"/>
        </w:rPr>
        <w:t xml:space="preserve">Dra. </w:t>
      </w:r>
      <w:proofErr w:type="spellStart"/>
      <w:r w:rsidRPr="001C3E09">
        <w:rPr>
          <w:rFonts w:ascii="Arial" w:eastAsia="Times New Roman" w:hAnsi="Arial" w:cs="Arial"/>
          <w:sz w:val="24"/>
          <w:szCs w:val="24"/>
          <w:lang w:eastAsia="es-ES"/>
        </w:rPr>
        <w:t>Claraevelyn</w:t>
      </w:r>
      <w:proofErr w:type="spellEnd"/>
      <w:r w:rsidRPr="001C3E09">
        <w:rPr>
          <w:rFonts w:ascii="Arial" w:eastAsia="Times New Roman" w:hAnsi="Arial" w:cs="Arial"/>
          <w:sz w:val="24"/>
          <w:szCs w:val="24"/>
          <w:lang w:eastAsia="es-ES"/>
        </w:rPr>
        <w:t xml:space="preserve"> </w:t>
      </w:r>
      <w:proofErr w:type="spellStart"/>
      <w:r w:rsidRPr="001C3E09">
        <w:rPr>
          <w:rFonts w:ascii="Arial" w:eastAsia="Times New Roman" w:hAnsi="Arial" w:cs="Arial"/>
          <w:sz w:val="24"/>
          <w:szCs w:val="24"/>
          <w:lang w:eastAsia="es-ES"/>
        </w:rPr>
        <w:t>Rossie</w:t>
      </w:r>
      <w:proofErr w:type="spellEnd"/>
      <w:r w:rsidRPr="001C3E09">
        <w:rPr>
          <w:rFonts w:ascii="Arial" w:eastAsia="Times New Roman" w:hAnsi="Arial" w:cs="Arial"/>
          <w:sz w:val="24"/>
          <w:szCs w:val="24"/>
          <w:lang w:eastAsia="es-ES"/>
        </w:rPr>
        <w:t xml:space="preserve"> Del Valle Castillo</w:t>
      </w:r>
    </w:p>
    <w:p w:rsidR="001C3E09" w:rsidRPr="001C3E09" w:rsidRDefault="001C3E09" w:rsidP="001C3E09">
      <w:pPr>
        <w:tabs>
          <w:tab w:val="left" w:pos="480"/>
        </w:tabs>
        <w:spacing w:after="0" w:line="240" w:lineRule="auto"/>
        <w:jc w:val="center"/>
        <w:rPr>
          <w:rFonts w:ascii="Arial" w:eastAsia="Times New Roman" w:hAnsi="Arial" w:cs="Arial"/>
          <w:sz w:val="24"/>
          <w:szCs w:val="24"/>
          <w:lang w:eastAsia="es-ES"/>
        </w:rPr>
      </w:pPr>
      <w:r w:rsidRPr="001C3E09">
        <w:rPr>
          <w:rFonts w:ascii="Arial" w:eastAsia="Times New Roman" w:hAnsi="Arial" w:cs="Arial"/>
          <w:sz w:val="24"/>
          <w:szCs w:val="24"/>
          <w:lang w:eastAsia="es-ES"/>
        </w:rPr>
        <w:t>Gerente General</w:t>
      </w:r>
    </w:p>
    <w:p w:rsidR="001C3E09" w:rsidRDefault="001C3E09"/>
    <w:sectPr w:rsidR="001C3E0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84" w:rsidRDefault="00763584" w:rsidP="001C3E09">
      <w:pPr>
        <w:spacing w:after="0" w:line="240" w:lineRule="auto"/>
      </w:pPr>
      <w:r>
        <w:separator/>
      </w:r>
    </w:p>
  </w:endnote>
  <w:endnote w:type="continuationSeparator" w:id="0">
    <w:p w:rsidR="00763584" w:rsidRDefault="00763584" w:rsidP="001C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84" w:rsidRDefault="00763584" w:rsidP="001C3E09">
      <w:pPr>
        <w:spacing w:after="0" w:line="240" w:lineRule="auto"/>
      </w:pPr>
      <w:r>
        <w:separator/>
      </w:r>
    </w:p>
  </w:footnote>
  <w:footnote w:type="continuationSeparator" w:id="0">
    <w:p w:rsidR="00763584" w:rsidRDefault="00763584" w:rsidP="001C3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E09" w:rsidRDefault="001C3E09">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75DE29C6" wp14:editId="66F58032">
          <wp:simplePos x="0" y="0"/>
          <wp:positionH relativeFrom="page">
            <wp:posOffset>1537335</wp:posOffset>
          </wp:positionH>
          <wp:positionV relativeFrom="paragraph">
            <wp:posOffset>-353060</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09"/>
    <w:rsid w:val="001C3E09"/>
    <w:rsid w:val="00287EED"/>
    <w:rsid w:val="00763584"/>
    <w:rsid w:val="008918EE"/>
    <w:rsid w:val="00A3474F"/>
    <w:rsid w:val="00EB22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25158-9F98-4008-8728-22E107DA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E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E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E09"/>
  </w:style>
  <w:style w:type="paragraph" w:styleId="Piedepgina">
    <w:name w:val="footer"/>
    <w:basedOn w:val="Normal"/>
    <w:link w:val="PiedepginaCar"/>
    <w:uiPriority w:val="99"/>
    <w:unhideWhenUsed/>
    <w:rsid w:val="001C3E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3</cp:revision>
  <dcterms:created xsi:type="dcterms:W3CDTF">2021-10-20T14:11:00Z</dcterms:created>
  <dcterms:modified xsi:type="dcterms:W3CDTF">2021-10-20T20:11:00Z</dcterms:modified>
</cp:coreProperties>
</file>