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525BEA" w:rsidRDefault="00525BEA"/>
    <w:p w:rsidR="00525BEA" w:rsidRPr="006B0321" w:rsidRDefault="00525BEA" w:rsidP="00525BEA">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525BEA" w:rsidRPr="006B0321" w:rsidRDefault="00525BEA" w:rsidP="00525BEA">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525BEA" w:rsidRPr="006B0321" w:rsidRDefault="00525BEA" w:rsidP="00525BEA">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525BEA" w:rsidRPr="006B0321" w:rsidRDefault="00525BEA" w:rsidP="00525BEA">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525BEA" w:rsidRPr="006B0321" w:rsidRDefault="00525BEA" w:rsidP="00525BEA">
      <w:pPr>
        <w:spacing w:after="0" w:line="840" w:lineRule="exact"/>
        <w:ind w:left="1530" w:right="1532"/>
        <w:jc w:val="center"/>
        <w:rPr>
          <w:rFonts w:ascii="Calibri" w:eastAsia="Calibri" w:hAnsi="Calibri" w:cs="Calibri"/>
          <w:b/>
          <w:position w:val="3"/>
          <w:sz w:val="72"/>
          <w:szCs w:val="72"/>
        </w:rPr>
      </w:pPr>
    </w:p>
    <w:p w:rsidR="00525BEA" w:rsidRPr="006B0321" w:rsidRDefault="00525BEA" w:rsidP="00525BEA">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525BEA" w:rsidRPr="006B0321" w:rsidRDefault="00525BEA" w:rsidP="00525BEA">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525BEA" w:rsidRDefault="00525BEA" w:rsidP="00525BEA">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525BEA" w:rsidRDefault="00525BEA" w:rsidP="00525BEA">
      <w:pPr>
        <w:jc w:val="center"/>
        <w:rPr>
          <w:rFonts w:ascii="Calibri" w:eastAsia="Calibri" w:hAnsi="Calibri" w:cs="Calibri"/>
          <w:b/>
          <w:position w:val="3"/>
          <w:sz w:val="72"/>
          <w:szCs w:val="72"/>
        </w:rPr>
      </w:pPr>
    </w:p>
    <w:p w:rsidR="00525BEA" w:rsidRDefault="00525BEA" w:rsidP="00525BEA">
      <w:pPr>
        <w:keepNext/>
        <w:spacing w:after="0" w:line="240" w:lineRule="exact"/>
        <w:outlineLvl w:val="3"/>
        <w:rPr>
          <w:rFonts w:ascii="Arial" w:eastAsia="Arial Unicode MS" w:hAnsi="Arial" w:cs="Arial"/>
          <w:b/>
          <w:bCs/>
          <w:lang w:eastAsia="es-ES"/>
        </w:rPr>
      </w:pPr>
    </w:p>
    <w:p w:rsidR="00525BEA" w:rsidRPr="00525BEA" w:rsidRDefault="00525BEA" w:rsidP="00525BEA">
      <w:pPr>
        <w:spacing w:after="0" w:line="240" w:lineRule="auto"/>
        <w:jc w:val="both"/>
        <w:rPr>
          <w:rFonts w:ascii="Arial" w:eastAsia="Calibri" w:hAnsi="Arial" w:cs="Arial"/>
          <w:b/>
          <w:lang w:eastAsia="es-ES"/>
        </w:rPr>
      </w:pPr>
    </w:p>
    <w:p w:rsidR="00525BEA" w:rsidRPr="00525BEA" w:rsidRDefault="00525BEA" w:rsidP="00525BEA">
      <w:pPr>
        <w:spacing w:after="0" w:line="240" w:lineRule="auto"/>
        <w:jc w:val="both"/>
        <w:rPr>
          <w:rFonts w:ascii="Arial" w:eastAsia="Calibri" w:hAnsi="Arial" w:cs="Arial"/>
          <w:b/>
          <w:lang w:eastAsia="es-ES"/>
        </w:rPr>
      </w:pPr>
    </w:p>
    <w:p w:rsidR="00525BEA" w:rsidRDefault="00525BEA" w:rsidP="00525BEA">
      <w:pPr>
        <w:tabs>
          <w:tab w:val="left" w:pos="426"/>
        </w:tabs>
        <w:spacing w:after="0" w:line="240" w:lineRule="auto"/>
        <w:contextualSpacing/>
        <w:jc w:val="both"/>
        <w:rPr>
          <w:rFonts w:ascii="Arial" w:eastAsia="Calibri" w:hAnsi="Arial" w:cs="Arial"/>
          <w:b/>
          <w:lang w:val="es-ES" w:eastAsia="es-ES"/>
        </w:rPr>
      </w:pPr>
    </w:p>
    <w:p w:rsidR="00525BEA" w:rsidRDefault="00525BEA" w:rsidP="00525BEA">
      <w:pPr>
        <w:tabs>
          <w:tab w:val="left" w:pos="426"/>
        </w:tabs>
        <w:spacing w:after="0" w:line="240" w:lineRule="auto"/>
        <w:contextualSpacing/>
        <w:jc w:val="both"/>
        <w:rPr>
          <w:rFonts w:ascii="Arial" w:eastAsia="Calibri" w:hAnsi="Arial" w:cs="Arial"/>
          <w:b/>
          <w:lang w:val="es-ES" w:eastAsia="es-ES"/>
        </w:rPr>
      </w:pPr>
    </w:p>
    <w:p w:rsidR="00525BEA" w:rsidRPr="00525BEA" w:rsidRDefault="00525BEA" w:rsidP="00525BEA">
      <w:pPr>
        <w:tabs>
          <w:tab w:val="left" w:pos="426"/>
        </w:tabs>
        <w:spacing w:after="0" w:line="240" w:lineRule="auto"/>
        <w:contextualSpacing/>
        <w:jc w:val="both"/>
        <w:rPr>
          <w:rFonts w:ascii="Arial" w:eastAsia="Calibri" w:hAnsi="Arial" w:cs="Arial"/>
          <w:b/>
          <w:bCs/>
          <w:lang w:eastAsia="es-ES"/>
        </w:rPr>
      </w:pPr>
      <w:r w:rsidRPr="00525BEA">
        <w:rPr>
          <w:rFonts w:ascii="Arial" w:eastAsia="Calibri" w:hAnsi="Arial" w:cs="Arial"/>
          <w:b/>
          <w:bCs/>
          <w:lang w:eastAsia="es-ES"/>
        </w:rPr>
        <w:t>SE HA EMITIDO EL ACUERDO QUE DICE:</w:t>
      </w:r>
    </w:p>
    <w:p w:rsidR="00525BEA" w:rsidRDefault="00525BEA" w:rsidP="00525BEA">
      <w:pPr>
        <w:tabs>
          <w:tab w:val="left" w:pos="426"/>
        </w:tabs>
        <w:spacing w:after="0" w:line="240" w:lineRule="auto"/>
        <w:contextualSpacing/>
        <w:jc w:val="both"/>
        <w:rPr>
          <w:rFonts w:ascii="Arial" w:eastAsia="Calibri" w:hAnsi="Arial" w:cs="Arial"/>
          <w:b/>
          <w:lang w:val="es-ES" w:eastAsia="es-ES"/>
        </w:rPr>
      </w:pPr>
    </w:p>
    <w:p w:rsidR="00525BEA" w:rsidRPr="00525BEA" w:rsidRDefault="00525BEA" w:rsidP="00525BEA">
      <w:pPr>
        <w:tabs>
          <w:tab w:val="left" w:pos="426"/>
        </w:tabs>
        <w:spacing w:after="0" w:line="240" w:lineRule="auto"/>
        <w:contextualSpacing/>
        <w:jc w:val="both"/>
        <w:rPr>
          <w:rFonts w:ascii="Arial" w:eastAsia="Calibri" w:hAnsi="Arial" w:cs="Arial"/>
          <w:b/>
          <w:lang w:val="es-ES" w:eastAsia="es-ES"/>
        </w:rPr>
      </w:pPr>
      <w:r>
        <w:rPr>
          <w:rFonts w:ascii="Arial" w:eastAsia="Calibri" w:hAnsi="Arial" w:cs="Arial"/>
          <w:b/>
          <w:lang w:val="es-ES" w:eastAsia="es-ES"/>
        </w:rPr>
        <w:t>S</w:t>
      </w:r>
      <w:r w:rsidRPr="00525BEA">
        <w:rPr>
          <w:rFonts w:ascii="Arial" w:eastAsia="Calibri" w:hAnsi="Arial" w:cs="Arial"/>
          <w:b/>
          <w:lang w:val="es-ES" w:eastAsia="es-ES"/>
        </w:rPr>
        <w:t xml:space="preserve">an Salvador, 09 de septiembre de 2021, ACTA No. 34.09.2021, ACUERDO No. 591.09.2021. La Junta Directiva del Fondo de Protección de Lisiados y Discapacitados a Consecuencia del Conflicto Armado, </w:t>
      </w:r>
      <w:r w:rsidRPr="00525BEA">
        <w:rPr>
          <w:rFonts w:ascii="Arial" w:eastAsia="Calibri" w:hAnsi="Arial" w:cs="Arial"/>
          <w:lang w:val="es-ES" w:eastAsia="es-ES"/>
        </w:rPr>
        <w:t>con el voto favorable de los Directivos Propietarios Representantes de:</w:t>
      </w:r>
      <w:r w:rsidRPr="00525BEA">
        <w:rPr>
          <w:rFonts w:ascii="Arial" w:eastAsia="Calibri" w:hAnsi="Arial" w:cs="Arial"/>
          <w:b/>
          <w:lang w:val="es-ES" w:eastAsia="es-ES"/>
        </w:rPr>
        <w:t xml:space="preserve"> </w:t>
      </w:r>
      <w:r w:rsidRPr="00525BEA">
        <w:rPr>
          <w:rFonts w:ascii="Arial" w:eastAsia="Calibri" w:hAnsi="Arial" w:cs="Arial"/>
          <w:b/>
          <w:lang w:val="es-ES" w:eastAsia="es-SV"/>
        </w:rPr>
        <w:t xml:space="preserve">ALFAES, ALGES </w:t>
      </w:r>
      <w:r w:rsidRPr="00525BEA">
        <w:rPr>
          <w:rFonts w:ascii="Arial" w:eastAsia="Calibri" w:hAnsi="Arial" w:cs="Arial"/>
          <w:lang w:val="es-ES" w:eastAsia="es-SV"/>
        </w:rPr>
        <w:t>y el</w:t>
      </w:r>
      <w:r w:rsidRPr="00525BEA">
        <w:rPr>
          <w:rFonts w:ascii="Arial" w:eastAsia="Calibri" w:hAnsi="Arial" w:cs="Arial"/>
          <w:b/>
          <w:lang w:val="es-ES" w:eastAsia="es-SV"/>
        </w:rPr>
        <w:t xml:space="preserve"> Presidente; </w:t>
      </w:r>
      <w:r w:rsidRPr="00525BEA">
        <w:rPr>
          <w:rFonts w:ascii="Arial" w:eastAsia="Calibri" w:hAnsi="Arial" w:cs="Arial"/>
          <w:lang w:val="es-ES" w:eastAsia="es-SV"/>
        </w:rPr>
        <w:t xml:space="preserve">y las Directivos Suplentes de: </w:t>
      </w:r>
      <w:r w:rsidRPr="00525BEA">
        <w:rPr>
          <w:rFonts w:ascii="Arial" w:eastAsia="Calibri" w:hAnsi="Arial" w:cs="Arial"/>
          <w:b/>
          <w:lang w:val="es-ES" w:eastAsia="es-SV"/>
        </w:rPr>
        <w:t>IPSFA</w:t>
      </w:r>
      <w:r w:rsidRPr="00525BEA">
        <w:rPr>
          <w:rFonts w:ascii="Arial" w:eastAsia="Calibri" w:hAnsi="Arial" w:cs="Arial"/>
          <w:lang w:val="es-ES" w:eastAsia="es-SV"/>
        </w:rPr>
        <w:t xml:space="preserve"> y </w:t>
      </w:r>
      <w:r w:rsidRPr="00525BEA">
        <w:rPr>
          <w:rFonts w:ascii="Arial" w:eastAsia="Calibri" w:hAnsi="Arial" w:cs="Arial"/>
          <w:b/>
          <w:lang w:val="es-ES" w:eastAsia="es-SV"/>
        </w:rPr>
        <w:t xml:space="preserve">MINSAL, </w:t>
      </w:r>
      <w:r w:rsidRPr="00525BEA">
        <w:rPr>
          <w:rFonts w:ascii="Arial" w:eastAsia="Calibri" w:hAnsi="Arial" w:cs="Arial"/>
          <w:lang w:val="es-ES" w:eastAsia="es-SV"/>
        </w:rPr>
        <w:t xml:space="preserve">la abstención del Directivo Suplente de </w:t>
      </w:r>
      <w:r w:rsidRPr="00525BEA">
        <w:rPr>
          <w:rFonts w:ascii="Arial" w:eastAsia="Calibri" w:hAnsi="Arial" w:cs="Arial"/>
          <w:b/>
          <w:lang w:val="es-ES" w:eastAsia="es-SV"/>
        </w:rPr>
        <w:t xml:space="preserve">AOSSTALGFAES; </w:t>
      </w:r>
      <w:r w:rsidRPr="00525BEA">
        <w:rPr>
          <w:rFonts w:ascii="Arial" w:eastAsia="Calibri" w:hAnsi="Arial" w:cs="Arial"/>
          <w:lang w:val="es-ES" w:eastAsia="es-SV"/>
        </w:rPr>
        <w:t>y en el caso del Directivo Propietario de</w:t>
      </w:r>
      <w:r w:rsidRPr="00525BEA">
        <w:rPr>
          <w:rFonts w:ascii="Arial" w:eastAsia="Calibri" w:hAnsi="Arial" w:cs="Arial"/>
          <w:b/>
          <w:lang w:val="es-ES" w:eastAsia="es-SV"/>
        </w:rPr>
        <w:t xml:space="preserve"> ASALDIG </w:t>
      </w:r>
      <w:r w:rsidRPr="00525BEA">
        <w:rPr>
          <w:rFonts w:ascii="Arial" w:eastAsia="Calibri" w:hAnsi="Arial" w:cs="Arial"/>
          <w:lang w:val="es-ES" w:eastAsia="es-SV"/>
        </w:rPr>
        <w:t>y la Directivo Suplente de</w:t>
      </w:r>
      <w:r w:rsidRPr="00525BEA">
        <w:rPr>
          <w:rFonts w:ascii="Arial" w:eastAsia="Calibri" w:hAnsi="Arial" w:cs="Arial"/>
          <w:b/>
          <w:lang w:val="es-ES" w:eastAsia="es-SV"/>
        </w:rPr>
        <w:t xml:space="preserve"> ISRI, </w:t>
      </w:r>
      <w:r w:rsidRPr="00525BEA">
        <w:rPr>
          <w:rFonts w:ascii="Arial" w:eastAsia="Calibri" w:hAnsi="Arial" w:cs="Arial"/>
          <w:lang w:val="es-ES" w:eastAsia="es-SV"/>
        </w:rPr>
        <w:t>voto favorable en los casos de las señoras</w:t>
      </w:r>
      <w:r w:rsidRPr="00525BEA">
        <w:rPr>
          <w:rFonts w:ascii="Arial" w:eastAsia="Calibri" w:hAnsi="Arial" w:cs="Arial"/>
          <w:b/>
          <w:lang w:val="es-ES" w:eastAsia="es-SV"/>
        </w:rPr>
        <w:t xml:space="preserve"> </w:t>
      </w:r>
      <w:r w:rsidR="00CE7B6C" w:rsidRPr="00CE7B6C">
        <w:rPr>
          <w:rFonts w:ascii="Arial" w:eastAsia="Calibri" w:hAnsi="Arial" w:cs="Arial"/>
          <w:b/>
          <w:lang w:val="es-ES" w:eastAsia="es-SV"/>
        </w:rPr>
        <w:t>XXXXXXXXXXXXXXXXXXXX</w:t>
      </w:r>
      <w:r w:rsidRPr="00525BEA">
        <w:rPr>
          <w:rFonts w:ascii="Arial" w:eastAsia="Calibri" w:hAnsi="Arial" w:cs="Arial"/>
          <w:lang w:val="es-ES" w:eastAsia="es-ES"/>
        </w:rPr>
        <w:t xml:space="preserve"> y</w:t>
      </w:r>
      <w:r w:rsidR="00CE7B6C">
        <w:rPr>
          <w:rFonts w:ascii="Arial" w:eastAsia="Calibri" w:hAnsi="Arial" w:cs="Arial"/>
          <w:lang w:val="es-ES" w:eastAsia="es-ES"/>
        </w:rPr>
        <w:t xml:space="preserve"> </w:t>
      </w:r>
      <w:bookmarkStart w:id="0" w:name="_GoBack"/>
      <w:r w:rsidR="00CE7B6C" w:rsidRPr="00CE7B6C">
        <w:rPr>
          <w:rFonts w:ascii="Arial" w:eastAsia="Calibri" w:hAnsi="Arial" w:cs="Arial"/>
          <w:b/>
          <w:lang w:val="es-ES" w:eastAsia="es-ES"/>
        </w:rPr>
        <w:t>XXXXXXXXXXXXXXXXXXXX</w:t>
      </w:r>
      <w:bookmarkEnd w:id="0"/>
      <w:r w:rsidRPr="00525BEA">
        <w:rPr>
          <w:rFonts w:ascii="Arial" w:eastAsia="Calibri" w:hAnsi="Arial" w:cs="Arial"/>
          <w:bCs/>
          <w:lang w:val="es-ES" w:eastAsia="es-ES"/>
        </w:rPr>
        <w:t xml:space="preserve"> y voto en contra en el caso del señor</w:t>
      </w:r>
      <w:r w:rsidRPr="00525BEA">
        <w:rPr>
          <w:rFonts w:ascii="Arial" w:eastAsia="Calibri" w:hAnsi="Arial" w:cs="Arial"/>
          <w:b/>
          <w:bCs/>
          <w:lang w:val="es-ES" w:eastAsia="es-ES"/>
        </w:rPr>
        <w:t xml:space="preserve"> </w:t>
      </w:r>
      <w:r w:rsidR="00CE7B6C" w:rsidRPr="00CE7B6C">
        <w:rPr>
          <w:rFonts w:ascii="Arial" w:eastAsia="Calibri" w:hAnsi="Arial" w:cs="Arial"/>
          <w:b/>
          <w:bCs/>
          <w:lang w:val="es-ES" w:eastAsia="es-ES"/>
        </w:rPr>
        <w:t>XXXXXXXXXXXXXXXXXXXX</w:t>
      </w:r>
      <w:r w:rsidRPr="00525BEA">
        <w:rPr>
          <w:rFonts w:ascii="Arial" w:eastAsia="Calibri" w:hAnsi="Arial" w:cs="Arial"/>
          <w:b/>
          <w:lang w:val="es-ES" w:eastAsia="es-ES"/>
        </w:rPr>
        <w:t xml:space="preserve">, </w:t>
      </w:r>
      <w:r w:rsidRPr="00525BEA">
        <w:rPr>
          <w:rFonts w:ascii="Arial" w:eastAsia="Calibri" w:hAnsi="Arial" w:cs="Arial"/>
          <w:lang w:val="es-ES" w:eastAsia="es-SV"/>
        </w:rPr>
        <w:t>se</w:t>
      </w:r>
      <w:r w:rsidRPr="00525BEA">
        <w:rPr>
          <w:rFonts w:ascii="Arial" w:eastAsia="Calibri" w:hAnsi="Arial" w:cs="Arial"/>
          <w:lang w:val="es-ES" w:eastAsia="es-ES"/>
        </w:rPr>
        <w:t xml:space="preserve"> emitió y ratificó el acuerdo siguiente: </w:t>
      </w:r>
      <w:r w:rsidRPr="00525BEA">
        <w:rPr>
          <w:rFonts w:ascii="Arial" w:eastAsia="Calibri" w:hAnsi="Arial" w:cs="Times New Roman"/>
          <w:b/>
          <w:lang w:val="es-ES" w:eastAsia="es-ES"/>
        </w:rPr>
        <w:t>“</w:t>
      </w:r>
      <w:r w:rsidRPr="00525BEA">
        <w:rPr>
          <w:rFonts w:ascii="Arial" w:eastAsia="Calibri" w:hAnsi="Arial" w:cs="Times New Roman"/>
          <w:lang w:val="es-ES" w:eastAsia="es-ES"/>
        </w:rPr>
        <w:t xml:space="preserve">La Junta Directiva conforme a la propuesta presentada por la Comisión Especial de Apelaciones, con la cual se resuelven los recursos de apelación presentados por tres personas, </w:t>
      </w:r>
      <w:r w:rsidRPr="00525BEA">
        <w:rPr>
          <w:rFonts w:ascii="Arial" w:eastAsia="Calibri" w:hAnsi="Arial" w:cs="Times New Roman"/>
          <w:b/>
          <w:lang w:val="es-ES" w:eastAsia="es-ES"/>
        </w:rPr>
        <w:t xml:space="preserve">RESUELVE: </w:t>
      </w:r>
      <w:r w:rsidRPr="00525BEA">
        <w:rPr>
          <w:rFonts w:ascii="Arial" w:eastAsia="Calibri" w:hAnsi="Arial" w:cs="Times New Roman"/>
          <w:b/>
          <w:u w:val="single"/>
          <w:lang w:val="es-ES" w:eastAsia="es-ES"/>
        </w:rPr>
        <w:t xml:space="preserve">b) </w:t>
      </w:r>
      <w:r w:rsidRPr="00525BEA">
        <w:rPr>
          <w:rFonts w:ascii="Arial" w:eastAsia="Calibri" w:hAnsi="Arial" w:cs="Times New Roman"/>
          <w:u w:val="single"/>
          <w:lang w:val="es-ES" w:eastAsia="es-ES"/>
        </w:rPr>
        <w:t>Dictaminar como No Elegible al señor</w:t>
      </w:r>
      <w:r w:rsidR="00F17582">
        <w:rPr>
          <w:rFonts w:ascii="Arial" w:eastAsia="Calibri" w:hAnsi="Arial" w:cs="Times New Roman"/>
          <w:b/>
          <w:u w:val="single"/>
          <w:lang w:val="es-ES" w:eastAsia="es-ES"/>
        </w:rPr>
        <w:t xml:space="preserve"> </w:t>
      </w:r>
      <w:r w:rsidR="00F17582">
        <w:rPr>
          <w:rFonts w:ascii="Arial" w:eastAsia="Calibri" w:hAnsi="Arial" w:cs="Times New Roman"/>
          <w:sz w:val="23"/>
          <w:szCs w:val="23"/>
          <w:u w:val="single"/>
          <w:lang w:val="es-ES" w:eastAsia="es-ES"/>
        </w:rPr>
        <w:t>XXXXXXXXXXXXXXXXXXXX</w:t>
      </w:r>
      <w:r w:rsidRPr="00525BEA">
        <w:rPr>
          <w:rFonts w:ascii="Arial" w:eastAsia="Calibri" w:hAnsi="Arial" w:cs="Times New Roman"/>
          <w:b/>
          <w:u w:val="single"/>
          <w:lang w:val="es-ES" w:eastAsia="es-ES"/>
        </w:rPr>
        <w:t>,</w:t>
      </w:r>
      <w:r w:rsidRPr="00525BEA">
        <w:rPr>
          <w:rFonts w:ascii="Arial" w:eastAsia="Calibri" w:hAnsi="Arial" w:cs="Times New Roman"/>
          <w:lang w:val="es-ES" w:eastAsia="es-ES"/>
        </w:rPr>
        <w:t xml:space="preserve"> expediente No. 21,082, modificando el dictamen de CERO POR CIENTO de discapacidad global (0%), emitido por la Comisión Técnica Evaluadora  en el recurso de revisión en fecha 16 de octubre de 2003, debido a que</w:t>
      </w:r>
      <w:r w:rsidRPr="00525BEA">
        <w:rPr>
          <w:rFonts w:ascii="Arial" w:eastAsia="Calibri" w:hAnsi="Arial" w:cs="Times New Roman"/>
          <w:b/>
          <w:lang w:val="es-ES" w:eastAsia="es-ES"/>
        </w:rPr>
        <w:t xml:space="preserve"> </w:t>
      </w:r>
      <w:r w:rsidRPr="00525BEA">
        <w:rPr>
          <w:rFonts w:ascii="Arial" w:eastAsia="Calibri" w:hAnsi="Arial" w:cs="Times New Roman"/>
          <w:lang w:val="es-ES" w:eastAsia="es-ES"/>
        </w:rPr>
        <w:t>no ha logrado demostrar mediante pruebas testimoniales o documentales fehacientes, que la lesiones que presenta en el abdomen, le hayan ocurrido a consecuencia directa del conflicto armado, los testigos presentados por el recurrente en el recurso de apelación dan una versión contradictoria, respecto al mecanismo de lesión, uno manifestó que resultó lesionado por impacto de arma de fuego y el otro que fue por esquirlas de bomba, durante un bombardeo,  y personas entrevistadas en el domicilio donde reside el recurrente manifestaron que lo conocen desde hace mucho tiempo, pero desconocen que haya participado en la guerrilla y que haya sufrido lesiones durante el conflicto armado.  Por lo que al no contar con pruebas fehacientes a su pretensión, y de conformidad al Art. 48, Lit. a) del Reglamento de la Ley de Beneficio para la Protección de Lisiados y Discapacitados a Consecuencia del Conflicto Armado, se modifica el dictamen de CERO POR CIENTO de discapacidad global (0%), emitido por la Comisión Técnica Evaluadora  en el recurso de revisión en fecha 16 de octubre de 2003 por la calidad de NO ELEGIBLE para recibir los beneficios que la Ley de FOPORLYD otorga a sus beneficiarios.</w:t>
      </w:r>
      <w:r w:rsidRPr="00525BEA">
        <w:rPr>
          <w:rFonts w:ascii="Arial" w:eastAsia="Calibri" w:hAnsi="Arial" w:cs="Times New Roman"/>
          <w:b/>
          <w:lang w:val="es-ES" w:eastAsia="es-ES"/>
        </w:rPr>
        <w:t xml:space="preserve"> </w:t>
      </w:r>
      <w:r w:rsidRPr="00525BEA">
        <w:rPr>
          <w:rFonts w:ascii="Arial" w:eastAsia="Calibri" w:hAnsi="Arial" w:cs="Times New Roman"/>
          <w:lang w:val="es-ES" w:eastAsia="es-ES"/>
        </w:rPr>
        <w:t xml:space="preserve">Se advierte que la resolución que resuelve el recurso de apelación no admite recurso alguno de conformidad al Art.21-A Literal r) inciso 2° de la 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Pr="00525BEA">
        <w:rPr>
          <w:rFonts w:ascii="Arial" w:eastAsia="Calibri" w:hAnsi="Arial" w:cs="Arial"/>
          <w:b/>
          <w:lang w:val="es-ES" w:eastAsia="es-ES"/>
        </w:rPr>
        <w:t xml:space="preserve">COMUNÍQUESE”. </w:t>
      </w:r>
      <w:r w:rsidRPr="00525BEA">
        <w:rPr>
          <w:rFonts w:ascii="Arial" w:eastAsia="Calibri" w:hAnsi="Arial" w:cs="Arial"/>
          <w:bCs/>
          <w:lang w:val="es-ES" w:eastAsia="es-ES"/>
        </w:rPr>
        <w:t>Rubricado por: Presidente de Junta Directiva: “ILEGIBLE”; Representante Propietario de ASALDIG: “ILEGIBLE”; Representante Propietario de ALFAES: “ILEGIBLE”; Representante Propietaria de ALGES: “ILEGIBLE”; Representante Suplente de ISRI: “ILEGIBLE”; Representante Suplente de IPSFA: “ILEGIBLE”; y Representante Suplente de MINSAL: “ILEGIBLE”.</w:t>
      </w:r>
    </w:p>
    <w:p w:rsidR="00525BEA" w:rsidRPr="00525BEA" w:rsidRDefault="00525BEA" w:rsidP="00525BEA">
      <w:pPr>
        <w:spacing w:after="0" w:line="240" w:lineRule="auto"/>
        <w:rPr>
          <w:rFonts w:ascii="Arial" w:eastAsia="Times New Roman" w:hAnsi="Arial" w:cs="Arial"/>
          <w:bCs/>
          <w:lang w:val="es-ES_tradnl" w:eastAsia="es-ES"/>
        </w:rPr>
      </w:pPr>
    </w:p>
    <w:p w:rsidR="00525BEA" w:rsidRPr="00525BEA" w:rsidRDefault="00525BEA" w:rsidP="00525BEA">
      <w:pPr>
        <w:spacing w:after="0" w:line="240" w:lineRule="auto"/>
        <w:rPr>
          <w:rFonts w:ascii="Arial" w:eastAsia="Times New Roman" w:hAnsi="Arial" w:cs="Arial"/>
          <w:bCs/>
          <w:lang w:val="es-ES_tradnl" w:eastAsia="es-ES"/>
        </w:rPr>
      </w:pPr>
      <w:r w:rsidRPr="00525BEA">
        <w:rPr>
          <w:rFonts w:ascii="Arial" w:eastAsia="Times New Roman" w:hAnsi="Arial" w:cs="Arial"/>
          <w:bCs/>
          <w:lang w:val="es-ES_tradnl" w:eastAsia="es-ES"/>
        </w:rPr>
        <w:t>Lo que se transcribe para los efectos pertinentes.</w:t>
      </w:r>
    </w:p>
    <w:p w:rsidR="00525BEA" w:rsidRPr="00525BEA" w:rsidRDefault="00525BEA" w:rsidP="00525BEA">
      <w:pPr>
        <w:spacing w:after="0" w:line="240" w:lineRule="auto"/>
        <w:rPr>
          <w:rFonts w:ascii="Arial" w:eastAsia="Times New Roman" w:hAnsi="Arial" w:cs="Arial"/>
          <w:bCs/>
          <w:lang w:val="es-ES_tradnl" w:eastAsia="es-ES"/>
        </w:rPr>
      </w:pPr>
    </w:p>
    <w:p w:rsidR="00525BEA" w:rsidRPr="00525BEA" w:rsidRDefault="00525BEA" w:rsidP="00525BEA">
      <w:pPr>
        <w:spacing w:after="0" w:line="240" w:lineRule="auto"/>
        <w:rPr>
          <w:rFonts w:ascii="Arial" w:eastAsia="Times New Roman" w:hAnsi="Arial" w:cs="Arial"/>
          <w:bCs/>
          <w:lang w:val="es-ES_tradnl" w:eastAsia="es-ES"/>
        </w:rPr>
      </w:pPr>
    </w:p>
    <w:p w:rsidR="00525BEA" w:rsidRPr="00525BEA" w:rsidRDefault="00525BEA" w:rsidP="00525BEA">
      <w:pPr>
        <w:spacing w:after="0" w:line="240" w:lineRule="auto"/>
        <w:rPr>
          <w:rFonts w:ascii="Arial" w:eastAsia="Times New Roman" w:hAnsi="Arial" w:cs="Arial"/>
          <w:bCs/>
          <w:lang w:val="es-ES_tradnl" w:eastAsia="es-ES"/>
        </w:rPr>
      </w:pPr>
    </w:p>
    <w:p w:rsidR="00525BEA" w:rsidRPr="00525BEA" w:rsidRDefault="00525BEA" w:rsidP="00525BEA">
      <w:pPr>
        <w:tabs>
          <w:tab w:val="left" w:pos="480"/>
        </w:tabs>
        <w:spacing w:after="0" w:line="240" w:lineRule="auto"/>
        <w:jc w:val="center"/>
        <w:rPr>
          <w:rFonts w:ascii="Arial" w:eastAsia="Times New Roman" w:hAnsi="Arial" w:cs="Arial"/>
          <w:lang w:eastAsia="es-ES"/>
        </w:rPr>
      </w:pPr>
      <w:r w:rsidRPr="00525BEA">
        <w:rPr>
          <w:rFonts w:ascii="Arial" w:eastAsia="Times New Roman" w:hAnsi="Arial" w:cs="Arial"/>
          <w:lang w:eastAsia="es-ES"/>
        </w:rPr>
        <w:t xml:space="preserve">Dra. </w:t>
      </w:r>
      <w:proofErr w:type="spellStart"/>
      <w:r w:rsidRPr="00525BEA">
        <w:rPr>
          <w:rFonts w:ascii="Arial" w:eastAsia="Times New Roman" w:hAnsi="Arial" w:cs="Arial"/>
          <w:lang w:eastAsia="es-ES"/>
        </w:rPr>
        <w:t>Claraevelyn</w:t>
      </w:r>
      <w:proofErr w:type="spellEnd"/>
      <w:r w:rsidRPr="00525BEA">
        <w:rPr>
          <w:rFonts w:ascii="Arial" w:eastAsia="Times New Roman" w:hAnsi="Arial" w:cs="Arial"/>
          <w:lang w:eastAsia="es-ES"/>
        </w:rPr>
        <w:t xml:space="preserve"> </w:t>
      </w:r>
      <w:proofErr w:type="spellStart"/>
      <w:r w:rsidRPr="00525BEA">
        <w:rPr>
          <w:rFonts w:ascii="Arial" w:eastAsia="Times New Roman" w:hAnsi="Arial" w:cs="Arial"/>
          <w:lang w:eastAsia="es-ES"/>
        </w:rPr>
        <w:t>Rossie</w:t>
      </w:r>
      <w:proofErr w:type="spellEnd"/>
      <w:r w:rsidRPr="00525BEA">
        <w:rPr>
          <w:rFonts w:ascii="Arial" w:eastAsia="Times New Roman" w:hAnsi="Arial" w:cs="Arial"/>
          <w:lang w:eastAsia="es-ES"/>
        </w:rPr>
        <w:t xml:space="preserve"> Del Valle Castillo</w:t>
      </w:r>
    </w:p>
    <w:p w:rsidR="00525BEA" w:rsidRPr="00525BEA" w:rsidRDefault="00525BEA" w:rsidP="00525BEA">
      <w:pPr>
        <w:tabs>
          <w:tab w:val="left" w:pos="480"/>
        </w:tabs>
        <w:spacing w:after="0" w:line="240" w:lineRule="auto"/>
        <w:jc w:val="center"/>
        <w:rPr>
          <w:rFonts w:ascii="Arial" w:eastAsia="Times New Roman" w:hAnsi="Arial" w:cs="Arial"/>
          <w:lang w:eastAsia="es-ES"/>
        </w:rPr>
      </w:pPr>
      <w:r w:rsidRPr="00525BEA">
        <w:rPr>
          <w:rFonts w:ascii="Arial" w:eastAsia="Times New Roman" w:hAnsi="Arial" w:cs="Arial"/>
          <w:lang w:eastAsia="es-ES"/>
        </w:rPr>
        <w:t>Gerente General</w:t>
      </w:r>
    </w:p>
    <w:sectPr w:rsidR="00525BEA" w:rsidRPr="00525B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165" w:rsidRDefault="00F85165" w:rsidP="00525BEA">
      <w:pPr>
        <w:spacing w:after="0" w:line="240" w:lineRule="auto"/>
      </w:pPr>
      <w:r>
        <w:separator/>
      </w:r>
    </w:p>
  </w:endnote>
  <w:endnote w:type="continuationSeparator" w:id="0">
    <w:p w:rsidR="00F85165" w:rsidRDefault="00F85165" w:rsidP="0052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165" w:rsidRDefault="00F85165" w:rsidP="00525BEA">
      <w:pPr>
        <w:spacing w:after="0" w:line="240" w:lineRule="auto"/>
      </w:pPr>
      <w:r>
        <w:separator/>
      </w:r>
    </w:p>
  </w:footnote>
  <w:footnote w:type="continuationSeparator" w:id="0">
    <w:p w:rsidR="00F85165" w:rsidRDefault="00F85165" w:rsidP="0052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EA" w:rsidRDefault="00525BEA">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6F62DD5A" wp14:editId="3ED2BB7C">
          <wp:simplePos x="0" y="0"/>
          <wp:positionH relativeFrom="page">
            <wp:posOffset>1632585</wp:posOffset>
          </wp:positionH>
          <wp:positionV relativeFrom="paragraph">
            <wp:posOffset>-353060</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EA"/>
    <w:rsid w:val="00287EED"/>
    <w:rsid w:val="00525BEA"/>
    <w:rsid w:val="00B5271D"/>
    <w:rsid w:val="00CE7B6C"/>
    <w:rsid w:val="00F17582"/>
    <w:rsid w:val="00F8516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34E3"/>
  <w15:chartTrackingRefBased/>
  <w15:docId w15:val="{FB4E98DC-12AE-4A24-9C39-DBD26EBC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5B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5BEA"/>
  </w:style>
  <w:style w:type="paragraph" w:styleId="Piedepgina">
    <w:name w:val="footer"/>
    <w:basedOn w:val="Normal"/>
    <w:link w:val="PiedepginaCar"/>
    <w:uiPriority w:val="99"/>
    <w:unhideWhenUsed/>
    <w:rsid w:val="00525B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3</cp:revision>
  <dcterms:created xsi:type="dcterms:W3CDTF">2021-10-20T14:06:00Z</dcterms:created>
  <dcterms:modified xsi:type="dcterms:W3CDTF">2021-10-20T20:10:00Z</dcterms:modified>
</cp:coreProperties>
</file>