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AA" w:rsidRPr="00B21AAA" w:rsidRDefault="00B21AAA" w:rsidP="00B21AAA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B21AAA" w:rsidRPr="00B21AAA" w:rsidRDefault="00B21AAA" w:rsidP="00B21AAA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B21AAA" w:rsidRPr="00B21AAA" w:rsidRDefault="00B21AAA" w:rsidP="00B21A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B21AAA" w:rsidRPr="00B21AAA" w:rsidRDefault="00B21AAA" w:rsidP="00B21A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B21AAA" w:rsidRPr="00B21AAA" w:rsidRDefault="00B21AAA" w:rsidP="00B21A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B21AAA" w:rsidRPr="00B21AAA" w:rsidRDefault="00B21AAA" w:rsidP="00B21A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B21AAA" w:rsidRPr="00B21AAA" w:rsidRDefault="00B21AAA" w:rsidP="00B21A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B21AAA" w:rsidRPr="00B21AAA" w:rsidRDefault="00B21AAA" w:rsidP="00B21AAA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287EED" w:rsidRDefault="00287EED"/>
    <w:p w:rsidR="00B21AAA" w:rsidRDefault="00B21AAA"/>
    <w:p w:rsidR="00B21AAA" w:rsidRDefault="00B21AAA"/>
    <w:p w:rsidR="00B21AAA" w:rsidRDefault="00B21AAA"/>
    <w:p w:rsidR="00B21AAA" w:rsidRPr="00B21AAA" w:rsidRDefault="00B21AAA" w:rsidP="00B21AAA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4"/>
          <w:szCs w:val="24"/>
          <w:lang w:eastAsia="es-ES"/>
        </w:rPr>
      </w:pPr>
      <w:r w:rsidRPr="00B21AAA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SE HA EMITIDO EL ACUERDO QUE DICE:</w:t>
      </w:r>
    </w:p>
    <w:p w:rsidR="00B21AAA" w:rsidRPr="00B21AAA" w:rsidRDefault="00B21AAA" w:rsidP="00B21AA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</w:p>
    <w:p w:rsidR="00B21AAA" w:rsidRPr="00B21AAA" w:rsidRDefault="00B21AAA" w:rsidP="00B21AA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</w:p>
    <w:p w:rsidR="00B21AAA" w:rsidRPr="00B21AAA" w:rsidRDefault="00B21AAA" w:rsidP="00B21AA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</w:p>
    <w:p w:rsidR="00B21AAA" w:rsidRPr="00B21AAA" w:rsidRDefault="00B21AAA" w:rsidP="00B21AAA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s-ES" w:eastAsia="es-ES"/>
        </w:rPr>
      </w:pPr>
      <w:r w:rsidRPr="00B21AAA">
        <w:rPr>
          <w:rFonts w:ascii="Arial" w:eastAsia="Calibri" w:hAnsi="Arial" w:cs="Arial"/>
          <w:b/>
          <w:sz w:val="24"/>
          <w:szCs w:val="24"/>
          <w:lang w:val="es-ES" w:eastAsia="es-ES"/>
        </w:rPr>
        <w:t xml:space="preserve">San Salvador, 02 de septiembre de 2021, ACTA No. 33.09.2021, ACUERDO No. 563.09.2021. La Junta Directiva del Fondo de Protección de Lisiados y Discapacitados a Consecuencia del Conflicto Armado, </w:t>
      </w:r>
      <w:r w:rsidRPr="00B21AAA">
        <w:rPr>
          <w:rFonts w:ascii="Arial" w:eastAsia="Calibri" w:hAnsi="Arial" w:cs="Times New Roman"/>
          <w:sz w:val="24"/>
          <w:szCs w:val="24"/>
          <w:lang w:val="es-ES" w:eastAsia="es-ES"/>
        </w:rPr>
        <w:t>con el voto favorable de los Directivos Propietarios Representantes de:</w:t>
      </w:r>
      <w:r w:rsidRPr="00B21AAA">
        <w:rPr>
          <w:rFonts w:ascii="Arial" w:eastAsia="Calibri" w:hAnsi="Arial" w:cs="Times New Roman"/>
          <w:b/>
          <w:sz w:val="24"/>
          <w:szCs w:val="24"/>
          <w:lang w:val="es-ES" w:eastAsia="es-ES"/>
        </w:rPr>
        <w:t xml:space="preserve"> </w:t>
      </w:r>
      <w:r w:rsidRPr="00B21AAA">
        <w:rPr>
          <w:rFonts w:ascii="Arial" w:eastAsia="Calibri" w:hAnsi="Arial" w:cs="Times New Roman"/>
          <w:b/>
          <w:sz w:val="24"/>
          <w:szCs w:val="24"/>
          <w:lang w:val="es-ES" w:eastAsia="es-SV"/>
        </w:rPr>
        <w:t xml:space="preserve">ASALDIG, ALFAES </w:t>
      </w:r>
      <w:r w:rsidRPr="00B21AAA">
        <w:rPr>
          <w:rFonts w:ascii="Arial" w:eastAsia="Calibri" w:hAnsi="Arial" w:cs="Times New Roman"/>
          <w:sz w:val="24"/>
          <w:szCs w:val="24"/>
          <w:lang w:val="es-ES" w:eastAsia="es-SV"/>
        </w:rPr>
        <w:t>y el</w:t>
      </w:r>
      <w:r w:rsidRPr="00B21AAA">
        <w:rPr>
          <w:rFonts w:ascii="Arial" w:eastAsia="Calibri" w:hAnsi="Arial" w:cs="Times New Roman"/>
          <w:b/>
          <w:sz w:val="24"/>
          <w:szCs w:val="24"/>
          <w:lang w:val="es-ES" w:eastAsia="es-SV"/>
        </w:rPr>
        <w:t xml:space="preserve"> Presidente; </w:t>
      </w:r>
      <w:r w:rsidRPr="00B21AAA">
        <w:rPr>
          <w:rFonts w:ascii="Arial" w:eastAsia="Calibri" w:hAnsi="Arial" w:cs="Times New Roman"/>
          <w:sz w:val="24"/>
          <w:szCs w:val="24"/>
          <w:lang w:val="es-ES" w:eastAsia="es-SV"/>
        </w:rPr>
        <w:t>y los Directivos Suplentes de:</w:t>
      </w:r>
      <w:r w:rsidRPr="00B21AAA">
        <w:rPr>
          <w:rFonts w:ascii="Arial" w:eastAsia="Calibri" w:hAnsi="Arial" w:cs="Times New Roman"/>
          <w:b/>
          <w:sz w:val="24"/>
          <w:szCs w:val="24"/>
          <w:lang w:val="es-ES" w:eastAsia="es-SV"/>
        </w:rPr>
        <w:t xml:space="preserve"> IPSFA, MINSAL </w:t>
      </w:r>
      <w:r w:rsidRPr="00B21AAA">
        <w:rPr>
          <w:rFonts w:ascii="Arial" w:eastAsia="Calibri" w:hAnsi="Arial" w:cs="Times New Roman"/>
          <w:sz w:val="24"/>
          <w:szCs w:val="24"/>
          <w:lang w:val="es-ES" w:eastAsia="es-SV"/>
        </w:rPr>
        <w:t>y</w:t>
      </w:r>
      <w:r w:rsidRPr="00B21AAA">
        <w:rPr>
          <w:rFonts w:ascii="Arial" w:eastAsia="Calibri" w:hAnsi="Arial" w:cs="Times New Roman"/>
          <w:b/>
          <w:sz w:val="24"/>
          <w:szCs w:val="24"/>
          <w:lang w:val="es-ES" w:eastAsia="es-SV"/>
        </w:rPr>
        <w:t xml:space="preserve"> AOSSTALGFAES, </w:t>
      </w:r>
      <w:r w:rsidRPr="00B21AAA">
        <w:rPr>
          <w:rFonts w:ascii="Arial" w:eastAsia="Calibri" w:hAnsi="Arial" w:cs="Times New Roman"/>
          <w:sz w:val="24"/>
          <w:szCs w:val="24"/>
          <w:lang w:val="es-ES" w:eastAsia="es-SV"/>
        </w:rPr>
        <w:t>se</w:t>
      </w:r>
      <w:r w:rsidRPr="00B21A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 emitió y ratificó el acuerdo siguiente:</w:t>
      </w:r>
      <w:r w:rsidRPr="00B21AAA">
        <w:rPr>
          <w:rFonts w:ascii="Arial" w:eastAsia="Calibri" w:hAnsi="Arial" w:cs="Times New Roman"/>
          <w:b/>
          <w:sz w:val="24"/>
          <w:szCs w:val="24"/>
          <w:lang w:val="es-ES" w:eastAsia="es-ES"/>
        </w:rPr>
        <w:t xml:space="preserve">  </w:t>
      </w:r>
      <w:r w:rsidRPr="00B21A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La Junta Directiva conforme a la propuesta presentada por la Comisión Especial de Apelaciones, con la cual se resuelven los recursos de apelación presentados por cuatro personas, </w:t>
      </w:r>
      <w:r w:rsidRPr="00B21AAA">
        <w:rPr>
          <w:rFonts w:ascii="Arial" w:eastAsia="Calibri" w:hAnsi="Arial" w:cs="Times New Roman"/>
          <w:b/>
          <w:sz w:val="24"/>
          <w:szCs w:val="24"/>
          <w:lang w:val="es-ES" w:eastAsia="es-ES"/>
        </w:rPr>
        <w:t xml:space="preserve">RESUELVE: </w:t>
      </w:r>
      <w:r w:rsidRPr="00B21AAA">
        <w:rPr>
          <w:rFonts w:ascii="Arial" w:eastAsia="Calibri" w:hAnsi="Arial" w:cs="Times New Roman"/>
          <w:b/>
          <w:sz w:val="24"/>
          <w:szCs w:val="24"/>
          <w:u w:val="single"/>
          <w:lang w:val="es-ES" w:eastAsia="es-ES"/>
        </w:rPr>
        <w:t>a)</w:t>
      </w:r>
      <w:r w:rsidRPr="00B21AAA">
        <w:rPr>
          <w:rFonts w:ascii="Arial" w:eastAsia="Calibri" w:hAnsi="Arial" w:cs="Times New Roman"/>
          <w:sz w:val="24"/>
          <w:szCs w:val="24"/>
          <w:u w:val="single"/>
          <w:lang w:val="es-ES" w:eastAsia="es-ES"/>
        </w:rPr>
        <w:t xml:space="preserve"> Dictaminar con 5% de discapacidad global al señor</w:t>
      </w:r>
      <w:r w:rsidR="005E7B78">
        <w:rPr>
          <w:rFonts w:ascii="Arial" w:eastAsia="Calibri" w:hAnsi="Arial" w:cs="Times New Roman"/>
          <w:b/>
          <w:sz w:val="24"/>
          <w:szCs w:val="24"/>
          <w:u w:val="single"/>
          <w:lang w:val="es-ES" w:eastAsia="es-ES"/>
        </w:rPr>
        <w:t xml:space="preserve"> </w:t>
      </w:r>
      <w:r w:rsidR="005E7B78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bookmarkStart w:id="0" w:name="_GoBack"/>
      <w:bookmarkEnd w:id="0"/>
      <w:r w:rsidRPr="00B21AAA">
        <w:rPr>
          <w:rFonts w:ascii="Arial" w:eastAsia="Calibri" w:hAnsi="Arial" w:cs="Times New Roman"/>
          <w:sz w:val="24"/>
          <w:szCs w:val="24"/>
          <w:u w:val="single"/>
          <w:lang w:val="es-ES" w:eastAsia="es-ES"/>
        </w:rPr>
        <w:t>,</w:t>
      </w:r>
      <w:r w:rsidRPr="00B21A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 expediente No. 7285, modificando el porcentaje de discapacidad global de TRES POR CIENTO (3%), dictaminado en el recurso de revisión en fecha 11 de mayo de 2015, con base a la evaluación física realizada por esa Comisión y en estricto apego a los principios generales de la actividad administrativa regulados en el Art.3, y en cumplimiento a lo establecido en los Art. 22, 23 </w:t>
      </w:r>
      <w:proofErr w:type="spellStart"/>
      <w:r w:rsidRPr="00B21AAA">
        <w:rPr>
          <w:rFonts w:ascii="Arial" w:eastAsia="Calibri" w:hAnsi="Arial" w:cs="Times New Roman"/>
          <w:sz w:val="24"/>
          <w:szCs w:val="24"/>
          <w:lang w:val="es-ES" w:eastAsia="es-ES"/>
        </w:rPr>
        <w:t>lit</w:t>
      </w:r>
      <w:proofErr w:type="spellEnd"/>
      <w:r w:rsidRPr="00B21A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 c),  129  y 131 de la Ley de Procedimientos Administrativos, asimismo con base al dictamen de los médicos especialistas que evaluaron al beneficiario, de conformidad al Art. 33 del Reglamento de la Ley: </w:t>
      </w:r>
      <w:r w:rsidRPr="00B21AAA">
        <w:rPr>
          <w:rFonts w:ascii="Arial" w:eastAsia="Calibri" w:hAnsi="Arial" w:cs="Times New Roman"/>
          <w:b/>
          <w:sz w:val="24"/>
          <w:szCs w:val="24"/>
          <w:lang w:val="es-ES" w:eastAsia="es-ES"/>
        </w:rPr>
        <w:t xml:space="preserve">1) </w:t>
      </w:r>
      <w:r w:rsidRPr="00B21A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Audiometría tonal bilateral: reportó trauma acústico bilateral. Discapacidad por sistema: cinco por ciento (5%); </w:t>
      </w:r>
      <w:r w:rsidRPr="00B21AAA">
        <w:rPr>
          <w:rFonts w:ascii="Arial" w:eastAsia="Calibri" w:hAnsi="Arial" w:cs="Times New Roman"/>
          <w:b/>
          <w:sz w:val="24"/>
          <w:szCs w:val="24"/>
          <w:lang w:val="es-ES" w:eastAsia="es-ES"/>
        </w:rPr>
        <w:t>2)</w:t>
      </w:r>
      <w:r w:rsidRPr="00B21A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 Cirujano plástico: a nivel lumbar hay una cicatriz transversa (línea media) de 4 cm y otra longitudinal de 10 cm., no causa déficit permanente de la piel. Discapacidad por sistema: cero por ciento (0%). Se advierte que la resolución que resuelve el recurso de apelación no admite recurso alguno de conformidad al Art.21-A inciso último de la 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No. 326.05.2019, de fecha 31 de mayo de 2019. </w:t>
      </w:r>
      <w:r w:rsidRPr="00B21AAA">
        <w:rPr>
          <w:rFonts w:ascii="Arial" w:eastAsia="Calibri" w:hAnsi="Arial" w:cs="Arial"/>
          <w:b/>
          <w:sz w:val="24"/>
          <w:szCs w:val="24"/>
          <w:lang w:val="es-ES" w:eastAsia="es-ES"/>
        </w:rPr>
        <w:t>COMUNÍQUESE”.</w:t>
      </w:r>
      <w:r w:rsidRPr="00B21AAA">
        <w:rPr>
          <w:rFonts w:ascii="Arial" w:eastAsia="Calibri" w:hAnsi="Arial" w:cs="Arial"/>
          <w:b/>
          <w:color w:val="FF0000"/>
          <w:sz w:val="24"/>
          <w:szCs w:val="24"/>
          <w:lang w:val="es-ES" w:eastAsia="es-ES"/>
        </w:rPr>
        <w:t xml:space="preserve"> </w:t>
      </w:r>
      <w:r w:rsidRPr="00B21AAA">
        <w:rPr>
          <w:rFonts w:ascii="Arial" w:eastAsia="Calibri" w:hAnsi="Arial" w:cs="Arial"/>
          <w:bCs/>
          <w:sz w:val="24"/>
          <w:szCs w:val="24"/>
          <w:lang w:val="es-ES" w:eastAsia="es-ES"/>
        </w:rPr>
        <w:t>Rubricado por: Presidente de Junta Directiva: “ILEGIBLE”; Representante Propietario de ASALDIG: “ILEGIBLE”; Representante Propietario de ALFAES: “ILEGIBLE”; Representante Suplente de IPSFA: “ILEGIBLE”; Representante Suplente de MINSAL: “ILEGIBLE”; y Representante Suplente de AOSSTALGFAES: “ILEGIBLE”.</w:t>
      </w:r>
    </w:p>
    <w:p w:rsidR="00B21AAA" w:rsidRPr="00B21AAA" w:rsidRDefault="00B21AAA" w:rsidP="00B21A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:rsidR="00B21AAA" w:rsidRPr="00B21AAA" w:rsidRDefault="00B21AAA" w:rsidP="00B21A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  <w:r w:rsidRPr="00B21AAA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Lo que se transcribe para los efectos pertinentes.</w:t>
      </w:r>
    </w:p>
    <w:p w:rsidR="00B21AAA" w:rsidRPr="00B21AAA" w:rsidRDefault="00B21AAA" w:rsidP="00B21A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:rsidR="00B21AAA" w:rsidRPr="00B21AAA" w:rsidRDefault="00B21AAA" w:rsidP="00B21A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:rsidR="00B21AAA" w:rsidRPr="00B21AAA" w:rsidRDefault="00B21AAA" w:rsidP="00B21A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:rsidR="00B21AAA" w:rsidRPr="00B21AAA" w:rsidRDefault="00B21AAA" w:rsidP="00B21AAA">
      <w:pPr>
        <w:tabs>
          <w:tab w:val="left" w:pos="4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B21AAA">
        <w:rPr>
          <w:rFonts w:ascii="Arial" w:eastAsia="Times New Roman" w:hAnsi="Arial" w:cs="Arial"/>
          <w:sz w:val="24"/>
          <w:szCs w:val="24"/>
          <w:lang w:eastAsia="es-ES"/>
        </w:rPr>
        <w:t xml:space="preserve">Dra. </w:t>
      </w:r>
      <w:proofErr w:type="spellStart"/>
      <w:r w:rsidRPr="00B21AAA">
        <w:rPr>
          <w:rFonts w:ascii="Arial" w:eastAsia="Times New Roman" w:hAnsi="Arial" w:cs="Arial"/>
          <w:sz w:val="24"/>
          <w:szCs w:val="24"/>
          <w:lang w:eastAsia="es-ES"/>
        </w:rPr>
        <w:t>Claraevelyn</w:t>
      </w:r>
      <w:proofErr w:type="spellEnd"/>
      <w:r w:rsidRPr="00B21AA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B21AAA">
        <w:rPr>
          <w:rFonts w:ascii="Arial" w:eastAsia="Times New Roman" w:hAnsi="Arial" w:cs="Arial"/>
          <w:sz w:val="24"/>
          <w:szCs w:val="24"/>
          <w:lang w:eastAsia="es-ES"/>
        </w:rPr>
        <w:t>Rossie</w:t>
      </w:r>
      <w:proofErr w:type="spellEnd"/>
      <w:r w:rsidRPr="00B21AAA">
        <w:rPr>
          <w:rFonts w:ascii="Arial" w:eastAsia="Times New Roman" w:hAnsi="Arial" w:cs="Arial"/>
          <w:sz w:val="24"/>
          <w:szCs w:val="24"/>
          <w:lang w:eastAsia="es-ES"/>
        </w:rPr>
        <w:t xml:space="preserve"> Del Valle Castillo</w:t>
      </w:r>
    </w:p>
    <w:p w:rsidR="00B21AAA" w:rsidRPr="00B21AAA" w:rsidRDefault="00B21AAA" w:rsidP="00B21AAA">
      <w:pPr>
        <w:tabs>
          <w:tab w:val="left" w:pos="4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B21AAA">
        <w:rPr>
          <w:rFonts w:ascii="Arial" w:eastAsia="Times New Roman" w:hAnsi="Arial" w:cs="Arial"/>
          <w:sz w:val="24"/>
          <w:szCs w:val="24"/>
          <w:lang w:eastAsia="es-ES"/>
        </w:rPr>
        <w:t>Gerente General</w:t>
      </w:r>
    </w:p>
    <w:sectPr w:rsidR="00B21AAA" w:rsidRPr="00B21A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C56" w:rsidRDefault="00495C56" w:rsidP="00B21AAA">
      <w:pPr>
        <w:spacing w:after="0" w:line="240" w:lineRule="auto"/>
      </w:pPr>
      <w:r>
        <w:separator/>
      </w:r>
    </w:p>
  </w:endnote>
  <w:endnote w:type="continuationSeparator" w:id="0">
    <w:p w:rsidR="00495C56" w:rsidRDefault="00495C56" w:rsidP="00B2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C56" w:rsidRDefault="00495C56" w:rsidP="00B21AAA">
      <w:pPr>
        <w:spacing w:after="0" w:line="240" w:lineRule="auto"/>
      </w:pPr>
      <w:r>
        <w:separator/>
      </w:r>
    </w:p>
  </w:footnote>
  <w:footnote w:type="continuationSeparator" w:id="0">
    <w:p w:rsidR="00495C56" w:rsidRDefault="00495C56" w:rsidP="00B2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AA" w:rsidRDefault="00B21AAA">
    <w:pPr>
      <w:pStyle w:val="Encabezado"/>
      <w:rPr>
        <w:rFonts w:ascii="Times New Roman" w:hAnsi="Times New Roman"/>
        <w:noProof/>
        <w:sz w:val="20"/>
        <w:szCs w:val="20"/>
        <w:lang w:eastAsia="es-SV"/>
      </w:rPr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1A93AD10" wp14:editId="2E62EC5F">
          <wp:simplePos x="0" y="0"/>
          <wp:positionH relativeFrom="page">
            <wp:posOffset>1661160</wp:posOffset>
          </wp:positionH>
          <wp:positionV relativeFrom="paragraph">
            <wp:posOffset>-324485</wp:posOffset>
          </wp:positionV>
          <wp:extent cx="4210050" cy="11049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1AAA" w:rsidRDefault="00B21AAA">
    <w:pPr>
      <w:pStyle w:val="Encabezado"/>
      <w:rPr>
        <w:rFonts w:ascii="Times New Roman" w:hAnsi="Times New Roman"/>
        <w:noProof/>
        <w:sz w:val="20"/>
        <w:szCs w:val="20"/>
        <w:lang w:eastAsia="es-SV"/>
      </w:rPr>
    </w:pPr>
  </w:p>
  <w:p w:rsidR="00B21AAA" w:rsidRDefault="00B21AAA">
    <w:pPr>
      <w:pStyle w:val="Encabezado"/>
      <w:rPr>
        <w:rFonts w:ascii="Times New Roman" w:hAnsi="Times New Roman"/>
        <w:noProof/>
        <w:sz w:val="20"/>
        <w:szCs w:val="20"/>
        <w:lang w:eastAsia="es-SV"/>
      </w:rPr>
    </w:pPr>
  </w:p>
  <w:p w:rsidR="00B21AAA" w:rsidRDefault="00B21AAA">
    <w:pPr>
      <w:pStyle w:val="Encabezado"/>
      <w:rPr>
        <w:rFonts w:ascii="Times New Roman" w:hAnsi="Times New Roman"/>
        <w:noProof/>
        <w:sz w:val="20"/>
        <w:szCs w:val="20"/>
        <w:lang w:eastAsia="es-SV"/>
      </w:rPr>
    </w:pPr>
  </w:p>
  <w:p w:rsidR="00B21AAA" w:rsidRDefault="00B21AAA">
    <w:pPr>
      <w:pStyle w:val="Encabezado"/>
      <w:rPr>
        <w:rFonts w:ascii="Times New Roman" w:hAnsi="Times New Roman"/>
        <w:noProof/>
        <w:sz w:val="20"/>
        <w:szCs w:val="20"/>
        <w:lang w:eastAsia="es-SV"/>
      </w:rPr>
    </w:pPr>
  </w:p>
  <w:p w:rsidR="00B21AAA" w:rsidRDefault="00B21AAA">
    <w:pPr>
      <w:pStyle w:val="Encabezado"/>
      <w:rPr>
        <w:rFonts w:ascii="Times New Roman" w:hAnsi="Times New Roman"/>
        <w:noProof/>
        <w:sz w:val="20"/>
        <w:szCs w:val="20"/>
        <w:lang w:eastAsia="es-SV"/>
      </w:rPr>
    </w:pPr>
  </w:p>
  <w:p w:rsidR="00B21AAA" w:rsidRDefault="00B21A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AA"/>
    <w:rsid w:val="00003954"/>
    <w:rsid w:val="00287EED"/>
    <w:rsid w:val="00495C56"/>
    <w:rsid w:val="005E7B78"/>
    <w:rsid w:val="00990F05"/>
    <w:rsid w:val="00B2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91E9"/>
  <w15:chartTrackingRefBased/>
  <w15:docId w15:val="{DD8ECE02-2B54-452D-AE42-7B8C3BC6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A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AAA"/>
  </w:style>
  <w:style w:type="paragraph" w:styleId="Piedepgina">
    <w:name w:val="footer"/>
    <w:basedOn w:val="Normal"/>
    <w:link w:val="PiedepginaCar"/>
    <w:uiPriority w:val="99"/>
    <w:unhideWhenUsed/>
    <w:rsid w:val="00B21A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Carmen Elena Meneses Mejia</cp:lastModifiedBy>
  <cp:revision>3</cp:revision>
  <dcterms:created xsi:type="dcterms:W3CDTF">2021-10-20T13:38:00Z</dcterms:created>
  <dcterms:modified xsi:type="dcterms:W3CDTF">2021-10-20T15:16:00Z</dcterms:modified>
</cp:coreProperties>
</file>