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AD2EFE" w:rsidRDefault="00AD2EFE"/>
    <w:p w:rsidR="001876FE" w:rsidRPr="006B0321" w:rsidRDefault="001876FE" w:rsidP="001876FE">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1876FE" w:rsidRPr="006B0321" w:rsidRDefault="001876FE" w:rsidP="001876FE">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1876FE" w:rsidRPr="006B0321" w:rsidRDefault="001876FE" w:rsidP="001876F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1876FE" w:rsidRPr="006B0321" w:rsidRDefault="001876FE" w:rsidP="001876F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1876FE" w:rsidRPr="006B0321" w:rsidRDefault="001876FE" w:rsidP="001876FE">
      <w:pPr>
        <w:spacing w:after="0" w:line="840" w:lineRule="exact"/>
        <w:ind w:left="1530" w:right="1532"/>
        <w:jc w:val="center"/>
        <w:rPr>
          <w:rFonts w:ascii="Calibri" w:eastAsia="Calibri" w:hAnsi="Calibri" w:cs="Calibri"/>
          <w:b/>
          <w:position w:val="3"/>
          <w:sz w:val="72"/>
          <w:szCs w:val="72"/>
        </w:rPr>
      </w:pPr>
    </w:p>
    <w:p w:rsidR="001876FE" w:rsidRPr="006B0321" w:rsidRDefault="001876FE" w:rsidP="001876F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1876FE" w:rsidRPr="006B0321" w:rsidRDefault="001876FE" w:rsidP="001876FE">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1876FE" w:rsidRDefault="001876FE" w:rsidP="001876FE">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1876FE" w:rsidRDefault="001876FE" w:rsidP="001876FE">
      <w:pPr>
        <w:jc w:val="center"/>
        <w:rPr>
          <w:rFonts w:ascii="Calibri" w:eastAsia="Calibri" w:hAnsi="Calibri" w:cs="Calibri"/>
          <w:b/>
          <w:position w:val="3"/>
          <w:sz w:val="72"/>
          <w:szCs w:val="72"/>
        </w:rPr>
      </w:pPr>
    </w:p>
    <w:p w:rsidR="00AD2EFE" w:rsidRDefault="00AD2EFE" w:rsidP="001876FE">
      <w:pPr>
        <w:keepNext/>
        <w:spacing w:after="0" w:line="240" w:lineRule="auto"/>
        <w:outlineLvl w:val="3"/>
        <w:rPr>
          <w:rFonts w:ascii="Arial" w:eastAsia="Arial Unicode MS" w:hAnsi="Arial" w:cs="Arial"/>
          <w:b/>
          <w:bCs/>
          <w:sz w:val="24"/>
          <w:szCs w:val="24"/>
          <w:lang w:eastAsia="es-ES"/>
        </w:rPr>
      </w:pPr>
    </w:p>
    <w:p w:rsidR="00AD2EFE" w:rsidRDefault="00AD2EFE" w:rsidP="001876FE">
      <w:pPr>
        <w:keepNext/>
        <w:spacing w:after="0" w:line="240" w:lineRule="auto"/>
        <w:outlineLvl w:val="3"/>
        <w:rPr>
          <w:rFonts w:ascii="Arial" w:eastAsia="Arial Unicode MS" w:hAnsi="Arial" w:cs="Arial"/>
          <w:b/>
          <w:bCs/>
          <w:sz w:val="24"/>
          <w:szCs w:val="24"/>
          <w:lang w:eastAsia="es-ES"/>
        </w:rPr>
      </w:pPr>
    </w:p>
    <w:p w:rsidR="001876FE" w:rsidRPr="001876FE" w:rsidRDefault="001876FE" w:rsidP="001876FE">
      <w:pPr>
        <w:keepNext/>
        <w:spacing w:after="0" w:line="240" w:lineRule="auto"/>
        <w:outlineLvl w:val="3"/>
        <w:rPr>
          <w:rFonts w:ascii="Arial" w:eastAsia="Arial Unicode MS" w:hAnsi="Arial" w:cs="Arial"/>
          <w:bCs/>
          <w:sz w:val="24"/>
          <w:szCs w:val="24"/>
          <w:lang w:eastAsia="es-ES"/>
        </w:rPr>
      </w:pPr>
      <w:r w:rsidRPr="001876FE">
        <w:rPr>
          <w:rFonts w:ascii="Arial" w:eastAsia="Arial Unicode MS" w:hAnsi="Arial" w:cs="Arial"/>
          <w:b/>
          <w:bCs/>
          <w:sz w:val="24"/>
          <w:szCs w:val="24"/>
          <w:lang w:eastAsia="es-ES"/>
        </w:rPr>
        <w:t>SE HA EMITIDO EL ACUERDO QUE DICE:</w:t>
      </w:r>
    </w:p>
    <w:p w:rsidR="001876FE" w:rsidRPr="001876FE" w:rsidRDefault="001876FE" w:rsidP="001876FE">
      <w:pPr>
        <w:spacing w:after="0" w:line="240" w:lineRule="auto"/>
        <w:jc w:val="both"/>
        <w:rPr>
          <w:rFonts w:ascii="Arial" w:eastAsia="Calibri" w:hAnsi="Arial" w:cs="Arial"/>
          <w:b/>
          <w:sz w:val="24"/>
          <w:szCs w:val="24"/>
          <w:lang w:eastAsia="es-ES"/>
        </w:rPr>
      </w:pPr>
    </w:p>
    <w:p w:rsidR="00AD2EFE" w:rsidRDefault="001876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r w:rsidRPr="001876FE">
        <w:rPr>
          <w:rFonts w:ascii="Arial" w:eastAsia="Times New Roman" w:hAnsi="Arial" w:cs="Arial"/>
          <w:b/>
          <w:sz w:val="24"/>
          <w:szCs w:val="24"/>
          <w:lang w:val="es-ES_tradnl" w:eastAsia="es-ES"/>
        </w:rPr>
        <w:t xml:space="preserve">San Salvador, 12 de agosto de 2021, ACTA No. 29.08.2021, ACUERDO No. 517.08.2021. La Junta Directiva del Fondo de Protección de Lisiados y Discapacitados a Consecuencia del Conflicto Armado, </w:t>
      </w:r>
      <w:r w:rsidRPr="001876FE">
        <w:rPr>
          <w:rFonts w:ascii="Arial" w:eastAsia="Times New Roman" w:hAnsi="Arial" w:cs="Times New Roman"/>
          <w:sz w:val="24"/>
          <w:szCs w:val="24"/>
          <w:lang w:val="es-ES_tradnl" w:eastAsia="es-ES"/>
        </w:rPr>
        <w:t xml:space="preserve">con el voto favorable de los Directivos Propietarios Representantes de: </w:t>
      </w:r>
      <w:r w:rsidRPr="001876FE">
        <w:rPr>
          <w:rFonts w:ascii="Arial" w:eastAsia="Times New Roman" w:hAnsi="Arial" w:cs="Times New Roman"/>
          <w:b/>
          <w:sz w:val="24"/>
          <w:szCs w:val="24"/>
          <w:lang w:val="es-ES_tradnl" w:eastAsia="es-SV"/>
        </w:rPr>
        <w:t>ASALDIG, ALGES</w:t>
      </w:r>
      <w:r w:rsidRPr="001876FE">
        <w:rPr>
          <w:rFonts w:ascii="Arial" w:eastAsia="Times New Roman" w:hAnsi="Arial" w:cs="Times New Roman"/>
          <w:sz w:val="24"/>
          <w:szCs w:val="24"/>
          <w:lang w:val="es-ES_tradnl" w:eastAsia="es-SV"/>
        </w:rPr>
        <w:t xml:space="preserve"> y el </w:t>
      </w:r>
      <w:r w:rsidRPr="001876FE">
        <w:rPr>
          <w:rFonts w:ascii="Arial" w:eastAsia="Times New Roman" w:hAnsi="Arial" w:cs="Times New Roman"/>
          <w:b/>
          <w:sz w:val="24"/>
          <w:szCs w:val="24"/>
          <w:lang w:val="es-ES_tradnl" w:eastAsia="es-SV"/>
        </w:rPr>
        <w:t>Presidente;</w:t>
      </w:r>
      <w:r w:rsidRPr="001876FE">
        <w:rPr>
          <w:rFonts w:ascii="Arial" w:eastAsia="Times New Roman" w:hAnsi="Arial" w:cs="Times New Roman"/>
          <w:sz w:val="24"/>
          <w:szCs w:val="24"/>
          <w:lang w:val="es-ES_tradnl" w:eastAsia="es-SV"/>
        </w:rPr>
        <w:t xml:space="preserve"> y los Directivos Suplentes de: </w:t>
      </w:r>
      <w:r w:rsidRPr="001876FE">
        <w:rPr>
          <w:rFonts w:ascii="Arial" w:eastAsia="Times New Roman" w:hAnsi="Arial" w:cs="Times New Roman"/>
          <w:b/>
          <w:sz w:val="24"/>
          <w:szCs w:val="24"/>
          <w:lang w:val="es-ES_tradnl" w:eastAsia="es-SV"/>
        </w:rPr>
        <w:t>IPSFA ALFAES</w:t>
      </w:r>
      <w:r w:rsidRPr="001876FE">
        <w:rPr>
          <w:rFonts w:ascii="Arial" w:eastAsia="Times New Roman" w:hAnsi="Arial" w:cs="Times New Roman"/>
          <w:sz w:val="24"/>
          <w:szCs w:val="24"/>
          <w:lang w:val="es-ES_tradnl" w:eastAsia="es-SV"/>
        </w:rPr>
        <w:t xml:space="preserve"> y</w:t>
      </w:r>
      <w:r w:rsidRPr="001876FE">
        <w:rPr>
          <w:rFonts w:ascii="Arial" w:eastAsia="Times New Roman" w:hAnsi="Arial" w:cs="Times New Roman"/>
          <w:b/>
          <w:sz w:val="24"/>
          <w:szCs w:val="24"/>
          <w:lang w:val="es-ES_tradnl" w:eastAsia="es-SV"/>
        </w:rPr>
        <w:t xml:space="preserve"> AOSSTALGFAES,</w:t>
      </w:r>
      <w:r w:rsidRPr="001876FE">
        <w:rPr>
          <w:rFonts w:ascii="Arial" w:eastAsia="Times New Roman" w:hAnsi="Arial" w:cs="Times New Roman"/>
          <w:sz w:val="24"/>
          <w:szCs w:val="24"/>
          <w:lang w:val="es-ES_tradnl" w:eastAsia="es-SV"/>
        </w:rPr>
        <w:t xml:space="preserve"> se</w:t>
      </w:r>
      <w:r w:rsidRPr="001876FE">
        <w:rPr>
          <w:rFonts w:ascii="Arial" w:eastAsia="Times New Roman" w:hAnsi="Arial" w:cs="Times New Roman"/>
          <w:sz w:val="24"/>
          <w:szCs w:val="24"/>
          <w:lang w:val="es-ES_tradnl" w:eastAsia="es-ES"/>
        </w:rPr>
        <w:t xml:space="preserve"> emitió y ratificó el acuerdo siguiente: La Junta Directiva conforme a la </w:t>
      </w:r>
      <w:r w:rsidRPr="001876FE">
        <w:rPr>
          <w:rFonts w:ascii="Arial" w:eastAsia="Times New Roman" w:hAnsi="Arial" w:cs="Times New Roman"/>
          <w:sz w:val="24"/>
          <w:szCs w:val="24"/>
          <w:lang w:val="es-ES_tradnl" w:eastAsia="es-SV"/>
        </w:rPr>
        <w:t xml:space="preserve">propuesta presentada por la Comisión Especial de Apelaciones, con la cual se resuelven los recursos de apelación presentados por once personas, acuerda: </w:t>
      </w:r>
      <w:r w:rsidRPr="001876FE">
        <w:rPr>
          <w:rFonts w:ascii="Arial" w:eastAsia="Times New Roman" w:hAnsi="Arial" w:cs="Times New Roman"/>
          <w:b/>
          <w:sz w:val="24"/>
          <w:szCs w:val="24"/>
          <w:u w:val="single"/>
          <w:lang w:val="es-ES" w:eastAsia="es-ES"/>
        </w:rPr>
        <w:t xml:space="preserve">k) </w:t>
      </w:r>
      <w:r w:rsidRPr="001876FE">
        <w:rPr>
          <w:rFonts w:ascii="Arial" w:eastAsia="Times New Roman" w:hAnsi="Arial" w:cs="Times New Roman"/>
          <w:sz w:val="24"/>
          <w:szCs w:val="24"/>
          <w:u w:val="single"/>
          <w:lang w:val="es-ES" w:eastAsia="es-ES"/>
        </w:rPr>
        <w:t>Dictaminar con 23% de discapacidad global al señor</w:t>
      </w:r>
      <w:r w:rsidRPr="001876FE">
        <w:rPr>
          <w:rFonts w:ascii="Arial" w:eastAsia="Times New Roman" w:hAnsi="Arial" w:cs="Times New Roman"/>
          <w:b/>
          <w:sz w:val="24"/>
          <w:szCs w:val="24"/>
          <w:u w:val="single"/>
          <w:lang w:val="es-ES" w:eastAsia="es-ES"/>
        </w:rPr>
        <w:t xml:space="preserve"> </w:t>
      </w:r>
      <w:r w:rsidR="00E85624">
        <w:rPr>
          <w:rFonts w:ascii="Arial" w:eastAsia="Calibri" w:hAnsi="Arial" w:cs="Times New Roman"/>
          <w:sz w:val="23"/>
          <w:szCs w:val="23"/>
          <w:u w:val="single"/>
          <w:lang w:val="es-ES" w:eastAsia="es-ES"/>
        </w:rPr>
        <w:t>XXXXXXXXXXXXXXXXXXXX</w:t>
      </w:r>
      <w:r w:rsidRPr="001876FE">
        <w:rPr>
          <w:rFonts w:ascii="Arial" w:eastAsia="Calibri" w:hAnsi="Arial" w:cs="Times New Roman"/>
          <w:b/>
          <w:sz w:val="24"/>
          <w:szCs w:val="24"/>
          <w:u w:val="single"/>
          <w:lang w:val="es-ES" w:eastAsia="es-ES"/>
        </w:rPr>
        <w:t>,</w:t>
      </w:r>
      <w:r w:rsidRPr="001876FE">
        <w:rPr>
          <w:rFonts w:ascii="Arial" w:eastAsia="Calibri" w:hAnsi="Arial" w:cs="Times New Roman"/>
          <w:b/>
          <w:sz w:val="24"/>
          <w:szCs w:val="24"/>
          <w:lang w:val="es-ES" w:eastAsia="es-ES"/>
        </w:rPr>
        <w:t xml:space="preserve"> </w:t>
      </w:r>
      <w:r w:rsidRPr="001876FE">
        <w:rPr>
          <w:rFonts w:ascii="Arial" w:eastAsia="Calibri" w:hAnsi="Arial" w:cs="Times New Roman"/>
          <w:sz w:val="24"/>
          <w:szCs w:val="24"/>
          <w:lang w:val="es-ES" w:eastAsia="es-ES"/>
        </w:rPr>
        <w:t>expediente No. 37325,</w:t>
      </w:r>
      <w:r w:rsidRPr="001876FE">
        <w:rPr>
          <w:rFonts w:ascii="Arial" w:eastAsia="Calibri" w:hAnsi="Arial" w:cs="Times New Roman"/>
          <w:b/>
          <w:sz w:val="24"/>
          <w:szCs w:val="24"/>
          <w:lang w:val="es-ES" w:eastAsia="es-ES"/>
        </w:rPr>
        <w:t xml:space="preserve"> </w:t>
      </w:r>
      <w:r w:rsidRPr="001876FE">
        <w:rPr>
          <w:rFonts w:ascii="Arial" w:eastAsia="Times New Roman" w:hAnsi="Arial" w:cs="Times New Roman"/>
          <w:sz w:val="24"/>
          <w:szCs w:val="24"/>
          <w:lang w:val="es-ES" w:eastAsia="es-ES"/>
        </w:rPr>
        <w:t xml:space="preserve">modificando la calidad de No Elegible dictaminada en el recurso de revisión en fecha </w:t>
      </w:r>
      <w:r w:rsidRPr="001876FE">
        <w:rPr>
          <w:rFonts w:ascii="Arial" w:eastAsia="Calibri" w:hAnsi="Arial" w:cs="Times New Roman"/>
          <w:sz w:val="24"/>
          <w:szCs w:val="24"/>
          <w:lang w:val="es-ES" w:eastAsia="es-ES"/>
        </w:rPr>
        <w:t xml:space="preserve">17 de agosto de 2020, </w:t>
      </w:r>
      <w:r w:rsidRPr="001876FE">
        <w:rPr>
          <w:rFonts w:ascii="Arial" w:eastAsia="Times New Roman" w:hAnsi="Arial" w:cs="Times New Roman"/>
          <w:sz w:val="24"/>
          <w:szCs w:val="24"/>
          <w:lang w:val="es-ES" w:eastAsia="es-ES"/>
        </w:rPr>
        <w:t xml:space="preserve">con base a las pruebas que obran en el  expediente en diferentes fases del proceso se determinó que es Elegible únicamente de las lesiones que presenta en la </w:t>
      </w:r>
      <w:r w:rsidRPr="001876FE">
        <w:rPr>
          <w:rFonts w:ascii="Arial" w:eastAsia="Calibri" w:hAnsi="Arial" w:cs="Times New Roman"/>
          <w:sz w:val="24"/>
          <w:szCs w:val="24"/>
          <w:lang w:val="es-ES" w:eastAsia="es-ES"/>
        </w:rPr>
        <w:t xml:space="preserve">cabeza, brazo derecho, y hombro derecho, por comprobarse el móvil del hecho donde resultó lesionado </w:t>
      </w:r>
      <w:r w:rsidRPr="001876FE">
        <w:rPr>
          <w:rFonts w:ascii="Arial" w:eastAsiaTheme="minorEastAsia" w:hAnsi="Arial" w:cs="Times New Roman"/>
          <w:sz w:val="24"/>
          <w:szCs w:val="24"/>
          <w:lang w:val="es-ES_tradnl" w:eastAsia="es-ES"/>
        </w:rPr>
        <w:t xml:space="preserve">a consecuencia directa del conflicto armado, </w:t>
      </w:r>
      <w:r w:rsidRPr="001876FE">
        <w:rPr>
          <w:rFonts w:ascii="Arial" w:eastAsia="Calibri" w:hAnsi="Arial" w:cs="Times New Roman"/>
          <w:sz w:val="24"/>
          <w:szCs w:val="24"/>
          <w:lang w:val="es-ES" w:eastAsia="es-ES"/>
        </w:rPr>
        <w:t>y se determina que es No Elegible de la lesión que presenta en columna por no existir pruebas fehacientes que determinen que es a consecuencia directa del conflicto armado</w:t>
      </w:r>
      <w:r w:rsidRPr="001876FE">
        <w:rPr>
          <w:rFonts w:ascii="Arial" w:eastAsiaTheme="minorEastAsia" w:hAnsi="Arial" w:cs="Times New Roman"/>
          <w:sz w:val="24"/>
          <w:szCs w:val="24"/>
          <w:lang w:val="es-ES_tradnl" w:eastAsia="es-ES"/>
        </w:rPr>
        <w:t xml:space="preserve"> y en estricto apego </w:t>
      </w:r>
      <w:r w:rsidRPr="001876FE">
        <w:rPr>
          <w:rFonts w:ascii="Arial" w:eastAsia="Times New Roman" w:hAnsi="Arial" w:cs="Times New Roman"/>
          <w:sz w:val="24"/>
          <w:szCs w:val="24"/>
          <w:lang w:val="es-ES" w:eastAsia="es-ES"/>
        </w:rPr>
        <w:t xml:space="preserve">a los principios generales de la actividad administrativa regulados en el Art.3, y en cumplimiento a lo establecido en los Art. 22, 23 </w:t>
      </w:r>
      <w:proofErr w:type="spellStart"/>
      <w:r w:rsidRPr="001876FE">
        <w:rPr>
          <w:rFonts w:ascii="Arial" w:eastAsia="Times New Roman" w:hAnsi="Arial" w:cs="Times New Roman"/>
          <w:sz w:val="24"/>
          <w:szCs w:val="24"/>
          <w:lang w:val="es-ES" w:eastAsia="es-ES"/>
        </w:rPr>
        <w:t>lit</w:t>
      </w:r>
      <w:proofErr w:type="spellEnd"/>
      <w:r w:rsidRPr="001876FE">
        <w:rPr>
          <w:rFonts w:ascii="Arial" w:eastAsia="Times New Roman" w:hAnsi="Arial" w:cs="Times New Roman"/>
          <w:sz w:val="24"/>
          <w:szCs w:val="24"/>
          <w:lang w:val="es-ES" w:eastAsia="es-ES"/>
        </w:rPr>
        <w:t xml:space="preserve"> c),  129  y 131 de la Ley de Procedimientos Administrativos</w:t>
      </w:r>
      <w:r w:rsidRPr="001876FE">
        <w:rPr>
          <w:rFonts w:ascii="Arial" w:eastAsia="Calibri" w:hAnsi="Arial" w:cs="Times New Roman"/>
          <w:sz w:val="24"/>
          <w:szCs w:val="24"/>
          <w:lang w:val="es-ES" w:eastAsia="es-ES"/>
        </w:rPr>
        <w:t xml:space="preserve">, así como en atención al </w:t>
      </w:r>
      <w:r w:rsidRPr="001876FE">
        <w:rPr>
          <w:rFonts w:ascii="Arial" w:eastAsia="Times New Roman" w:hAnsi="Arial" w:cs="Times New Roman"/>
          <w:sz w:val="24"/>
          <w:szCs w:val="24"/>
          <w:lang w:val="es-ES" w:eastAsia="es-ES"/>
        </w:rPr>
        <w:t xml:space="preserve">dictamen de los médicos especialistas que evaluaron al recurrente, de conformidad al Art. 33 </w:t>
      </w:r>
      <w:r w:rsidRPr="001876FE">
        <w:rPr>
          <w:rFonts w:ascii="Arial" w:eastAsia="Calibri" w:hAnsi="Arial" w:cs="Times New Roman"/>
          <w:sz w:val="24"/>
          <w:szCs w:val="24"/>
          <w:lang w:val="es-ES" w:eastAsia="es-ES"/>
        </w:rPr>
        <w:t xml:space="preserve">del Reglamento de la Ley: </w:t>
      </w:r>
      <w:r w:rsidRPr="001876FE">
        <w:rPr>
          <w:rFonts w:ascii="Arial" w:eastAsia="Calibri" w:hAnsi="Arial" w:cs="Times New Roman"/>
          <w:b/>
          <w:sz w:val="24"/>
          <w:szCs w:val="24"/>
          <w:lang w:val="es-ES" w:eastAsia="es-ES"/>
        </w:rPr>
        <w:t>1)</w:t>
      </w:r>
      <w:r w:rsidRPr="001876FE">
        <w:rPr>
          <w:rFonts w:ascii="Arial" w:eastAsia="Calibri" w:hAnsi="Arial" w:cs="Times New Roman"/>
          <w:sz w:val="24"/>
          <w:szCs w:val="24"/>
          <w:lang w:val="es-ES" w:eastAsia="es-ES"/>
        </w:rPr>
        <w:t xml:space="preserve"> Neurólogo: cicatriz de 0.7 cm. centro parietal sin depresión ósea, funciones mentales normales, nervios del cráneo sin alteraciones, motor y sensitivo normal. Electroencefalograma normal. Discapacidad por sistema: cero por ciento (0%); </w:t>
      </w:r>
      <w:r w:rsidRPr="001876FE">
        <w:rPr>
          <w:rFonts w:ascii="Arial" w:eastAsia="Calibri" w:hAnsi="Arial" w:cs="Times New Roman"/>
          <w:b/>
          <w:sz w:val="24"/>
          <w:szCs w:val="24"/>
          <w:lang w:val="es-ES" w:eastAsia="es-ES"/>
        </w:rPr>
        <w:t xml:space="preserve">2) </w:t>
      </w:r>
      <w:r w:rsidRPr="001876FE">
        <w:rPr>
          <w:rFonts w:ascii="Arial" w:eastAsia="Calibri" w:hAnsi="Arial" w:cs="Times New Roman"/>
          <w:sz w:val="24"/>
          <w:szCs w:val="24"/>
          <w:lang w:val="es-ES" w:eastAsia="es-ES"/>
        </w:rPr>
        <w:t xml:space="preserve">Fisiatra: limitación funcional del segundo, cuarto y quinto dedo de la mano derecha, radiografía de mano derecha con evidencia de fractura antigua consolidad de la diáfisis distal del radio con afectación de la superficie articular, fractura antigua de la base del quinto, segundo y primer metacarpiano asociado a la presencia de esquirlas metálicas y cambios </w:t>
      </w:r>
      <w:proofErr w:type="spellStart"/>
      <w:r w:rsidRPr="001876FE">
        <w:rPr>
          <w:rFonts w:ascii="Arial" w:eastAsia="Calibri" w:hAnsi="Arial" w:cs="Times New Roman"/>
          <w:sz w:val="24"/>
          <w:szCs w:val="24"/>
          <w:lang w:val="es-ES" w:eastAsia="es-ES"/>
        </w:rPr>
        <w:t>artrósicos</w:t>
      </w:r>
      <w:proofErr w:type="spellEnd"/>
      <w:r w:rsidRPr="001876FE">
        <w:rPr>
          <w:rFonts w:ascii="Arial" w:eastAsia="Calibri" w:hAnsi="Arial" w:cs="Times New Roman"/>
          <w:sz w:val="24"/>
          <w:szCs w:val="24"/>
          <w:lang w:val="es-ES" w:eastAsia="es-ES"/>
        </w:rPr>
        <w:t xml:space="preserve"> en las articulaciones </w:t>
      </w:r>
      <w:proofErr w:type="spellStart"/>
      <w:r w:rsidRPr="001876FE">
        <w:rPr>
          <w:rFonts w:ascii="Arial" w:eastAsia="Calibri" w:hAnsi="Arial" w:cs="Times New Roman"/>
          <w:sz w:val="24"/>
          <w:szCs w:val="24"/>
          <w:lang w:val="es-ES" w:eastAsia="es-ES"/>
        </w:rPr>
        <w:t>interfalángicas</w:t>
      </w:r>
      <w:proofErr w:type="spellEnd"/>
      <w:r w:rsidRPr="001876FE">
        <w:rPr>
          <w:rFonts w:ascii="Arial" w:eastAsia="Calibri" w:hAnsi="Arial" w:cs="Times New Roman"/>
          <w:sz w:val="24"/>
          <w:szCs w:val="24"/>
          <w:lang w:val="es-ES" w:eastAsia="es-ES"/>
        </w:rPr>
        <w:t xml:space="preserve">. Discapacidad por sistema: dieciocho por ciento (18%); </w:t>
      </w:r>
      <w:r w:rsidRPr="001876FE">
        <w:rPr>
          <w:rFonts w:ascii="Arial" w:eastAsia="Calibri" w:hAnsi="Arial" w:cs="Times New Roman"/>
          <w:b/>
          <w:sz w:val="24"/>
          <w:szCs w:val="24"/>
          <w:lang w:val="es-ES" w:eastAsia="es-ES"/>
        </w:rPr>
        <w:t>3)</w:t>
      </w:r>
      <w:r w:rsidRPr="001876FE">
        <w:rPr>
          <w:rFonts w:ascii="Arial" w:eastAsia="Calibri" w:hAnsi="Arial" w:cs="Times New Roman"/>
          <w:sz w:val="24"/>
          <w:szCs w:val="24"/>
          <w:lang w:val="es-ES" w:eastAsia="es-ES"/>
        </w:rPr>
        <w:t xml:space="preserve"> Cirujano plástico: cicatriz en hombro derecho de 2 x 0.5 cm. hipertrófica con leve retracción, se palpa cuerpo extraño profundo del hombro derecho, no limitación de movimiento. Cicatriz en fosa </w:t>
      </w:r>
      <w:proofErr w:type="spellStart"/>
      <w:r w:rsidRPr="001876FE">
        <w:rPr>
          <w:rFonts w:ascii="Arial" w:eastAsia="Calibri" w:hAnsi="Arial" w:cs="Times New Roman"/>
          <w:sz w:val="24"/>
          <w:szCs w:val="24"/>
          <w:lang w:val="es-ES" w:eastAsia="es-ES"/>
        </w:rPr>
        <w:t>antebraquial</w:t>
      </w:r>
      <w:proofErr w:type="spellEnd"/>
      <w:r w:rsidRPr="001876FE">
        <w:rPr>
          <w:rFonts w:ascii="Arial" w:eastAsia="Calibri" w:hAnsi="Arial" w:cs="Times New Roman"/>
          <w:sz w:val="24"/>
          <w:szCs w:val="24"/>
          <w:lang w:val="es-ES" w:eastAsia="es-ES"/>
        </w:rPr>
        <w:t xml:space="preserve"> derecha de 1 x 2.5 cm. hipertrófica, con leve retracción de piel, se palpa cuerpo extraño en 1/3 medio de brazo derecho, que puede corresponder a fibrosis o calcificación. Radiografía de húmero con evidencia de densidad ósea conservada, pequeña esquirla </w:t>
      </w:r>
      <w:proofErr w:type="spellStart"/>
      <w:r w:rsidRPr="001876FE">
        <w:rPr>
          <w:rFonts w:ascii="Arial" w:eastAsia="Calibri" w:hAnsi="Arial" w:cs="Times New Roman"/>
          <w:sz w:val="24"/>
          <w:szCs w:val="24"/>
          <w:lang w:val="es-ES" w:eastAsia="es-ES"/>
        </w:rPr>
        <w:t>intraosea</w:t>
      </w:r>
      <w:proofErr w:type="spellEnd"/>
      <w:r w:rsidRPr="001876FE">
        <w:rPr>
          <w:rFonts w:ascii="Arial" w:eastAsia="Calibri" w:hAnsi="Arial" w:cs="Times New Roman"/>
          <w:sz w:val="24"/>
          <w:szCs w:val="24"/>
          <w:lang w:val="es-ES" w:eastAsia="es-ES"/>
        </w:rPr>
        <w:t xml:space="preserve">, no evidencia de cuerpo extraño en tejidos blandos. Discapacidad por sistema: seis por ciento (6%); Electromiografía y velocidad de </w:t>
      </w:r>
      <w:proofErr w:type="spellStart"/>
      <w:r w:rsidRPr="001876FE">
        <w:rPr>
          <w:rFonts w:ascii="Arial" w:eastAsia="Calibri" w:hAnsi="Arial" w:cs="Times New Roman"/>
          <w:sz w:val="24"/>
          <w:szCs w:val="24"/>
          <w:lang w:val="es-ES" w:eastAsia="es-ES"/>
        </w:rPr>
        <w:t>neuroconducción</w:t>
      </w:r>
      <w:proofErr w:type="spellEnd"/>
      <w:r w:rsidRPr="001876FE">
        <w:rPr>
          <w:rFonts w:ascii="Arial" w:eastAsia="Calibri" w:hAnsi="Arial" w:cs="Times New Roman"/>
          <w:sz w:val="24"/>
          <w:szCs w:val="24"/>
          <w:lang w:val="es-ES" w:eastAsia="es-ES"/>
        </w:rPr>
        <w:t xml:space="preserve"> nerviosa de miembro superior derecho: dentro de rangos normales. Discapacidad por sistema: cero por ciento (0%). </w:t>
      </w:r>
      <w:r w:rsidRPr="001876FE">
        <w:rPr>
          <w:rFonts w:ascii="Arial" w:eastAsia="Times New Roman" w:hAnsi="Arial" w:cs="Times New Roman"/>
          <w:sz w:val="24"/>
          <w:szCs w:val="24"/>
          <w:lang w:val="es-ES" w:eastAsia="es-ES"/>
        </w:rPr>
        <w:t xml:space="preserve">Se advierte que la resolución que resuelve el </w:t>
      </w: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AD2EFE" w:rsidRDefault="00AD2EFE" w:rsidP="001876FE">
      <w:pPr>
        <w:tabs>
          <w:tab w:val="left" w:pos="1560"/>
          <w:tab w:val="left" w:pos="1843"/>
        </w:tabs>
        <w:spacing w:after="0" w:line="240" w:lineRule="auto"/>
        <w:contextualSpacing/>
        <w:jc w:val="both"/>
        <w:rPr>
          <w:rFonts w:ascii="Arial" w:eastAsia="Times New Roman" w:hAnsi="Arial" w:cs="Times New Roman"/>
          <w:sz w:val="24"/>
          <w:szCs w:val="24"/>
          <w:lang w:val="es-ES" w:eastAsia="es-ES"/>
        </w:rPr>
      </w:pPr>
    </w:p>
    <w:p w:rsidR="001876FE" w:rsidRPr="001876FE" w:rsidRDefault="001876FE" w:rsidP="001876FE">
      <w:pPr>
        <w:tabs>
          <w:tab w:val="left" w:pos="1560"/>
          <w:tab w:val="left" w:pos="1843"/>
        </w:tabs>
        <w:spacing w:after="0" w:line="240" w:lineRule="auto"/>
        <w:contextualSpacing/>
        <w:jc w:val="both"/>
        <w:rPr>
          <w:rFonts w:ascii="Arial" w:eastAsia="Times New Roman" w:hAnsi="Arial" w:cs="Arial"/>
          <w:b/>
          <w:sz w:val="24"/>
          <w:szCs w:val="24"/>
          <w:lang w:val="es-ES_tradnl" w:eastAsia="es-ES"/>
        </w:rPr>
      </w:pPr>
      <w:r w:rsidRPr="001876FE">
        <w:rPr>
          <w:rFonts w:ascii="Arial" w:eastAsia="Times New Roman" w:hAnsi="Arial" w:cs="Times New Roman"/>
          <w:sz w:val="24"/>
          <w:szCs w:val="24"/>
          <w:lang w:val="es-ES" w:eastAsia="es-ES"/>
        </w:rPr>
        <w:t xml:space="preserve">recurso de apelación no admite recurso alguno de conformidad al Art.21-A inciso último de la </w:t>
      </w:r>
      <w:r w:rsidRPr="001876FE">
        <w:rPr>
          <w:rFonts w:ascii="Arial" w:eastAsia="Calibri" w:hAnsi="Arial" w:cs="Times New Roman"/>
          <w:sz w:val="24"/>
          <w:szCs w:val="24"/>
          <w:lang w:val="es-ES" w:eastAsia="es-ES"/>
        </w:rPr>
        <w:t xml:space="preserve">Ley de Beneficio para </w:t>
      </w:r>
      <w:bookmarkStart w:id="0" w:name="_GoBack"/>
      <w:bookmarkEnd w:id="0"/>
      <w:r w:rsidRPr="001876FE">
        <w:rPr>
          <w:rFonts w:ascii="Arial" w:eastAsia="Calibri" w:hAnsi="Arial" w:cs="Times New Roman"/>
          <w:sz w:val="24"/>
          <w:szCs w:val="24"/>
          <w:lang w:val="es-ES" w:eastAsia="es-ES"/>
        </w:rPr>
        <w:t xml:space="preserve">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fecha 31 de mayo de 2019. </w:t>
      </w:r>
      <w:r w:rsidRPr="001876FE">
        <w:rPr>
          <w:rFonts w:ascii="Arial" w:eastAsia="Times New Roman" w:hAnsi="Arial" w:cs="Arial"/>
          <w:b/>
          <w:sz w:val="24"/>
          <w:szCs w:val="24"/>
          <w:lang w:val="es-ES_tradnl" w:eastAsia="es-ES"/>
        </w:rPr>
        <w:t xml:space="preserve">COMUNÍQUESE”. </w:t>
      </w:r>
      <w:r w:rsidRPr="001876FE">
        <w:rPr>
          <w:rFonts w:ascii="Arial" w:eastAsia="Times New Roman" w:hAnsi="Arial" w:cs="Arial"/>
          <w:bCs/>
          <w:sz w:val="24"/>
          <w:szCs w:val="24"/>
          <w:lang w:val="es-ES_tradnl" w:eastAsia="es-ES"/>
        </w:rPr>
        <w:t>Rubricado por: Presidente de Junta Directiva: “ILEGIBLE”; Representante Propietario de ASALDIG: “ILEGIBLE”; Representante Suplente de AOSSTALGFAES: “ILEGIBLE”; Representante Suplente de ALFAES: “ILEGIBLE”; Representante Propietaria de ALGES: “ILEGIBLE”; y Representante Suplente de IPSFA: “ILEGIBLE”.</w:t>
      </w:r>
    </w:p>
    <w:p w:rsidR="001876FE" w:rsidRPr="001876FE" w:rsidRDefault="001876FE" w:rsidP="001876FE">
      <w:pPr>
        <w:spacing w:after="0" w:line="240" w:lineRule="auto"/>
        <w:rPr>
          <w:rFonts w:ascii="Arial" w:eastAsia="Times New Roman" w:hAnsi="Arial" w:cs="Arial"/>
          <w:bCs/>
          <w:sz w:val="24"/>
          <w:szCs w:val="24"/>
          <w:lang w:val="es-ES_tradnl" w:eastAsia="es-ES"/>
        </w:rPr>
      </w:pPr>
    </w:p>
    <w:p w:rsidR="001876FE" w:rsidRPr="001876FE" w:rsidRDefault="001876FE" w:rsidP="001876FE">
      <w:pPr>
        <w:spacing w:after="0" w:line="240" w:lineRule="auto"/>
        <w:rPr>
          <w:rFonts w:ascii="Arial" w:eastAsia="Times New Roman" w:hAnsi="Arial" w:cs="Arial"/>
          <w:bCs/>
          <w:sz w:val="24"/>
          <w:szCs w:val="24"/>
          <w:lang w:val="es-ES_tradnl" w:eastAsia="es-ES"/>
        </w:rPr>
      </w:pPr>
      <w:r w:rsidRPr="001876FE">
        <w:rPr>
          <w:rFonts w:ascii="Arial" w:eastAsia="Times New Roman" w:hAnsi="Arial" w:cs="Arial"/>
          <w:bCs/>
          <w:sz w:val="24"/>
          <w:szCs w:val="24"/>
          <w:lang w:val="es-ES_tradnl" w:eastAsia="es-ES"/>
        </w:rPr>
        <w:t>Lo que se transcribe para los efectos pertinentes.</w:t>
      </w:r>
    </w:p>
    <w:p w:rsidR="001876FE" w:rsidRPr="001876FE" w:rsidRDefault="001876FE" w:rsidP="001876FE">
      <w:pPr>
        <w:spacing w:after="0" w:line="240" w:lineRule="auto"/>
        <w:rPr>
          <w:rFonts w:ascii="Arial" w:eastAsia="Times New Roman" w:hAnsi="Arial" w:cs="Arial"/>
          <w:bCs/>
          <w:sz w:val="24"/>
          <w:szCs w:val="24"/>
          <w:lang w:val="es-ES_tradnl" w:eastAsia="es-ES"/>
        </w:rPr>
      </w:pPr>
    </w:p>
    <w:p w:rsidR="001876FE" w:rsidRPr="001876FE" w:rsidRDefault="001876FE" w:rsidP="001876FE">
      <w:pPr>
        <w:spacing w:after="0" w:line="240" w:lineRule="auto"/>
        <w:rPr>
          <w:rFonts w:ascii="Arial" w:eastAsia="Times New Roman" w:hAnsi="Arial" w:cs="Arial"/>
          <w:bCs/>
          <w:sz w:val="24"/>
          <w:szCs w:val="24"/>
          <w:lang w:val="es-ES_tradnl" w:eastAsia="es-ES"/>
        </w:rPr>
      </w:pPr>
    </w:p>
    <w:p w:rsidR="001876FE" w:rsidRPr="001876FE" w:rsidRDefault="001876FE" w:rsidP="001876FE">
      <w:pPr>
        <w:spacing w:after="0" w:line="240" w:lineRule="auto"/>
        <w:rPr>
          <w:rFonts w:ascii="Arial" w:eastAsia="Times New Roman" w:hAnsi="Arial" w:cs="Arial"/>
          <w:bCs/>
          <w:sz w:val="24"/>
          <w:szCs w:val="24"/>
          <w:lang w:val="es-ES_tradnl" w:eastAsia="es-ES"/>
        </w:rPr>
      </w:pPr>
    </w:p>
    <w:p w:rsidR="001876FE" w:rsidRPr="001876FE" w:rsidRDefault="001876FE" w:rsidP="001876FE">
      <w:pPr>
        <w:spacing w:after="0" w:line="240" w:lineRule="auto"/>
        <w:rPr>
          <w:rFonts w:ascii="Arial" w:eastAsia="Times New Roman" w:hAnsi="Arial" w:cs="Arial"/>
          <w:bCs/>
          <w:sz w:val="24"/>
          <w:szCs w:val="24"/>
          <w:lang w:val="es-ES_tradnl" w:eastAsia="es-ES"/>
        </w:rPr>
      </w:pPr>
    </w:p>
    <w:p w:rsidR="001876FE" w:rsidRPr="001876FE" w:rsidRDefault="001876FE" w:rsidP="001876FE">
      <w:pPr>
        <w:spacing w:after="0" w:line="240" w:lineRule="auto"/>
        <w:jc w:val="center"/>
        <w:rPr>
          <w:rFonts w:ascii="Arial" w:eastAsia="Times New Roman" w:hAnsi="Arial" w:cs="Arial"/>
          <w:bCs/>
          <w:sz w:val="24"/>
          <w:szCs w:val="24"/>
          <w:lang w:val="en-US" w:eastAsia="es-ES"/>
        </w:rPr>
      </w:pPr>
      <w:proofErr w:type="spellStart"/>
      <w:r w:rsidRPr="001876FE">
        <w:rPr>
          <w:rFonts w:ascii="Arial" w:eastAsia="Times New Roman" w:hAnsi="Arial" w:cs="Arial"/>
          <w:bCs/>
          <w:sz w:val="24"/>
          <w:szCs w:val="24"/>
          <w:lang w:val="en-US" w:eastAsia="es-ES"/>
        </w:rPr>
        <w:t>Lic</w:t>
      </w:r>
      <w:proofErr w:type="spellEnd"/>
      <w:r w:rsidRPr="001876FE">
        <w:rPr>
          <w:rFonts w:ascii="Arial" w:eastAsia="Times New Roman" w:hAnsi="Arial" w:cs="Arial"/>
          <w:bCs/>
          <w:sz w:val="24"/>
          <w:szCs w:val="24"/>
          <w:lang w:val="en-US" w:eastAsia="es-ES"/>
        </w:rPr>
        <w:t xml:space="preserve">. Herbert Eduardo </w:t>
      </w:r>
      <w:proofErr w:type="spellStart"/>
      <w:r w:rsidRPr="001876FE">
        <w:rPr>
          <w:rFonts w:ascii="Arial" w:eastAsia="Times New Roman" w:hAnsi="Arial" w:cs="Arial"/>
          <w:bCs/>
          <w:sz w:val="24"/>
          <w:szCs w:val="24"/>
          <w:lang w:val="en-US" w:eastAsia="es-ES"/>
        </w:rPr>
        <w:t>Ramírez</w:t>
      </w:r>
      <w:proofErr w:type="spellEnd"/>
      <w:r w:rsidRPr="001876FE">
        <w:rPr>
          <w:rFonts w:ascii="Arial" w:eastAsia="Times New Roman" w:hAnsi="Arial" w:cs="Arial"/>
          <w:bCs/>
          <w:sz w:val="24"/>
          <w:szCs w:val="24"/>
          <w:lang w:val="en-US" w:eastAsia="es-ES"/>
        </w:rPr>
        <w:t xml:space="preserve"> Salazar</w:t>
      </w:r>
    </w:p>
    <w:p w:rsidR="001876FE" w:rsidRPr="001876FE" w:rsidRDefault="001876FE" w:rsidP="001876FE">
      <w:pPr>
        <w:spacing w:after="0" w:line="240" w:lineRule="auto"/>
        <w:jc w:val="center"/>
        <w:rPr>
          <w:rFonts w:ascii="Arial" w:eastAsia="Times New Roman" w:hAnsi="Arial" w:cs="Arial"/>
          <w:bCs/>
          <w:sz w:val="24"/>
          <w:szCs w:val="24"/>
          <w:lang w:val="en-US" w:eastAsia="es-ES"/>
        </w:rPr>
      </w:pPr>
      <w:proofErr w:type="spellStart"/>
      <w:r w:rsidRPr="001876FE">
        <w:rPr>
          <w:rFonts w:ascii="Arial" w:eastAsia="Times New Roman" w:hAnsi="Arial" w:cs="Arial"/>
          <w:bCs/>
          <w:sz w:val="24"/>
          <w:szCs w:val="24"/>
          <w:lang w:val="en-US" w:eastAsia="es-ES"/>
        </w:rPr>
        <w:t>Gerente</w:t>
      </w:r>
      <w:proofErr w:type="spellEnd"/>
      <w:r w:rsidRPr="001876FE">
        <w:rPr>
          <w:rFonts w:ascii="Arial" w:eastAsia="Times New Roman" w:hAnsi="Arial" w:cs="Arial"/>
          <w:bCs/>
          <w:sz w:val="24"/>
          <w:szCs w:val="24"/>
          <w:lang w:val="en-US" w:eastAsia="es-ES"/>
        </w:rPr>
        <w:t xml:space="preserve"> General ad </w:t>
      </w:r>
      <w:proofErr w:type="spellStart"/>
      <w:r w:rsidRPr="001876FE">
        <w:rPr>
          <w:rFonts w:ascii="Arial" w:eastAsia="Times New Roman" w:hAnsi="Arial" w:cs="Arial"/>
          <w:bCs/>
          <w:sz w:val="24"/>
          <w:szCs w:val="24"/>
          <w:lang w:val="en-US" w:eastAsia="es-ES"/>
        </w:rPr>
        <w:t>honorem</w:t>
      </w:r>
      <w:proofErr w:type="spellEnd"/>
    </w:p>
    <w:p w:rsidR="001876FE" w:rsidRPr="001876FE" w:rsidRDefault="001876FE" w:rsidP="001876FE">
      <w:pPr>
        <w:spacing w:after="0" w:line="240" w:lineRule="auto"/>
        <w:jc w:val="center"/>
        <w:rPr>
          <w:rFonts w:ascii="Arial" w:eastAsia="Times New Roman" w:hAnsi="Arial" w:cs="Arial"/>
          <w:bCs/>
          <w:sz w:val="24"/>
          <w:szCs w:val="24"/>
          <w:lang w:val="en-US" w:eastAsia="es-ES"/>
        </w:rPr>
      </w:pPr>
    </w:p>
    <w:p w:rsidR="001876FE" w:rsidRPr="001876FE" w:rsidRDefault="001876FE" w:rsidP="001876FE">
      <w:pPr>
        <w:jc w:val="center"/>
        <w:rPr>
          <w:rFonts w:ascii="Calibri" w:eastAsia="Calibri" w:hAnsi="Calibri" w:cs="Calibri"/>
          <w:b/>
          <w:position w:val="3"/>
          <w:sz w:val="72"/>
          <w:szCs w:val="72"/>
          <w:lang w:val="en-US"/>
        </w:rPr>
      </w:pPr>
    </w:p>
    <w:p w:rsidR="001876FE" w:rsidRPr="001876FE" w:rsidRDefault="001876FE" w:rsidP="001876FE">
      <w:pPr>
        <w:jc w:val="center"/>
        <w:rPr>
          <w:lang w:val="en-US"/>
        </w:rPr>
      </w:pPr>
    </w:p>
    <w:sectPr w:rsidR="001876FE" w:rsidRPr="001876FE">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64" w:rsidRDefault="00F42564" w:rsidP="001876FE">
      <w:pPr>
        <w:spacing w:after="0" w:line="240" w:lineRule="auto"/>
      </w:pPr>
      <w:r>
        <w:separator/>
      </w:r>
    </w:p>
  </w:endnote>
  <w:endnote w:type="continuationSeparator" w:id="0">
    <w:p w:rsidR="00F42564" w:rsidRDefault="00F42564" w:rsidP="0018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64" w:rsidRDefault="00F42564" w:rsidP="001876FE">
      <w:pPr>
        <w:spacing w:after="0" w:line="240" w:lineRule="auto"/>
      </w:pPr>
      <w:r>
        <w:separator/>
      </w:r>
    </w:p>
  </w:footnote>
  <w:footnote w:type="continuationSeparator" w:id="0">
    <w:p w:rsidR="00F42564" w:rsidRDefault="00F42564" w:rsidP="0018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6FE" w:rsidRDefault="001876FE">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681F1BF7" wp14:editId="0C80C11A">
          <wp:simplePos x="0" y="0"/>
          <wp:positionH relativeFrom="margin">
            <wp:align>center</wp:align>
          </wp:positionH>
          <wp:positionV relativeFrom="paragraph">
            <wp:posOffset>-353060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FE"/>
    <w:rsid w:val="001876FE"/>
    <w:rsid w:val="00287EED"/>
    <w:rsid w:val="00AD2EFE"/>
    <w:rsid w:val="00BC01FA"/>
    <w:rsid w:val="00E85624"/>
    <w:rsid w:val="00F425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CC1F"/>
  <w15:chartTrackingRefBased/>
  <w15:docId w15:val="{8A25D1F1-7D67-4BCA-AC4A-56F9148C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6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7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6FE"/>
  </w:style>
  <w:style w:type="paragraph" w:styleId="Piedepgina">
    <w:name w:val="footer"/>
    <w:basedOn w:val="Normal"/>
    <w:link w:val="PiedepginaCar"/>
    <w:uiPriority w:val="99"/>
    <w:unhideWhenUsed/>
    <w:rsid w:val="00187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2021-10-20T15:08:00Z</dcterms:created>
  <dcterms:modified xsi:type="dcterms:W3CDTF">2021-10-20T20:06:00Z</dcterms:modified>
</cp:coreProperties>
</file>