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D" w:rsidRDefault="00287EED"/>
    <w:p w:rsidR="00717EAE" w:rsidRDefault="00717EAE"/>
    <w:p w:rsidR="000C65C6" w:rsidRPr="006B0321" w:rsidRDefault="000C65C6" w:rsidP="000C65C6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0C65C6" w:rsidRPr="006B0321" w:rsidRDefault="000C65C6" w:rsidP="000C65C6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0C65C6" w:rsidRPr="006B0321" w:rsidRDefault="000C65C6" w:rsidP="000C65C6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0C65C6" w:rsidRPr="006B0321" w:rsidRDefault="000C65C6" w:rsidP="000C65C6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0C65C6" w:rsidRPr="006B0321" w:rsidRDefault="000C65C6" w:rsidP="000C65C6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0C65C6" w:rsidRPr="006B0321" w:rsidRDefault="000C65C6" w:rsidP="000C65C6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0C65C6" w:rsidRPr="006B0321" w:rsidRDefault="000C65C6" w:rsidP="000C65C6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0C65C6" w:rsidRDefault="000C65C6" w:rsidP="000C65C6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0C65C6" w:rsidRDefault="000C65C6"/>
    <w:p w:rsidR="000C65C6" w:rsidRDefault="000C65C6"/>
    <w:p w:rsidR="000C65C6" w:rsidRDefault="000C65C6"/>
    <w:p w:rsidR="000C65C6" w:rsidRDefault="000C65C6"/>
    <w:p w:rsidR="000C65C6" w:rsidRDefault="000C65C6"/>
    <w:p w:rsidR="000C65C6" w:rsidRDefault="000C65C6"/>
    <w:p w:rsidR="000C65C6" w:rsidRPr="000C65C6" w:rsidRDefault="000C65C6" w:rsidP="000C65C6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0C65C6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0C65C6" w:rsidRPr="000C65C6" w:rsidRDefault="000C65C6" w:rsidP="000C65C6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0C65C6" w:rsidRPr="000C65C6" w:rsidRDefault="000C65C6" w:rsidP="000C65C6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0C65C6" w:rsidRPr="000C65C6" w:rsidRDefault="000C65C6" w:rsidP="000C65C6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0C65C6" w:rsidRPr="000C65C6" w:rsidRDefault="000C65C6" w:rsidP="000C65C6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0C65C6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12 de agosto de 2021, ACTA No. 29.08.2021, ACUERDO No. 517.08.2021. La Junta Directiva del Fondo de Protección de Lisiados y Discapacitados a Consecuencia del Conflicto Armado, </w:t>
      </w:r>
      <w:r w:rsidRPr="000C65C6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0C65C6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ASALDIG, ALGES</w:t>
      </w:r>
      <w:r w:rsidRPr="000C65C6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el </w:t>
      </w:r>
      <w:r w:rsidRPr="000C65C6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0C65C6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0C65C6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IPSFA ALFAES</w:t>
      </w:r>
      <w:r w:rsidRPr="000C65C6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</w:t>
      </w:r>
      <w:r w:rsidRPr="000C65C6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</w:t>
      </w:r>
      <w:r w:rsidRPr="000C65C6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0C65C6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0C65C6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once personas, acuerda: </w:t>
      </w:r>
      <w:r w:rsidRPr="000C65C6">
        <w:rPr>
          <w:rFonts w:ascii="Arial" w:eastAsia="Times New Roman" w:hAnsi="Arial" w:cs="Times New Roman"/>
          <w:b/>
          <w:sz w:val="23"/>
          <w:szCs w:val="23"/>
          <w:lang w:val="es-ES_tradnl" w:eastAsia="es-ES"/>
        </w:rPr>
        <w:t>g)</w:t>
      </w:r>
      <w:r w:rsidRPr="000C65C6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</w:t>
      </w:r>
      <w:r w:rsidRPr="000C65C6">
        <w:rPr>
          <w:rFonts w:ascii="Arial" w:eastAsia="Times New Roman" w:hAnsi="Arial" w:cs="Times New Roman"/>
          <w:sz w:val="23"/>
          <w:szCs w:val="23"/>
          <w:u w:val="single"/>
          <w:lang w:val="es-ES_tradnl" w:eastAsia="es-ES"/>
        </w:rPr>
        <w:t xml:space="preserve">Dictaminar con </w:t>
      </w:r>
      <w:r w:rsidRPr="000C65C6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>2% de discapacidad global al señor</w:t>
      </w:r>
      <w:r w:rsidRPr="000C65C6">
        <w:rPr>
          <w:rFonts w:ascii="Arial" w:eastAsia="Times New Roman" w:hAnsi="Arial" w:cs="Times New Roman"/>
          <w:b/>
          <w:sz w:val="23"/>
          <w:szCs w:val="23"/>
          <w:u w:val="single"/>
          <w:lang w:val="es-ES" w:eastAsia="es-ES"/>
        </w:rPr>
        <w:t xml:space="preserve"> </w:t>
      </w:r>
      <w:r w:rsidR="00815523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r w:rsidRPr="000C65C6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,</w:t>
      </w:r>
      <w:r w:rsidRPr="000C65C6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0C65C6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expediente No. 37201, </w:t>
      </w:r>
      <w:r w:rsidRPr="000C65C6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modificando la calidad de No Elegible dictaminada en el recurso de revisión en fecha </w:t>
      </w:r>
      <w:r w:rsidRPr="000C65C6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03 de julio de 2019, </w:t>
      </w:r>
      <w:r w:rsidRPr="000C65C6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con base a pruebas testimoniales incorporadas al expediente en diferentes fases del proceso se determinó </w:t>
      </w:r>
      <w:r w:rsidRPr="000C65C6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que se cuenta con elementos probatorios para otorgar elegibilidad únicamente a la lesión que presenta en miembro inferior derecho, la cual le ocurrió en </w:t>
      </w:r>
      <w:proofErr w:type="spellStart"/>
      <w:r w:rsidRPr="000C65C6">
        <w:rPr>
          <w:rFonts w:ascii="Arial" w:eastAsia="Calibri" w:hAnsi="Arial" w:cs="Times New Roman"/>
          <w:sz w:val="23"/>
          <w:szCs w:val="23"/>
          <w:lang w:val="es-ES" w:eastAsia="es-ES"/>
        </w:rPr>
        <w:t>Tonacatepeque</w:t>
      </w:r>
      <w:proofErr w:type="spellEnd"/>
      <w:r w:rsidRPr="000C65C6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cuando prestaba servicio en la Defensa Civil, las lesiones en oídos, vista y miembro inferior izquierdo ocurridas en el Cerro de Guazapa como combatiente del FMLN, no tienen suficiente respaldo probatorio para determinar que le hayan ocurrido a consecuencia directa del conflicto armado; esto</w:t>
      </w:r>
      <w:r w:rsidRPr="000C65C6">
        <w:rPr>
          <w:rFonts w:ascii="Arial" w:eastAsiaTheme="minorEastAsia" w:hAnsi="Arial" w:cs="Times New Roman"/>
          <w:sz w:val="23"/>
          <w:szCs w:val="23"/>
          <w:lang w:val="es-ES_tradnl" w:eastAsia="es-ES"/>
        </w:rPr>
        <w:t xml:space="preserve"> en estricto apego </w:t>
      </w:r>
      <w:r w:rsidRPr="000C65C6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 los principios generales de la actividad administrativa regulados en el Art.3, y en cumplimiento a lo establecido en los Art. 22, 23 </w:t>
      </w:r>
      <w:proofErr w:type="spellStart"/>
      <w:r w:rsidRPr="000C65C6">
        <w:rPr>
          <w:rFonts w:ascii="Arial" w:eastAsia="Times New Roman" w:hAnsi="Arial" w:cs="Times New Roman"/>
          <w:sz w:val="23"/>
          <w:szCs w:val="23"/>
          <w:lang w:val="es-ES" w:eastAsia="es-ES"/>
        </w:rPr>
        <w:t>lit</w:t>
      </w:r>
      <w:proofErr w:type="spellEnd"/>
      <w:r w:rsidRPr="000C65C6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c),  129  y 131 de la Ley de Procedimientos Administrativos</w:t>
      </w:r>
      <w:r w:rsidRPr="000C65C6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, así como en atención </w:t>
      </w:r>
      <w:r w:rsidRPr="000C65C6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al dictamen del médico especialista que evaluó al recurrente, de conformidad al Art. 33 </w:t>
      </w:r>
      <w:r w:rsidRPr="000C65C6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del Reglamento de la Ley: Ortopeda: amputación metatarso falángica del segundo dedo del pie derecho. Radiografía de pie derecho con evidencia de amputación de segundo dedo de pie derecho. Dictamen de discapacidad por sistema: Dos por ciento (2%). </w:t>
      </w:r>
      <w:r w:rsidRPr="000C65C6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0C65C6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0C65C6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0C65C6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Suplente de AOSSTALGFAES: “ILEGIBLE”; Representante Suplente de ALFAES: “ILEGIBLE”; Representante Propietaria de ALGES: “ILEGIBLE”; y Representante Suplente de IPSFA: “ILEGIBLE”.</w:t>
      </w:r>
    </w:p>
    <w:p w:rsidR="000C65C6" w:rsidRPr="000C65C6" w:rsidRDefault="000C65C6" w:rsidP="000C65C6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0C65C6" w:rsidRPr="000C65C6" w:rsidRDefault="000C65C6" w:rsidP="000C65C6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0C65C6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0C65C6" w:rsidRPr="000C65C6" w:rsidRDefault="000C65C6" w:rsidP="000C65C6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bookmarkStart w:id="0" w:name="_GoBack"/>
      <w:bookmarkEnd w:id="0"/>
    </w:p>
    <w:p w:rsidR="000C65C6" w:rsidRPr="000C65C6" w:rsidRDefault="000C65C6" w:rsidP="000C65C6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0C65C6" w:rsidRPr="000C65C6" w:rsidRDefault="000C65C6" w:rsidP="000C65C6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0C65C6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0C65C6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0C65C6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0C65C6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0C65C6" w:rsidRPr="000C65C6" w:rsidRDefault="000C65C6" w:rsidP="000C65C6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0C65C6">
        <w:rPr>
          <w:rFonts w:ascii="Arial" w:eastAsia="Times New Roman" w:hAnsi="Arial" w:cs="Arial"/>
          <w:bCs/>
          <w:sz w:val="23"/>
          <w:szCs w:val="23"/>
          <w:lang w:val="en-US" w:eastAsia="es-ES"/>
        </w:rPr>
        <w:t>Gerente</w:t>
      </w:r>
      <w:proofErr w:type="spellEnd"/>
      <w:r w:rsidRPr="000C65C6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0C65C6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sectPr w:rsidR="000C65C6" w:rsidRPr="000C65C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E1" w:rsidRDefault="00534AE1" w:rsidP="000C65C6">
      <w:pPr>
        <w:spacing w:after="0" w:line="240" w:lineRule="auto"/>
      </w:pPr>
      <w:r>
        <w:separator/>
      </w:r>
    </w:p>
  </w:endnote>
  <w:endnote w:type="continuationSeparator" w:id="0">
    <w:p w:rsidR="00534AE1" w:rsidRDefault="00534AE1" w:rsidP="000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E1" w:rsidRDefault="00534AE1" w:rsidP="000C65C6">
      <w:pPr>
        <w:spacing w:after="0" w:line="240" w:lineRule="auto"/>
      </w:pPr>
      <w:r>
        <w:separator/>
      </w:r>
    </w:p>
  </w:footnote>
  <w:footnote w:type="continuationSeparator" w:id="0">
    <w:p w:rsidR="00534AE1" w:rsidRDefault="00534AE1" w:rsidP="000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C6" w:rsidRDefault="000C65C6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6283613B" wp14:editId="6535ED26">
          <wp:simplePos x="0" y="0"/>
          <wp:positionH relativeFrom="margin">
            <wp:posOffset>590550</wp:posOffset>
          </wp:positionH>
          <wp:positionV relativeFrom="paragraph">
            <wp:posOffset>-372110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C6"/>
    <w:rsid w:val="000C65C6"/>
    <w:rsid w:val="00287EED"/>
    <w:rsid w:val="00534AE1"/>
    <w:rsid w:val="00717EAE"/>
    <w:rsid w:val="00815523"/>
    <w:rsid w:val="00A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0C38"/>
  <w15:chartTrackingRefBased/>
  <w15:docId w15:val="{3FEFF04E-A0B4-42A2-9E7D-C55076E2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5C6"/>
  </w:style>
  <w:style w:type="paragraph" w:styleId="Piedepgina">
    <w:name w:val="footer"/>
    <w:basedOn w:val="Normal"/>
    <w:link w:val="PiedepginaCar"/>
    <w:uiPriority w:val="99"/>
    <w:unhideWhenUsed/>
    <w:rsid w:val="000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Evelyn Magdalena Caceres Morales</cp:lastModifiedBy>
  <cp:revision>3</cp:revision>
  <dcterms:created xsi:type="dcterms:W3CDTF">2021-10-20T15:01:00Z</dcterms:created>
  <dcterms:modified xsi:type="dcterms:W3CDTF">2021-10-20T20:03:00Z</dcterms:modified>
</cp:coreProperties>
</file>