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F64" w:rsidRDefault="00AA2F64"/>
    <w:p w:rsidR="00AA2F64" w:rsidRPr="00873411" w:rsidRDefault="00AA2F64" w:rsidP="00AA2F64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DOCUMENTO EN</w:t>
      </w:r>
    </w:p>
    <w:p w:rsidR="00AA2F64" w:rsidRPr="00873411" w:rsidRDefault="00AA2F64" w:rsidP="00AA2F64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VERSION PÚBLICA</w:t>
      </w:r>
    </w:p>
    <w:p w:rsidR="00AA2F64" w:rsidRPr="00873411" w:rsidRDefault="00AA2F64" w:rsidP="00AA2F6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De conformidad a los</w:t>
      </w:r>
    </w:p>
    <w:p w:rsidR="00AA2F64" w:rsidRPr="00873411" w:rsidRDefault="00AA2F64" w:rsidP="00AA2F6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Artículos:</w:t>
      </w:r>
    </w:p>
    <w:p w:rsidR="00AA2F64" w:rsidRPr="00873411" w:rsidRDefault="00AA2F64" w:rsidP="00AA2F6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</w:p>
    <w:p w:rsidR="00AA2F64" w:rsidRPr="00873411" w:rsidRDefault="00AA2F64" w:rsidP="00AA2F6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24 letra “c” y 30 de la LAIP.</w:t>
      </w:r>
    </w:p>
    <w:p w:rsidR="00AA2F64" w:rsidRPr="00873411" w:rsidRDefault="00AA2F64" w:rsidP="00AA2F64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Se han eliminado los datos</w:t>
      </w:r>
    </w:p>
    <w:p w:rsidR="007507D5" w:rsidRDefault="00AA2F64" w:rsidP="00AA2F64">
      <w:pPr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873411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Personales</w:t>
      </w:r>
    </w:p>
    <w:p w:rsidR="00AA2F64" w:rsidRDefault="00AA2F64" w:rsidP="00AA2F64">
      <w:pPr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</w:p>
    <w:p w:rsidR="0012322D" w:rsidRDefault="0012322D" w:rsidP="00AA2F64">
      <w:pPr>
        <w:keepNext/>
        <w:outlineLvl w:val="3"/>
        <w:rPr>
          <w:rFonts w:eastAsia="Arial Unicode MS" w:cs="Arial"/>
          <w:b/>
          <w:bCs/>
          <w:sz w:val="23"/>
          <w:szCs w:val="23"/>
          <w:lang w:val="es-SV"/>
        </w:rPr>
      </w:pPr>
    </w:p>
    <w:p w:rsidR="00AA2F64" w:rsidRPr="00AA2F64" w:rsidRDefault="00AA2F64" w:rsidP="00AA2F64">
      <w:pPr>
        <w:keepNext/>
        <w:outlineLvl w:val="3"/>
        <w:rPr>
          <w:rFonts w:eastAsia="Arial Unicode MS" w:cs="Arial"/>
          <w:bCs/>
          <w:sz w:val="23"/>
          <w:szCs w:val="23"/>
          <w:lang w:val="es-SV"/>
        </w:rPr>
      </w:pPr>
      <w:r w:rsidRPr="00AA2F64">
        <w:rPr>
          <w:rFonts w:eastAsia="Arial Unicode MS" w:cs="Arial"/>
          <w:b/>
          <w:bCs/>
          <w:sz w:val="23"/>
          <w:szCs w:val="23"/>
          <w:lang w:val="es-SV"/>
        </w:rPr>
        <w:t>SE HA EMITIDO EL ACUERDO QUE DICE:</w:t>
      </w:r>
    </w:p>
    <w:p w:rsidR="00AA2F64" w:rsidRPr="00AA2F64" w:rsidRDefault="00AA2F64" w:rsidP="00AA2F64">
      <w:pPr>
        <w:jc w:val="both"/>
        <w:rPr>
          <w:rFonts w:eastAsia="Calibri" w:cs="Arial"/>
          <w:b/>
          <w:sz w:val="23"/>
          <w:szCs w:val="23"/>
          <w:lang w:val="es-SV"/>
        </w:rPr>
      </w:pPr>
    </w:p>
    <w:p w:rsidR="00AA2F64" w:rsidRPr="00AA2F64" w:rsidRDefault="00AA2F64" w:rsidP="00AA2F64">
      <w:pPr>
        <w:jc w:val="both"/>
        <w:rPr>
          <w:rFonts w:cs="Arial"/>
          <w:b/>
          <w:sz w:val="23"/>
          <w:szCs w:val="23"/>
        </w:rPr>
      </w:pPr>
      <w:r w:rsidRPr="00AA2F64">
        <w:rPr>
          <w:rFonts w:cs="Arial"/>
          <w:b/>
          <w:sz w:val="23"/>
          <w:szCs w:val="23"/>
        </w:rPr>
        <w:t xml:space="preserve">San Salvador, 01 de julio de 2021, ACTA No. 23.07.2021, ACUERDO No. 424.07.2021. La Junta Directiva del Fondo de Protección de Lisiados y Discapacitados a Consecuencia del Conflicto Armado, </w:t>
      </w:r>
      <w:r w:rsidRPr="00AA2F64">
        <w:rPr>
          <w:sz w:val="23"/>
          <w:szCs w:val="23"/>
        </w:rPr>
        <w:t xml:space="preserve">con el voto favorable de los Directivos Propietarios Representantes de: </w:t>
      </w:r>
      <w:r w:rsidRPr="00AA2F64">
        <w:rPr>
          <w:b/>
          <w:sz w:val="23"/>
          <w:szCs w:val="23"/>
          <w:lang w:eastAsia="es-SV"/>
        </w:rPr>
        <w:t xml:space="preserve">ASALDIG, ALFAES, ISRI, </w:t>
      </w:r>
      <w:r w:rsidRPr="00AA2F64">
        <w:rPr>
          <w:sz w:val="23"/>
          <w:szCs w:val="23"/>
          <w:lang w:eastAsia="es-SV"/>
        </w:rPr>
        <w:t>y el</w:t>
      </w:r>
      <w:r w:rsidRPr="00AA2F64">
        <w:rPr>
          <w:b/>
          <w:sz w:val="23"/>
          <w:szCs w:val="23"/>
          <w:lang w:eastAsia="es-SV"/>
        </w:rPr>
        <w:t xml:space="preserve"> Presidente; </w:t>
      </w:r>
      <w:r w:rsidRPr="00AA2F64">
        <w:rPr>
          <w:sz w:val="23"/>
          <w:szCs w:val="23"/>
          <w:lang w:eastAsia="es-SV"/>
        </w:rPr>
        <w:t>y los Directivos Suplentes de:</w:t>
      </w:r>
      <w:r w:rsidRPr="00AA2F64">
        <w:rPr>
          <w:b/>
          <w:sz w:val="23"/>
          <w:szCs w:val="23"/>
          <w:lang w:eastAsia="es-SV"/>
        </w:rPr>
        <w:t xml:space="preserve"> MINSAL, </w:t>
      </w:r>
      <w:r w:rsidRPr="00AA2F64">
        <w:rPr>
          <w:sz w:val="23"/>
          <w:szCs w:val="23"/>
          <w:lang w:eastAsia="es-SV"/>
        </w:rPr>
        <w:t>e</w:t>
      </w:r>
      <w:r w:rsidRPr="00AA2F64">
        <w:rPr>
          <w:b/>
          <w:sz w:val="23"/>
          <w:szCs w:val="23"/>
          <w:lang w:eastAsia="es-SV"/>
        </w:rPr>
        <w:t xml:space="preserve"> IPSFA, </w:t>
      </w:r>
      <w:r w:rsidRPr="00AA2F64">
        <w:rPr>
          <w:sz w:val="23"/>
          <w:szCs w:val="23"/>
          <w:lang w:eastAsia="es-SV"/>
        </w:rPr>
        <w:t>se</w:t>
      </w:r>
      <w:r w:rsidRPr="00AA2F64">
        <w:rPr>
          <w:sz w:val="23"/>
          <w:szCs w:val="23"/>
        </w:rPr>
        <w:t xml:space="preserve"> emitió y ratificó el acuerdo siguiente:</w:t>
      </w:r>
      <w:r w:rsidRPr="00AA2F64">
        <w:rPr>
          <w:b/>
          <w:sz w:val="23"/>
          <w:szCs w:val="23"/>
        </w:rPr>
        <w:t xml:space="preserve"> </w:t>
      </w:r>
      <w:r w:rsidRPr="00AA2F64">
        <w:rPr>
          <w:sz w:val="23"/>
          <w:szCs w:val="23"/>
        </w:rPr>
        <w:t xml:space="preserve">La Junta Directiva conforme a la </w:t>
      </w:r>
      <w:r w:rsidRPr="00AA2F64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cuatro personas, acuerda: </w:t>
      </w:r>
      <w:r w:rsidRPr="00AA2F64">
        <w:rPr>
          <w:rFonts w:eastAsia="Calibri"/>
          <w:b/>
          <w:sz w:val="23"/>
          <w:szCs w:val="23"/>
          <w:u w:val="single"/>
          <w:lang w:val="es-ES"/>
        </w:rPr>
        <w:t>b)</w:t>
      </w:r>
      <w:r w:rsidRPr="00AA2F64">
        <w:rPr>
          <w:rFonts w:eastAsia="Calibri"/>
          <w:sz w:val="23"/>
          <w:szCs w:val="23"/>
          <w:u w:val="single"/>
          <w:lang w:val="es-ES"/>
        </w:rPr>
        <w:t xml:space="preserve"> Dictaminar con </w:t>
      </w:r>
      <w:r w:rsidRPr="00AA2F64">
        <w:rPr>
          <w:sz w:val="23"/>
          <w:szCs w:val="23"/>
          <w:u w:val="single"/>
          <w:lang w:val="es-ES"/>
        </w:rPr>
        <w:t xml:space="preserve">6% de discapacidad global al señor </w:t>
      </w:r>
      <w:r w:rsidRPr="00AA2F64">
        <w:rPr>
          <w:rFonts w:eastAsia="Calibri"/>
          <w:sz w:val="23"/>
          <w:szCs w:val="23"/>
          <w:u w:val="single"/>
          <w:lang w:val="es-ES"/>
        </w:rPr>
        <w:t>XXXXXXXXXXXXXXXXXXXX</w:t>
      </w:r>
      <w:r w:rsidRPr="00AA2F64">
        <w:rPr>
          <w:rFonts w:eastAsia="Calibri"/>
          <w:b/>
          <w:sz w:val="23"/>
          <w:szCs w:val="23"/>
          <w:u w:val="single"/>
          <w:lang w:val="es-ES"/>
        </w:rPr>
        <w:t>,</w:t>
      </w:r>
      <w:r w:rsidRPr="00AA2F64">
        <w:rPr>
          <w:rFonts w:eastAsia="Calibri"/>
          <w:b/>
          <w:sz w:val="23"/>
          <w:szCs w:val="23"/>
          <w:lang w:val="es-ES"/>
        </w:rPr>
        <w:t xml:space="preserve"> </w:t>
      </w:r>
      <w:r w:rsidRPr="00AA2F64">
        <w:rPr>
          <w:rFonts w:eastAsia="Calibri"/>
          <w:sz w:val="23"/>
          <w:szCs w:val="23"/>
          <w:lang w:val="es-ES"/>
        </w:rPr>
        <w:t>expediente No. 37206, modificando el porcentaje de discapacidad global de CUATRO POR CIENTO (4%), dictaminado en el recurso de revisión en fecha 19 de julio de 2019,</w:t>
      </w:r>
      <w:r w:rsidRPr="00AA2F64">
        <w:rPr>
          <w:rFonts w:eastAsia="Calibri"/>
          <w:b/>
          <w:sz w:val="23"/>
          <w:szCs w:val="23"/>
          <w:lang w:val="es-ES"/>
        </w:rPr>
        <w:t xml:space="preserve">  </w:t>
      </w:r>
      <w:r w:rsidRPr="00AA2F64">
        <w:rPr>
          <w:rFonts w:eastAsia="Calibri"/>
          <w:sz w:val="23"/>
          <w:szCs w:val="23"/>
          <w:lang w:val="es-ES"/>
        </w:rPr>
        <w:t>con base a la evaluación física realizada por esa Comisión y</w:t>
      </w:r>
      <w:r w:rsidRPr="00AA2F64">
        <w:rPr>
          <w:sz w:val="23"/>
          <w:szCs w:val="23"/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AA2F64">
        <w:rPr>
          <w:sz w:val="23"/>
          <w:szCs w:val="23"/>
          <w:lang w:val="es-ES"/>
        </w:rPr>
        <w:t>lit.</w:t>
      </w:r>
      <w:proofErr w:type="spellEnd"/>
      <w:r w:rsidRPr="00AA2F64">
        <w:rPr>
          <w:sz w:val="23"/>
          <w:szCs w:val="23"/>
          <w:lang w:val="es-ES"/>
        </w:rPr>
        <w:t xml:space="preserve"> c), 129 y 131 de la Ley de Procedimientos Administrativos </w:t>
      </w:r>
      <w:r w:rsidRPr="00AA2F64">
        <w:rPr>
          <w:rFonts w:eastAsia="Calibri"/>
          <w:sz w:val="23"/>
          <w:szCs w:val="23"/>
          <w:lang w:val="es-ES"/>
        </w:rPr>
        <w:t xml:space="preserve">y </w:t>
      </w:r>
      <w:r w:rsidRPr="00AA2F64">
        <w:rPr>
          <w:sz w:val="23"/>
          <w:szCs w:val="23"/>
          <w:lang w:val="es-ES"/>
        </w:rPr>
        <w:t xml:space="preserve">con base al dictamen de los médicos especialistas </w:t>
      </w:r>
      <w:r w:rsidRPr="00AA2F64">
        <w:rPr>
          <w:rFonts w:eastAsia="Calibri"/>
          <w:sz w:val="23"/>
          <w:szCs w:val="23"/>
          <w:lang w:val="es-ES"/>
        </w:rPr>
        <w:t xml:space="preserve">que evaluaron al beneficiario, de conformidad al Art. 33 del Reglamento de la Ley: </w:t>
      </w:r>
      <w:r w:rsidRPr="00AA2F64">
        <w:rPr>
          <w:rFonts w:eastAsia="Calibri"/>
          <w:b/>
          <w:sz w:val="23"/>
          <w:szCs w:val="23"/>
          <w:lang w:val="es-ES"/>
        </w:rPr>
        <w:t>1)</w:t>
      </w:r>
      <w:r w:rsidRPr="00AA2F64">
        <w:rPr>
          <w:rFonts w:eastAsia="Calibri"/>
          <w:sz w:val="23"/>
          <w:szCs w:val="23"/>
          <w:lang w:val="es-ES"/>
        </w:rPr>
        <w:t xml:space="preserve"> Fisiatra: evaluó arcos de movilidad de hombro derecho completos. Con apoyo de electromiografía y velocidad de </w:t>
      </w:r>
      <w:proofErr w:type="spellStart"/>
      <w:r w:rsidRPr="00AA2F64">
        <w:rPr>
          <w:rFonts w:eastAsia="Calibri"/>
          <w:sz w:val="23"/>
          <w:szCs w:val="23"/>
          <w:lang w:val="es-ES"/>
        </w:rPr>
        <w:t>neuro</w:t>
      </w:r>
      <w:proofErr w:type="spellEnd"/>
      <w:r w:rsidRPr="00AA2F64">
        <w:rPr>
          <w:rFonts w:eastAsia="Calibri"/>
          <w:sz w:val="23"/>
          <w:szCs w:val="23"/>
          <w:lang w:val="es-ES"/>
        </w:rPr>
        <w:t xml:space="preserve"> conducción de miembro superior derecho, se evidenció síndrome del túnel del carpo, más compresión del nervio </w:t>
      </w:r>
      <w:proofErr w:type="spellStart"/>
      <w:r w:rsidRPr="00AA2F64">
        <w:rPr>
          <w:rFonts w:eastAsia="Calibri"/>
          <w:sz w:val="23"/>
          <w:szCs w:val="23"/>
          <w:lang w:val="es-ES"/>
        </w:rPr>
        <w:t>ulnar</w:t>
      </w:r>
      <w:proofErr w:type="spellEnd"/>
      <w:r w:rsidRPr="00AA2F64">
        <w:rPr>
          <w:rFonts w:eastAsia="Calibri"/>
          <w:sz w:val="23"/>
          <w:szCs w:val="23"/>
          <w:lang w:val="es-ES"/>
        </w:rPr>
        <w:t xml:space="preserve"> a nivel de codo, no relacionado con la herida por arma de fuego del hombro derecho y en radiografía de hombro derecho se evidenció: leve esclerosis del </w:t>
      </w:r>
      <w:proofErr w:type="spellStart"/>
      <w:r w:rsidRPr="00AA2F64">
        <w:rPr>
          <w:rFonts w:eastAsia="Calibri"/>
          <w:sz w:val="23"/>
          <w:szCs w:val="23"/>
          <w:lang w:val="es-ES"/>
        </w:rPr>
        <w:t>troquiter</w:t>
      </w:r>
      <w:proofErr w:type="spellEnd"/>
      <w:r w:rsidRPr="00AA2F64">
        <w:rPr>
          <w:rFonts w:eastAsia="Calibri"/>
          <w:sz w:val="23"/>
          <w:szCs w:val="23"/>
          <w:lang w:val="es-ES"/>
        </w:rPr>
        <w:t xml:space="preserve"> humeral. Discapacidad por sistema: Cero por ciento (0%); </w:t>
      </w:r>
      <w:r w:rsidRPr="00AA2F64">
        <w:rPr>
          <w:rFonts w:eastAsia="Calibri"/>
          <w:b/>
          <w:sz w:val="23"/>
          <w:szCs w:val="23"/>
          <w:lang w:val="es-ES"/>
        </w:rPr>
        <w:t>2)</w:t>
      </w:r>
      <w:r w:rsidRPr="00AA2F64">
        <w:rPr>
          <w:rFonts w:eastAsia="Calibri"/>
          <w:sz w:val="23"/>
          <w:szCs w:val="23"/>
          <w:lang w:val="es-ES"/>
        </w:rPr>
        <w:t xml:space="preserve"> Psiquiatra: evaluó estado mental y conducta, determinando estrés </w:t>
      </w:r>
      <w:proofErr w:type="spellStart"/>
      <w:r w:rsidRPr="00AA2F64">
        <w:rPr>
          <w:rFonts w:eastAsia="Calibri"/>
          <w:sz w:val="23"/>
          <w:szCs w:val="23"/>
          <w:lang w:val="es-ES"/>
        </w:rPr>
        <w:t>postrauma</w:t>
      </w:r>
      <w:proofErr w:type="spellEnd"/>
      <w:r w:rsidRPr="00AA2F64">
        <w:rPr>
          <w:rFonts w:eastAsia="Calibri"/>
          <w:sz w:val="23"/>
          <w:szCs w:val="23"/>
          <w:lang w:val="es-ES"/>
        </w:rPr>
        <w:t xml:space="preserve"> crónico clase I. Discapacidad por sistema: Cuatro por ciento (4%); </w:t>
      </w:r>
      <w:r w:rsidRPr="00AA2F64">
        <w:rPr>
          <w:rFonts w:eastAsia="Calibri"/>
          <w:b/>
          <w:sz w:val="23"/>
          <w:szCs w:val="23"/>
          <w:lang w:val="es-ES"/>
        </w:rPr>
        <w:t>3)</w:t>
      </w:r>
      <w:r w:rsidRPr="00AA2F64">
        <w:rPr>
          <w:rFonts w:eastAsia="Calibri"/>
          <w:sz w:val="23"/>
          <w:szCs w:val="23"/>
          <w:lang w:val="es-ES"/>
        </w:rPr>
        <w:t xml:space="preserve"> Cirujano Plástico: evaluó cicatriz con retracción de aproximadamente 2 cm. a nivel de hombro derecho, resto negativo. Discapacidad por sistema: Dos por ciento (2%). </w:t>
      </w:r>
      <w:r w:rsidRPr="00AA2F64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AA2F64">
        <w:rPr>
          <w:rFonts w:eastAsia="Calibri"/>
          <w:sz w:val="23"/>
          <w:szCs w:val="23"/>
          <w:lang w:val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AA2F64">
        <w:rPr>
          <w:b/>
          <w:sz w:val="23"/>
          <w:szCs w:val="23"/>
        </w:rPr>
        <w:t xml:space="preserve">COMUNÍQUESE”. </w:t>
      </w:r>
      <w:r w:rsidRPr="00AA2F64">
        <w:rPr>
          <w:rFonts w:cs="Arial"/>
          <w:bCs/>
          <w:sz w:val="23"/>
          <w:szCs w:val="23"/>
        </w:rPr>
        <w:t>Rubricado por: Presidente de Junta Directiva: “ILEGIBLE”; Representante Propietario de ASALDIG: “ILEGIBLE”; Representante Propietario de ALFAES: “ILEGIBLE”; Representante Propietaria de ISRI: “ILEGIBLE”; Representante Suplente de IPSFA: “ILEGIBLE”; y Representante Suplente de MINSAL: “ILEGIBLE”.</w:t>
      </w:r>
    </w:p>
    <w:p w:rsidR="00AA2F64" w:rsidRPr="00AA2F64" w:rsidRDefault="00AA2F64" w:rsidP="00AA2F64">
      <w:pPr>
        <w:tabs>
          <w:tab w:val="left" w:pos="426"/>
          <w:tab w:val="left" w:pos="1701"/>
        </w:tabs>
        <w:contextualSpacing/>
        <w:jc w:val="both"/>
        <w:rPr>
          <w:rFonts w:cs="Arial"/>
          <w:sz w:val="23"/>
          <w:szCs w:val="23"/>
        </w:rPr>
      </w:pPr>
    </w:p>
    <w:p w:rsidR="00AA2F64" w:rsidRPr="00AA2F64" w:rsidRDefault="00AA2F64" w:rsidP="00AA2F64">
      <w:pPr>
        <w:rPr>
          <w:rFonts w:cs="Arial"/>
          <w:bCs/>
          <w:sz w:val="23"/>
          <w:szCs w:val="23"/>
        </w:rPr>
      </w:pPr>
      <w:r w:rsidRPr="00AA2F64">
        <w:rPr>
          <w:rFonts w:cs="Arial"/>
          <w:bCs/>
          <w:sz w:val="23"/>
          <w:szCs w:val="23"/>
        </w:rPr>
        <w:t>Lo que se transcribe para los efectos pertinentes.</w:t>
      </w:r>
    </w:p>
    <w:p w:rsidR="00AA2F64" w:rsidRPr="00AA2F64" w:rsidRDefault="00AA2F64" w:rsidP="00AA2F64">
      <w:pPr>
        <w:rPr>
          <w:rFonts w:cs="Arial"/>
          <w:bCs/>
          <w:sz w:val="23"/>
          <w:szCs w:val="23"/>
        </w:rPr>
      </w:pPr>
    </w:p>
    <w:p w:rsidR="00AA2F64" w:rsidRPr="00AA2F64" w:rsidRDefault="00AA2F64" w:rsidP="00AA2F64">
      <w:pPr>
        <w:rPr>
          <w:rFonts w:cs="Arial"/>
          <w:bCs/>
          <w:sz w:val="23"/>
          <w:szCs w:val="23"/>
        </w:rPr>
      </w:pPr>
    </w:p>
    <w:p w:rsidR="00AA2F64" w:rsidRPr="00AA2F64" w:rsidRDefault="00AA2F64" w:rsidP="00AA2F64">
      <w:pPr>
        <w:rPr>
          <w:rFonts w:cs="Arial"/>
          <w:bCs/>
          <w:sz w:val="23"/>
          <w:szCs w:val="23"/>
        </w:rPr>
      </w:pPr>
    </w:p>
    <w:p w:rsidR="00AA2F64" w:rsidRPr="00AA2F64" w:rsidRDefault="00AA2F64" w:rsidP="00AA2F64">
      <w:pPr>
        <w:jc w:val="center"/>
        <w:rPr>
          <w:rFonts w:cs="Arial"/>
          <w:bCs/>
          <w:sz w:val="23"/>
          <w:szCs w:val="23"/>
        </w:rPr>
      </w:pPr>
      <w:r w:rsidRPr="00AA2F64">
        <w:rPr>
          <w:rFonts w:cs="Arial"/>
          <w:bCs/>
          <w:sz w:val="23"/>
          <w:szCs w:val="23"/>
        </w:rPr>
        <w:t>Dr. Elder Flores Guevara</w:t>
      </w:r>
    </w:p>
    <w:p w:rsidR="00AA2F64" w:rsidRPr="00AA2F64" w:rsidRDefault="00AA2F64" w:rsidP="00AA2F64">
      <w:pPr>
        <w:jc w:val="center"/>
        <w:rPr>
          <w:rFonts w:cs="Arial"/>
          <w:bCs/>
          <w:sz w:val="23"/>
          <w:szCs w:val="23"/>
        </w:rPr>
      </w:pPr>
      <w:r w:rsidRPr="00AA2F64">
        <w:rPr>
          <w:rFonts w:cs="Arial"/>
          <w:bCs/>
          <w:sz w:val="23"/>
          <w:szCs w:val="23"/>
        </w:rPr>
        <w:t>Gerente General</w:t>
      </w:r>
      <w:bookmarkStart w:id="0" w:name="_GoBack"/>
      <w:bookmarkEnd w:id="0"/>
    </w:p>
    <w:sectPr w:rsidR="00AA2F64" w:rsidRPr="00AA2F6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7D9" w:rsidRDefault="005257D9" w:rsidP="00AA2F64">
      <w:r>
        <w:separator/>
      </w:r>
    </w:p>
  </w:endnote>
  <w:endnote w:type="continuationSeparator" w:id="0">
    <w:p w:rsidR="005257D9" w:rsidRDefault="005257D9" w:rsidP="00AA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7D9" w:rsidRDefault="005257D9" w:rsidP="00AA2F64">
      <w:r>
        <w:separator/>
      </w:r>
    </w:p>
  </w:footnote>
  <w:footnote w:type="continuationSeparator" w:id="0">
    <w:p w:rsidR="005257D9" w:rsidRDefault="005257D9" w:rsidP="00AA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F64" w:rsidRDefault="00AA2F64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665757FD" wp14:editId="3FD76425">
          <wp:simplePos x="0" y="0"/>
          <wp:positionH relativeFrom="page">
            <wp:posOffset>1670685</wp:posOffset>
          </wp:positionH>
          <wp:positionV relativeFrom="paragraph">
            <wp:posOffset>-276860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2F64" w:rsidRDefault="00AA2F64">
    <w:pPr>
      <w:pStyle w:val="Encabezado"/>
    </w:pPr>
  </w:p>
  <w:p w:rsidR="00AA2F64" w:rsidRDefault="00AA2F64">
    <w:pPr>
      <w:pStyle w:val="Encabezado"/>
    </w:pPr>
  </w:p>
  <w:p w:rsidR="00AA2F64" w:rsidRDefault="00AA2F64">
    <w:pPr>
      <w:pStyle w:val="Encabezado"/>
    </w:pPr>
  </w:p>
  <w:p w:rsidR="00AA2F64" w:rsidRDefault="00AA2F64">
    <w:pPr>
      <w:pStyle w:val="Encabezado"/>
    </w:pPr>
  </w:p>
  <w:p w:rsidR="00AA2F64" w:rsidRDefault="00AA2F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64"/>
    <w:rsid w:val="0012322D"/>
    <w:rsid w:val="005257D9"/>
    <w:rsid w:val="007507D5"/>
    <w:rsid w:val="00A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7E05"/>
  <w15:chartTrackingRefBased/>
  <w15:docId w15:val="{FEA35341-0AE5-42F5-B51C-955CA2A7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F6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A2F64"/>
  </w:style>
  <w:style w:type="paragraph" w:styleId="Piedepgina">
    <w:name w:val="footer"/>
    <w:basedOn w:val="Normal"/>
    <w:link w:val="PiedepginaCar"/>
    <w:uiPriority w:val="99"/>
    <w:unhideWhenUsed/>
    <w:rsid w:val="00AA2F6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2</cp:revision>
  <dcterms:created xsi:type="dcterms:W3CDTF">2021-08-18T13:42:00Z</dcterms:created>
  <dcterms:modified xsi:type="dcterms:W3CDTF">2021-08-18T13:45:00Z</dcterms:modified>
</cp:coreProperties>
</file>