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A27" w:rsidRDefault="00201A27" w:rsidP="00201A27">
      <w:pPr>
        <w:pStyle w:val="Ttulo4"/>
        <w:spacing w:line="240" w:lineRule="exact"/>
        <w:rPr>
          <w:noProof/>
          <w:sz w:val="23"/>
          <w:szCs w:val="23"/>
          <w:lang w:eastAsia="es-SV"/>
        </w:rPr>
      </w:pPr>
    </w:p>
    <w:p w:rsidR="004E6975" w:rsidRPr="004E6975" w:rsidRDefault="004E6975" w:rsidP="004E6975">
      <w:pPr>
        <w:spacing w:line="360" w:lineRule="auto"/>
        <w:ind w:left="1531" w:right="1531"/>
        <w:jc w:val="center"/>
        <w:rPr>
          <w:rFonts w:ascii="Calibri" w:eastAsia="Calibri" w:hAnsi="Calibri" w:cs="Calibri"/>
          <w:b/>
          <w:position w:val="3"/>
          <w:sz w:val="80"/>
          <w:szCs w:val="80"/>
          <w:lang w:val="es-SV" w:eastAsia="en-US"/>
        </w:rPr>
      </w:pPr>
      <w:r w:rsidRPr="004E6975">
        <w:rPr>
          <w:rFonts w:ascii="Calibri" w:eastAsia="Calibri" w:hAnsi="Calibri" w:cs="Calibri"/>
          <w:b/>
          <w:position w:val="3"/>
          <w:sz w:val="80"/>
          <w:szCs w:val="80"/>
          <w:lang w:val="es-SV" w:eastAsia="en-US"/>
        </w:rPr>
        <w:t>DOCUMENTO EN</w:t>
      </w:r>
    </w:p>
    <w:p w:rsidR="004E6975" w:rsidRPr="004E6975" w:rsidRDefault="004E6975" w:rsidP="004E6975">
      <w:pPr>
        <w:spacing w:line="360" w:lineRule="auto"/>
        <w:ind w:left="1531" w:right="1531"/>
        <w:jc w:val="center"/>
        <w:rPr>
          <w:rFonts w:ascii="Calibri" w:eastAsia="Calibri" w:hAnsi="Calibri" w:cs="Calibri"/>
          <w:b/>
          <w:position w:val="3"/>
          <w:sz w:val="80"/>
          <w:szCs w:val="80"/>
          <w:lang w:val="es-SV" w:eastAsia="en-US"/>
        </w:rPr>
      </w:pPr>
      <w:r w:rsidRPr="004E6975">
        <w:rPr>
          <w:rFonts w:ascii="Calibri" w:eastAsia="Calibri" w:hAnsi="Calibri" w:cs="Calibri"/>
          <w:b/>
          <w:position w:val="3"/>
          <w:sz w:val="80"/>
          <w:szCs w:val="80"/>
          <w:lang w:val="es-SV" w:eastAsia="en-US"/>
        </w:rPr>
        <w:t>VERSION PÚBLICA</w:t>
      </w:r>
    </w:p>
    <w:p w:rsidR="004E6975" w:rsidRDefault="004E6975" w:rsidP="004E6975">
      <w:pPr>
        <w:spacing w:line="840" w:lineRule="exact"/>
        <w:ind w:left="1530" w:right="1532"/>
        <w:jc w:val="center"/>
        <w:rPr>
          <w:rFonts w:ascii="Calibri" w:eastAsia="Calibri" w:hAnsi="Calibri" w:cs="Calibri"/>
          <w:b/>
          <w:position w:val="3"/>
          <w:sz w:val="80"/>
          <w:szCs w:val="80"/>
          <w:lang w:val="es-SV" w:eastAsia="en-US"/>
        </w:rPr>
      </w:pPr>
    </w:p>
    <w:p w:rsidR="004E6975" w:rsidRPr="004E6975" w:rsidRDefault="004E6975" w:rsidP="004E6975">
      <w:pPr>
        <w:spacing w:line="840" w:lineRule="exact"/>
        <w:ind w:left="1530" w:right="1532"/>
        <w:jc w:val="center"/>
        <w:rPr>
          <w:rFonts w:ascii="Calibri" w:eastAsia="Calibri" w:hAnsi="Calibri" w:cs="Calibri"/>
          <w:b/>
          <w:position w:val="3"/>
          <w:sz w:val="80"/>
          <w:szCs w:val="80"/>
          <w:lang w:val="es-SV" w:eastAsia="en-US"/>
        </w:rPr>
      </w:pPr>
      <w:r w:rsidRPr="004E6975">
        <w:rPr>
          <w:rFonts w:ascii="Calibri" w:eastAsia="Calibri" w:hAnsi="Calibri" w:cs="Calibri"/>
          <w:b/>
          <w:position w:val="3"/>
          <w:sz w:val="80"/>
          <w:szCs w:val="80"/>
          <w:lang w:val="es-SV" w:eastAsia="en-US"/>
        </w:rPr>
        <w:t>De conformidad a los</w:t>
      </w:r>
    </w:p>
    <w:p w:rsidR="004E6975" w:rsidRPr="004E6975" w:rsidRDefault="004E6975" w:rsidP="004E6975">
      <w:pPr>
        <w:spacing w:line="840" w:lineRule="exact"/>
        <w:ind w:left="1530" w:right="1532"/>
        <w:jc w:val="center"/>
        <w:rPr>
          <w:rFonts w:ascii="Calibri" w:eastAsia="Calibri" w:hAnsi="Calibri" w:cs="Calibri"/>
          <w:b/>
          <w:position w:val="3"/>
          <w:sz w:val="80"/>
          <w:szCs w:val="80"/>
          <w:lang w:val="es-SV" w:eastAsia="en-US"/>
        </w:rPr>
      </w:pPr>
      <w:r w:rsidRPr="004E6975">
        <w:rPr>
          <w:rFonts w:ascii="Calibri" w:eastAsia="Calibri" w:hAnsi="Calibri" w:cs="Calibri"/>
          <w:b/>
          <w:position w:val="3"/>
          <w:sz w:val="80"/>
          <w:szCs w:val="80"/>
          <w:lang w:val="es-SV" w:eastAsia="en-US"/>
        </w:rPr>
        <w:t>Artículos:</w:t>
      </w:r>
    </w:p>
    <w:p w:rsidR="004E6975" w:rsidRPr="004E6975" w:rsidRDefault="004E6975" w:rsidP="004E6975">
      <w:pPr>
        <w:spacing w:line="840" w:lineRule="exact"/>
        <w:ind w:left="1530" w:right="1532"/>
        <w:jc w:val="center"/>
        <w:rPr>
          <w:rFonts w:ascii="Calibri" w:eastAsia="Calibri" w:hAnsi="Calibri" w:cs="Calibri"/>
          <w:b/>
          <w:position w:val="3"/>
          <w:sz w:val="80"/>
          <w:szCs w:val="80"/>
          <w:lang w:val="es-SV" w:eastAsia="en-US"/>
        </w:rPr>
      </w:pPr>
    </w:p>
    <w:p w:rsidR="004E6975" w:rsidRPr="004E6975" w:rsidRDefault="004E6975" w:rsidP="004E6975">
      <w:pPr>
        <w:spacing w:line="840" w:lineRule="exact"/>
        <w:ind w:left="1530" w:right="1532"/>
        <w:jc w:val="center"/>
        <w:rPr>
          <w:rFonts w:ascii="Calibri" w:eastAsia="Calibri" w:hAnsi="Calibri" w:cs="Calibri"/>
          <w:b/>
          <w:position w:val="3"/>
          <w:sz w:val="80"/>
          <w:szCs w:val="80"/>
          <w:lang w:val="es-SV" w:eastAsia="en-US"/>
        </w:rPr>
      </w:pPr>
      <w:r w:rsidRPr="004E6975">
        <w:rPr>
          <w:rFonts w:ascii="Calibri" w:eastAsia="Calibri" w:hAnsi="Calibri" w:cs="Calibri"/>
          <w:b/>
          <w:position w:val="3"/>
          <w:sz w:val="80"/>
          <w:szCs w:val="80"/>
          <w:lang w:val="es-SV" w:eastAsia="en-US"/>
        </w:rPr>
        <w:t>24 letra “c” y 30 de la LAIP.</w:t>
      </w:r>
    </w:p>
    <w:p w:rsidR="004E6975" w:rsidRPr="004E6975" w:rsidRDefault="004E6975" w:rsidP="004E6975">
      <w:pPr>
        <w:spacing w:line="840" w:lineRule="exact"/>
        <w:ind w:left="1530" w:right="1532"/>
        <w:jc w:val="center"/>
        <w:rPr>
          <w:rFonts w:ascii="Calibri" w:eastAsia="Calibri" w:hAnsi="Calibri" w:cs="Calibri"/>
          <w:b/>
          <w:position w:val="3"/>
          <w:sz w:val="80"/>
          <w:szCs w:val="80"/>
          <w:lang w:val="es-SV" w:eastAsia="en-US"/>
        </w:rPr>
      </w:pPr>
      <w:r w:rsidRPr="004E6975">
        <w:rPr>
          <w:rFonts w:ascii="Calibri" w:eastAsia="Calibri" w:hAnsi="Calibri" w:cs="Calibri"/>
          <w:b/>
          <w:position w:val="3"/>
          <w:sz w:val="80"/>
          <w:szCs w:val="80"/>
          <w:lang w:val="es-SV" w:eastAsia="en-US"/>
        </w:rPr>
        <w:t>Se han eliminado los datos</w:t>
      </w:r>
    </w:p>
    <w:p w:rsidR="00100358" w:rsidRDefault="004E6975" w:rsidP="004E6975">
      <w:pPr>
        <w:spacing w:line="840" w:lineRule="exact"/>
        <w:ind w:left="1530" w:right="1532"/>
        <w:jc w:val="center"/>
        <w:rPr>
          <w:rFonts w:ascii="Calibri" w:eastAsia="Calibri" w:hAnsi="Calibri" w:cs="Calibri"/>
          <w:sz w:val="80"/>
          <w:szCs w:val="80"/>
          <w:lang w:eastAsia="en-US"/>
        </w:rPr>
      </w:pPr>
      <w:r w:rsidRPr="004E6975">
        <w:rPr>
          <w:rFonts w:ascii="Calibri" w:eastAsia="Calibri" w:hAnsi="Calibri" w:cs="Calibri"/>
          <w:b/>
          <w:position w:val="3"/>
          <w:sz w:val="80"/>
          <w:szCs w:val="80"/>
          <w:lang w:val="es-SV" w:eastAsia="en-US"/>
        </w:rPr>
        <w:t>Personales</w:t>
      </w:r>
      <w:bookmarkStart w:id="0" w:name="_GoBack"/>
      <w:bookmarkEnd w:id="0"/>
    </w:p>
    <w:p w:rsidR="00100358" w:rsidRDefault="00100358" w:rsidP="00100358">
      <w:pPr>
        <w:jc w:val="center"/>
        <w:rPr>
          <w:lang w:val="es-SV" w:eastAsia="es-SV"/>
        </w:rPr>
      </w:pPr>
    </w:p>
    <w:p w:rsidR="00100358" w:rsidRDefault="00100358" w:rsidP="00100358">
      <w:pPr>
        <w:rPr>
          <w:lang w:val="es-SV" w:eastAsia="es-SV"/>
        </w:rPr>
      </w:pPr>
    </w:p>
    <w:p w:rsidR="00100358" w:rsidRPr="00100358" w:rsidRDefault="00100358" w:rsidP="00100358">
      <w:pPr>
        <w:rPr>
          <w:lang w:val="es-SV" w:eastAsia="es-SV"/>
        </w:rPr>
      </w:pPr>
    </w:p>
    <w:p w:rsidR="00067FCD" w:rsidRDefault="00067FCD" w:rsidP="00201A27">
      <w:pPr>
        <w:pStyle w:val="Ttulo4"/>
        <w:spacing w:line="240" w:lineRule="exact"/>
        <w:rPr>
          <w:sz w:val="24"/>
          <w:szCs w:val="24"/>
        </w:rPr>
      </w:pPr>
    </w:p>
    <w:p w:rsidR="00067FCD" w:rsidRPr="00067FCD" w:rsidRDefault="00067FCD" w:rsidP="00067FCD">
      <w:pPr>
        <w:rPr>
          <w:lang w:val="es-SV"/>
        </w:rPr>
      </w:pPr>
    </w:p>
    <w:p w:rsidR="00067FCD" w:rsidRDefault="00067FCD" w:rsidP="00201A27">
      <w:pPr>
        <w:pStyle w:val="Ttulo4"/>
        <w:spacing w:line="240" w:lineRule="exact"/>
        <w:rPr>
          <w:sz w:val="24"/>
          <w:szCs w:val="24"/>
        </w:rPr>
      </w:pPr>
    </w:p>
    <w:p w:rsidR="00201A27" w:rsidRPr="00067FCD" w:rsidRDefault="00201A27" w:rsidP="00201A27">
      <w:pPr>
        <w:pStyle w:val="Ttulo4"/>
        <w:spacing w:line="240" w:lineRule="exact"/>
        <w:rPr>
          <w:b w:val="0"/>
          <w:sz w:val="24"/>
          <w:szCs w:val="24"/>
        </w:rPr>
      </w:pPr>
      <w:r w:rsidRPr="00067FCD">
        <w:rPr>
          <w:sz w:val="24"/>
          <w:szCs w:val="24"/>
        </w:rPr>
        <w:t>SE HA EMITIDO EL ACUERDO QUE DICE:</w:t>
      </w:r>
    </w:p>
    <w:p w:rsidR="00201A27" w:rsidRDefault="00201A27" w:rsidP="00201A27">
      <w:pPr>
        <w:pStyle w:val="Prrafodelista"/>
        <w:spacing w:line="240" w:lineRule="exact"/>
        <w:ind w:left="0"/>
        <w:jc w:val="both"/>
        <w:rPr>
          <w:rFonts w:ascii="Arial" w:hAnsi="Arial" w:cs="Arial"/>
          <w:b/>
          <w:lang w:val="es-SV"/>
        </w:rPr>
      </w:pPr>
    </w:p>
    <w:p w:rsidR="00067FCD" w:rsidRDefault="00067FCD" w:rsidP="00201A27">
      <w:pPr>
        <w:pStyle w:val="Prrafodelista"/>
        <w:spacing w:line="240" w:lineRule="exact"/>
        <w:ind w:left="0"/>
        <w:jc w:val="both"/>
        <w:rPr>
          <w:rFonts w:ascii="Arial" w:hAnsi="Arial" w:cs="Arial"/>
          <w:b/>
          <w:lang w:val="es-SV"/>
        </w:rPr>
      </w:pPr>
    </w:p>
    <w:p w:rsidR="00067FCD" w:rsidRPr="00067FCD" w:rsidRDefault="00067FCD" w:rsidP="00201A27">
      <w:pPr>
        <w:pStyle w:val="Prrafodelista"/>
        <w:spacing w:line="240" w:lineRule="exact"/>
        <w:ind w:left="0"/>
        <w:jc w:val="both"/>
        <w:rPr>
          <w:rFonts w:ascii="Arial" w:hAnsi="Arial" w:cs="Arial"/>
          <w:b/>
          <w:lang w:val="es-SV"/>
        </w:rPr>
      </w:pPr>
    </w:p>
    <w:p w:rsidR="00344778" w:rsidRPr="00067FCD" w:rsidRDefault="00344778" w:rsidP="00201A27">
      <w:pPr>
        <w:pStyle w:val="Prrafodelista"/>
        <w:spacing w:line="240" w:lineRule="exact"/>
        <w:ind w:left="0"/>
        <w:jc w:val="both"/>
        <w:rPr>
          <w:rFonts w:ascii="Arial" w:hAnsi="Arial" w:cs="Arial"/>
          <w:b/>
          <w:lang w:val="es-SV"/>
        </w:rPr>
      </w:pPr>
    </w:p>
    <w:p w:rsidR="00201A27" w:rsidRPr="00067FCD" w:rsidRDefault="00201A27" w:rsidP="00D137F1">
      <w:pPr>
        <w:tabs>
          <w:tab w:val="left" w:pos="284"/>
        </w:tabs>
        <w:ind w:right="-1"/>
        <w:contextualSpacing/>
        <w:jc w:val="both"/>
        <w:rPr>
          <w:rStyle w:val="nfasis"/>
          <w:b w:val="0"/>
        </w:rPr>
      </w:pPr>
      <w:r w:rsidRPr="00067FCD">
        <w:rPr>
          <w:rFonts w:cs="Arial"/>
          <w:b/>
        </w:rPr>
        <w:t>San Salvador, 08 de abril de 2021, ACTA No.12.04.2021, ACUERDO No. 18</w:t>
      </w:r>
      <w:r w:rsidR="00D137F1">
        <w:rPr>
          <w:rFonts w:cs="Arial"/>
          <w:b/>
        </w:rPr>
        <w:t>8</w:t>
      </w:r>
      <w:r w:rsidRPr="00067FCD">
        <w:rPr>
          <w:rFonts w:cs="Arial"/>
          <w:b/>
        </w:rPr>
        <w:t xml:space="preserve">.04.2021. La Junta Directiva del Fondo de Protección de Lisiados y Discapacitados a Consecuencia del Conflicto Armado, </w:t>
      </w:r>
      <w:r w:rsidR="00D137F1" w:rsidRPr="00751097">
        <w:t xml:space="preserve">con el voto favorable de los Directivos Propietarios Representantes de: </w:t>
      </w:r>
      <w:r w:rsidR="00D137F1" w:rsidRPr="00751097">
        <w:rPr>
          <w:b/>
          <w:lang w:eastAsia="es-SV"/>
        </w:rPr>
        <w:t xml:space="preserve">ASALDIG, AOSSTALGFAES, ALFAES, IPSFA, </w:t>
      </w:r>
      <w:r w:rsidR="00D137F1" w:rsidRPr="00751097">
        <w:rPr>
          <w:lang w:eastAsia="es-SV"/>
        </w:rPr>
        <w:t>y el</w:t>
      </w:r>
      <w:r w:rsidR="00D137F1" w:rsidRPr="00751097">
        <w:rPr>
          <w:b/>
          <w:lang w:eastAsia="es-SV"/>
        </w:rPr>
        <w:t xml:space="preserve"> Presidente; </w:t>
      </w:r>
      <w:r w:rsidR="00D137F1" w:rsidRPr="00751097">
        <w:rPr>
          <w:lang w:eastAsia="es-SV"/>
        </w:rPr>
        <w:t xml:space="preserve">y los Directivos Suplentes de: </w:t>
      </w:r>
      <w:r w:rsidR="00D137F1" w:rsidRPr="00751097">
        <w:rPr>
          <w:b/>
          <w:lang w:eastAsia="es-SV"/>
        </w:rPr>
        <w:t xml:space="preserve">ISRI, MTPS, MINSAL, </w:t>
      </w:r>
      <w:r w:rsidR="00D137F1" w:rsidRPr="00751097">
        <w:rPr>
          <w:lang w:eastAsia="es-SV"/>
        </w:rPr>
        <w:t xml:space="preserve">y </w:t>
      </w:r>
      <w:r w:rsidR="00D137F1" w:rsidRPr="00751097">
        <w:rPr>
          <w:b/>
          <w:lang w:eastAsia="es-SV"/>
        </w:rPr>
        <w:t>ALGES</w:t>
      </w:r>
      <w:r w:rsidR="00D137F1" w:rsidRPr="00751097">
        <w:rPr>
          <w:lang w:eastAsia="es-SV"/>
        </w:rPr>
        <w:t xml:space="preserve"> se</w:t>
      </w:r>
      <w:r w:rsidR="00D137F1" w:rsidRPr="00751097">
        <w:t xml:space="preserve"> emitió y ratificó el acuerdo siguiente: La Junta Directiva conforme a la </w:t>
      </w:r>
      <w:r w:rsidR="00D137F1" w:rsidRPr="00751097">
        <w:rPr>
          <w:lang w:eastAsia="es-SV"/>
        </w:rPr>
        <w:t xml:space="preserve">propuesta presentada por la Comisión Especial de Apelaciones, con la cual se resuelven los recursos de apelación presentados por 2 personas, acuerda: </w:t>
      </w:r>
      <w:r w:rsidR="00D137F1" w:rsidRPr="00751097">
        <w:rPr>
          <w:b/>
          <w:lang w:eastAsia="es-SV"/>
        </w:rPr>
        <w:t>a)</w:t>
      </w:r>
      <w:r w:rsidR="00D137F1" w:rsidRPr="00751097">
        <w:rPr>
          <w:lang w:eastAsia="es-SV"/>
        </w:rPr>
        <w:t xml:space="preserve"> </w:t>
      </w:r>
      <w:r w:rsidR="00D137F1" w:rsidRPr="00751097">
        <w:rPr>
          <w:lang w:val="es-ES"/>
        </w:rPr>
        <w:t>Archivar el expediente</w:t>
      </w:r>
      <w:r w:rsidR="00D137F1" w:rsidRPr="00751097">
        <w:rPr>
          <w:lang w:val="es-MX"/>
        </w:rPr>
        <w:t xml:space="preserve"> Nº 34958, de la señora</w:t>
      </w:r>
      <w:r w:rsidR="00BB2546">
        <w:rPr>
          <w:rFonts w:eastAsia="Calibri"/>
          <w:b/>
          <w:lang w:val="es-MX"/>
        </w:rPr>
        <w:t xml:space="preserve"> XXXXXXXXXXXXXXXXXXXXXX</w:t>
      </w:r>
      <w:r w:rsidR="00D137F1" w:rsidRPr="00751097">
        <w:rPr>
          <w:rFonts w:eastAsia="Calibri"/>
          <w:b/>
          <w:lang w:val="es-ES"/>
        </w:rPr>
        <w:t>,</w:t>
      </w:r>
      <w:r w:rsidR="00D137F1" w:rsidRPr="00751097">
        <w:rPr>
          <w:b/>
          <w:lang w:val="es-MX"/>
        </w:rPr>
        <w:t xml:space="preserve"> </w:t>
      </w:r>
      <w:r w:rsidR="00D137F1" w:rsidRPr="00751097">
        <w:rPr>
          <w:lang w:val="es-MX"/>
        </w:rPr>
        <w:t xml:space="preserve">en virtud de no existir otra diligencia pendiente sobre el caso, debido a que </w:t>
      </w:r>
      <w:r w:rsidR="00D137F1" w:rsidRPr="00751097">
        <w:rPr>
          <w:rFonts w:eastAsia="Calibri"/>
          <w:lang w:val="es-ES"/>
        </w:rPr>
        <w:t xml:space="preserve">no se presentó a entrevista y evaluación  física ante la Comisión Especial de Apelaciones, quedando su trámite del recurso  de apelación sin cerrar desde el año 2015, se le hicieron convocatorias para que se presentara y no compareció, posteriormente se obtuvo información de que la recurrente había fallecido, lo cual se comprobó con la marginación de fallecimiento que contiene la Certificación de la Partida de nacimiento que literalmente dice: </w:t>
      </w:r>
      <w:r w:rsidR="00D137F1" w:rsidRPr="00751097">
        <w:rPr>
          <w:rFonts w:eastAsia="Calibri"/>
          <w:i/>
          <w:lang w:val="es-ES"/>
        </w:rPr>
        <w:t>“La infrascrita jefe del Registro del Estado Familiar de la Alcaldía municipal de Villa San Antonio, hace constar que la Inscrita  FALLECIÓ el día 25 de octubre de 2015 en el caserío La Fragua, cantón San Diego a consecuencia de fiebre y vómito</w:t>
      </w:r>
      <w:r w:rsidR="00D137F1" w:rsidRPr="00751097">
        <w:rPr>
          <w:rFonts w:eastAsia="Calibri"/>
          <w:lang w:val="es-ES"/>
        </w:rPr>
        <w:t>”, según consta en la Partida de Defunción No 32, Folio 32, del año 2015,  quien había sido dictaminada como NO ELEGIBLE, en fecha 19 de mayo de 2015 en e</w:t>
      </w:r>
      <w:r w:rsidR="00352268">
        <w:rPr>
          <w:rFonts w:eastAsia="Calibri"/>
          <w:lang w:val="es-ES"/>
        </w:rPr>
        <w:t xml:space="preserve">l recurso de revisión. </w:t>
      </w:r>
      <w:r w:rsidRPr="00067FCD">
        <w:rPr>
          <w:b/>
        </w:rPr>
        <w:t xml:space="preserve">COMUNÍQUESE. </w:t>
      </w:r>
      <w:r w:rsidRPr="00067FCD">
        <w:rPr>
          <w:rStyle w:val="nfasis"/>
          <w:rFonts w:cs="Arial"/>
          <w:b w:val="0"/>
        </w:rPr>
        <w:t>Rubricado por: Presidente de Junta Directiva: “ILEGIBLE”; Representante Propietario de ASALDIG: “ILEGIBLE”; Representante Propietario de AOSSTALGFAES: “ILEGIBLE”; Representante Propietario de ALFAES: “ILEGIBLE”; Representante Propietaria de IPSFA: “ILEGIBLE”; Representante Suplente de ISRI: “ILEGIBLE”; Representante Suplente de MTPS: “ILEGIBLE”; Representante Suplente de MINSAL: “ILEGIBLE”; Representante Suplente de ALGES: “ILEGIBLE”.</w:t>
      </w:r>
    </w:p>
    <w:p w:rsidR="00201A27" w:rsidRPr="00067FCD" w:rsidRDefault="00201A27" w:rsidP="00201A27">
      <w:pPr>
        <w:tabs>
          <w:tab w:val="left" w:pos="426"/>
          <w:tab w:val="left" w:pos="1701"/>
        </w:tabs>
        <w:spacing w:line="260" w:lineRule="exact"/>
        <w:contextualSpacing/>
        <w:jc w:val="both"/>
        <w:rPr>
          <w:rFonts w:cs="Arial"/>
        </w:rPr>
      </w:pPr>
    </w:p>
    <w:p w:rsidR="00201A27" w:rsidRPr="00067FCD" w:rsidRDefault="00201A27" w:rsidP="00201A27">
      <w:pPr>
        <w:spacing w:line="260" w:lineRule="exact"/>
        <w:rPr>
          <w:rStyle w:val="nfasis"/>
          <w:rFonts w:cs="Arial"/>
          <w:b w:val="0"/>
        </w:rPr>
      </w:pPr>
      <w:r w:rsidRPr="00067FCD">
        <w:rPr>
          <w:rStyle w:val="nfasis"/>
          <w:rFonts w:cs="Arial"/>
          <w:b w:val="0"/>
        </w:rPr>
        <w:t>Lo que se transcribe para los efectos pertinentes.</w:t>
      </w:r>
    </w:p>
    <w:p w:rsidR="00201A27" w:rsidRPr="00067FCD" w:rsidRDefault="00201A27" w:rsidP="00201A27">
      <w:pPr>
        <w:spacing w:line="260" w:lineRule="exact"/>
        <w:rPr>
          <w:rStyle w:val="nfasis"/>
          <w:rFonts w:cs="Arial"/>
          <w:b w:val="0"/>
        </w:rPr>
      </w:pPr>
    </w:p>
    <w:p w:rsidR="00201A27" w:rsidRPr="00067FCD" w:rsidRDefault="00201A27" w:rsidP="00201A27">
      <w:pPr>
        <w:spacing w:line="260" w:lineRule="exact"/>
        <w:rPr>
          <w:rStyle w:val="nfasis"/>
          <w:rFonts w:cs="Arial"/>
          <w:b w:val="0"/>
        </w:rPr>
      </w:pPr>
    </w:p>
    <w:p w:rsidR="00201A27" w:rsidRPr="00067FCD" w:rsidRDefault="00201A27" w:rsidP="00201A27">
      <w:pPr>
        <w:spacing w:line="260" w:lineRule="exact"/>
        <w:rPr>
          <w:rStyle w:val="nfasis"/>
          <w:rFonts w:cs="Arial"/>
          <w:b w:val="0"/>
        </w:rPr>
      </w:pPr>
    </w:p>
    <w:p w:rsidR="00201A27" w:rsidRPr="00067FCD" w:rsidRDefault="00201A27" w:rsidP="00201A27">
      <w:pPr>
        <w:spacing w:line="260" w:lineRule="exact"/>
        <w:jc w:val="center"/>
        <w:rPr>
          <w:rStyle w:val="nfasis"/>
          <w:rFonts w:cs="Arial"/>
          <w:b w:val="0"/>
        </w:rPr>
      </w:pPr>
      <w:r w:rsidRPr="00067FCD">
        <w:rPr>
          <w:rStyle w:val="nfasis"/>
          <w:rFonts w:cs="Arial"/>
          <w:b w:val="0"/>
        </w:rPr>
        <w:t>Dr. Elder Flores Guevara</w:t>
      </w:r>
    </w:p>
    <w:p w:rsidR="00352268" w:rsidRDefault="00201A27" w:rsidP="00DD44B1">
      <w:pPr>
        <w:tabs>
          <w:tab w:val="center" w:pos="4844"/>
          <w:tab w:val="left" w:pos="7560"/>
        </w:tabs>
        <w:spacing w:line="260" w:lineRule="exact"/>
        <w:rPr>
          <w:rStyle w:val="nfasis"/>
          <w:rFonts w:cs="Arial"/>
          <w:b w:val="0"/>
        </w:rPr>
      </w:pPr>
      <w:r w:rsidRPr="00067FCD">
        <w:rPr>
          <w:rStyle w:val="nfasis"/>
          <w:rFonts w:cs="Arial"/>
          <w:b w:val="0"/>
        </w:rPr>
        <w:tab/>
        <w:t>Gerente General</w:t>
      </w:r>
    </w:p>
    <w:p w:rsidR="00352268" w:rsidRDefault="00352268" w:rsidP="00DD44B1">
      <w:pPr>
        <w:tabs>
          <w:tab w:val="center" w:pos="4844"/>
          <w:tab w:val="left" w:pos="7560"/>
        </w:tabs>
        <w:spacing w:line="260" w:lineRule="exact"/>
        <w:rPr>
          <w:rStyle w:val="nfasis"/>
          <w:rFonts w:cs="Arial"/>
          <w:b w:val="0"/>
        </w:rPr>
      </w:pPr>
    </w:p>
    <w:p w:rsidR="00352268" w:rsidRPr="00EF30EF" w:rsidRDefault="00352268" w:rsidP="00352268">
      <w:pPr>
        <w:pStyle w:val="Ttulo4"/>
        <w:spacing w:line="240" w:lineRule="exact"/>
        <w:rPr>
          <w:sz w:val="23"/>
          <w:szCs w:val="23"/>
          <w:lang w:val="es-ES_tradnl"/>
        </w:rPr>
      </w:pPr>
    </w:p>
    <w:sectPr w:rsidR="00352268" w:rsidRPr="00EF30EF" w:rsidSect="00713824">
      <w:footerReference w:type="even" r:id="rId6"/>
      <w:footerReference w:type="default" r:id="rId7"/>
      <w:headerReference w:type="first" r:id="rId8"/>
      <w:pgSz w:w="12240" w:h="15840" w:code="1"/>
      <w:pgMar w:top="567" w:right="992" w:bottom="1276" w:left="1559"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CC1" w:rsidRDefault="00570CC1">
      <w:r>
        <w:separator/>
      </w:r>
    </w:p>
  </w:endnote>
  <w:endnote w:type="continuationSeparator" w:id="0">
    <w:p w:rsidR="00570CC1" w:rsidRDefault="00570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E14FF2"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4E6975"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4E6975"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CC1" w:rsidRDefault="00570CC1">
      <w:r>
        <w:separator/>
      </w:r>
    </w:p>
  </w:footnote>
  <w:footnote w:type="continuationSeparator" w:id="0">
    <w:p w:rsidR="00570CC1" w:rsidRDefault="00570C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58" w:rsidRDefault="00100358">
    <w:pPr>
      <w:pStyle w:val="Encabezado"/>
    </w:pPr>
    <w:r w:rsidRPr="00B2565A">
      <w:rPr>
        <w:rFonts w:ascii="Times New Roman" w:hAnsi="Times New Roman"/>
        <w:noProof/>
        <w:sz w:val="20"/>
        <w:szCs w:val="20"/>
        <w:lang w:val="es-SV" w:eastAsia="es-SV"/>
      </w:rPr>
      <w:drawing>
        <wp:anchor distT="0" distB="0" distL="114300" distR="114300" simplePos="0" relativeHeight="251659264" behindDoc="0" locked="0" layoutInCell="1" allowOverlap="1" wp14:anchorId="1DC8D4C1" wp14:editId="3C96B7D2">
          <wp:simplePos x="0" y="0"/>
          <wp:positionH relativeFrom="margin">
            <wp:posOffset>657225</wp:posOffset>
          </wp:positionH>
          <wp:positionV relativeFrom="paragraph">
            <wp:posOffset>-111125</wp:posOffset>
          </wp:positionV>
          <wp:extent cx="4210050" cy="11049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p w:rsidR="00100358" w:rsidRDefault="00100358">
    <w:pPr>
      <w:pStyle w:val="Encabezado"/>
    </w:pPr>
  </w:p>
  <w:p w:rsidR="00100358" w:rsidRDefault="00100358">
    <w:pPr>
      <w:pStyle w:val="Encabezado"/>
    </w:pPr>
  </w:p>
  <w:p w:rsidR="00100358" w:rsidRDefault="00100358">
    <w:pPr>
      <w:pStyle w:val="Encabezado"/>
    </w:pPr>
  </w:p>
  <w:p w:rsidR="00100358" w:rsidRDefault="00100358">
    <w:pPr>
      <w:pStyle w:val="Encabezado"/>
    </w:pPr>
  </w:p>
  <w:p w:rsidR="00100358" w:rsidRDefault="00100358">
    <w:pPr>
      <w:pStyle w:val="Encabezado"/>
    </w:pPr>
  </w:p>
  <w:p w:rsidR="00100358" w:rsidRDefault="0010035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27"/>
    <w:rsid w:val="00067FCD"/>
    <w:rsid w:val="000D464F"/>
    <w:rsid w:val="000F00E1"/>
    <w:rsid w:val="00100358"/>
    <w:rsid w:val="001308CB"/>
    <w:rsid w:val="001C0435"/>
    <w:rsid w:val="001C354C"/>
    <w:rsid w:val="00201A27"/>
    <w:rsid w:val="00344778"/>
    <w:rsid w:val="00352268"/>
    <w:rsid w:val="003B2E14"/>
    <w:rsid w:val="004A14CB"/>
    <w:rsid w:val="004E6975"/>
    <w:rsid w:val="00570CC1"/>
    <w:rsid w:val="005B1712"/>
    <w:rsid w:val="005B2A93"/>
    <w:rsid w:val="006459C9"/>
    <w:rsid w:val="006555AD"/>
    <w:rsid w:val="00702975"/>
    <w:rsid w:val="007C318B"/>
    <w:rsid w:val="008146C7"/>
    <w:rsid w:val="008430D8"/>
    <w:rsid w:val="008D55E8"/>
    <w:rsid w:val="009704C3"/>
    <w:rsid w:val="00A25541"/>
    <w:rsid w:val="00A5147A"/>
    <w:rsid w:val="00AC64A1"/>
    <w:rsid w:val="00BB2546"/>
    <w:rsid w:val="00C87C2A"/>
    <w:rsid w:val="00CB4A36"/>
    <w:rsid w:val="00D137F1"/>
    <w:rsid w:val="00DD44B1"/>
    <w:rsid w:val="00DF59CB"/>
    <w:rsid w:val="00E14FF2"/>
    <w:rsid w:val="00E700A4"/>
    <w:rsid w:val="00E80742"/>
    <w:rsid w:val="00E87006"/>
    <w:rsid w:val="00EC28CB"/>
    <w:rsid w:val="00EF30EF"/>
    <w:rsid w:val="00F544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B7DD"/>
  <w15:chartTrackingRefBased/>
  <w15:docId w15:val="{02E50AEB-9D4B-405C-B6C7-B1680088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A27"/>
    <w:pPr>
      <w:spacing w:after="0" w:line="240" w:lineRule="auto"/>
    </w:pPr>
    <w:rPr>
      <w:rFonts w:ascii="Arial" w:eastAsia="Times New Roman" w:hAnsi="Arial" w:cs="Times New Roman"/>
      <w:sz w:val="24"/>
      <w:szCs w:val="24"/>
      <w:lang w:val="es-ES_tradnl" w:eastAsia="es-ES"/>
    </w:rPr>
  </w:style>
  <w:style w:type="paragraph" w:styleId="Ttulo4">
    <w:name w:val="heading 4"/>
    <w:basedOn w:val="Normal"/>
    <w:next w:val="Normal"/>
    <w:link w:val="Ttulo4Car"/>
    <w:qFormat/>
    <w:rsid w:val="00201A27"/>
    <w:pPr>
      <w:keepNext/>
      <w:outlineLvl w:val="3"/>
    </w:pPr>
    <w:rPr>
      <w:rFonts w:eastAsia="Arial Unicode MS" w:cs="Arial"/>
      <w:b/>
      <w:bCs/>
      <w:sz w:val="20"/>
      <w:szCs w:val="20"/>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201A27"/>
    <w:rPr>
      <w:rFonts w:ascii="Arial" w:eastAsia="Arial Unicode MS" w:hAnsi="Arial" w:cs="Arial"/>
      <w:b/>
      <w:bCs/>
      <w:sz w:val="20"/>
      <w:szCs w:val="20"/>
      <w:lang w:eastAsia="es-ES"/>
    </w:rPr>
  </w:style>
  <w:style w:type="character" w:styleId="Nmerodepgina">
    <w:name w:val="page number"/>
    <w:basedOn w:val="Fuentedeprrafopredeter"/>
    <w:uiPriority w:val="99"/>
    <w:rsid w:val="00201A27"/>
  </w:style>
  <w:style w:type="paragraph" w:styleId="Piedepgina">
    <w:name w:val="footer"/>
    <w:basedOn w:val="Normal"/>
    <w:link w:val="PiedepginaCar"/>
    <w:uiPriority w:val="99"/>
    <w:rsid w:val="00201A27"/>
    <w:pPr>
      <w:tabs>
        <w:tab w:val="center" w:pos="4252"/>
        <w:tab w:val="right" w:pos="8504"/>
      </w:tabs>
    </w:pPr>
    <w:rPr>
      <w:lang w:val="es-SV" w:eastAsia="es-SV"/>
    </w:rPr>
  </w:style>
  <w:style w:type="character" w:customStyle="1" w:styleId="PiedepginaCar">
    <w:name w:val="Pie de página Car"/>
    <w:basedOn w:val="Fuentedeprrafopredeter"/>
    <w:link w:val="Piedepgina"/>
    <w:uiPriority w:val="99"/>
    <w:rsid w:val="00201A27"/>
    <w:rPr>
      <w:rFonts w:ascii="Arial" w:eastAsia="Times New Roman" w:hAnsi="Arial" w:cs="Times New Roman"/>
      <w:sz w:val="24"/>
      <w:szCs w:val="24"/>
      <w:lang w:eastAsia="es-SV"/>
    </w:rPr>
  </w:style>
  <w:style w:type="paragraph" w:styleId="Prrafodelista">
    <w:name w:val="List Paragraph"/>
    <w:basedOn w:val="Normal"/>
    <w:link w:val="PrrafodelistaCar"/>
    <w:uiPriority w:val="34"/>
    <w:qFormat/>
    <w:rsid w:val="00201A27"/>
    <w:pPr>
      <w:ind w:left="708"/>
    </w:pPr>
    <w:rPr>
      <w:rFonts w:ascii="Times New Roman" w:eastAsia="Calibri" w:hAnsi="Times New Roman"/>
      <w:lang w:val="es-ES"/>
    </w:rPr>
  </w:style>
  <w:style w:type="character" w:styleId="nfasis">
    <w:name w:val="Emphasis"/>
    <w:basedOn w:val="Fuentedeprrafopredeter"/>
    <w:uiPriority w:val="20"/>
    <w:qFormat/>
    <w:rsid w:val="00201A27"/>
    <w:rPr>
      <w:b/>
      <w:bCs/>
      <w:i w:val="0"/>
      <w:iCs w:val="0"/>
    </w:rPr>
  </w:style>
  <w:style w:type="character" w:customStyle="1" w:styleId="PrrafodelistaCar">
    <w:name w:val="Párrafo de lista Car"/>
    <w:link w:val="Prrafodelista"/>
    <w:uiPriority w:val="34"/>
    <w:locked/>
    <w:rsid w:val="00201A27"/>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4F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4FF2"/>
    <w:rPr>
      <w:rFonts w:ascii="Segoe UI" w:eastAsia="Times New Roman" w:hAnsi="Segoe UI" w:cs="Segoe UI"/>
      <w:sz w:val="18"/>
      <w:szCs w:val="18"/>
      <w:lang w:val="es-ES_tradnl" w:eastAsia="es-ES"/>
    </w:rPr>
  </w:style>
  <w:style w:type="paragraph" w:styleId="Encabezado">
    <w:name w:val="header"/>
    <w:basedOn w:val="Normal"/>
    <w:link w:val="EncabezadoCar"/>
    <w:uiPriority w:val="99"/>
    <w:unhideWhenUsed/>
    <w:rsid w:val="00100358"/>
    <w:pPr>
      <w:tabs>
        <w:tab w:val="center" w:pos="4419"/>
        <w:tab w:val="right" w:pos="8838"/>
      </w:tabs>
    </w:pPr>
  </w:style>
  <w:style w:type="character" w:customStyle="1" w:styleId="EncabezadoCar">
    <w:name w:val="Encabezado Car"/>
    <w:basedOn w:val="Fuentedeprrafopredeter"/>
    <w:link w:val="Encabezado"/>
    <w:uiPriority w:val="99"/>
    <w:rsid w:val="00100358"/>
    <w:rPr>
      <w:rFonts w:ascii="Arial" w:eastAsia="Times New Roman" w:hAnsi="Arial"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campos</dc:creator>
  <cp:keywords/>
  <dc:description/>
  <cp:lastModifiedBy>Evelyn Magdalena Caceres Morales</cp:lastModifiedBy>
  <cp:revision>7</cp:revision>
  <cp:lastPrinted>2021-04-20T19:35:00Z</cp:lastPrinted>
  <dcterms:created xsi:type="dcterms:W3CDTF">2021-07-26T18:15:00Z</dcterms:created>
  <dcterms:modified xsi:type="dcterms:W3CDTF">2021-07-28T15:25:00Z</dcterms:modified>
</cp:coreProperties>
</file>