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42" w:rsidRDefault="00482442" w:rsidP="001776B8">
      <w:pPr>
        <w:ind w:hanging="540"/>
        <w:jc w:val="center"/>
        <w:rPr>
          <w:rFonts w:cs="Arial"/>
        </w:rPr>
      </w:pPr>
    </w:p>
    <w:p w:rsidR="00482442" w:rsidRPr="00794D4D" w:rsidRDefault="00482442" w:rsidP="00482442">
      <w:pPr>
        <w:pStyle w:val="Ttulo4"/>
        <w:rPr>
          <w:b w:val="0"/>
          <w:sz w:val="23"/>
          <w:szCs w:val="23"/>
        </w:rPr>
      </w:pPr>
      <w:r w:rsidRPr="00EF1958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3600" behindDoc="0" locked="0" layoutInCell="1" allowOverlap="1" wp14:anchorId="7BD12B86" wp14:editId="227FAE6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3"/>
          <w:szCs w:val="23"/>
        </w:rPr>
        <w:t xml:space="preserve"> </w:t>
      </w:r>
    </w:p>
    <w:p w:rsidR="00482442" w:rsidRPr="00E86C82" w:rsidRDefault="00482442" w:rsidP="00482442">
      <w:pPr>
        <w:jc w:val="both"/>
        <w:outlineLvl w:val="0"/>
        <w:rPr>
          <w:rFonts w:cs="Arial"/>
          <w:b/>
        </w:rPr>
      </w:pPr>
    </w:p>
    <w:p w:rsidR="00482442" w:rsidRPr="00E86C82" w:rsidRDefault="00482442" w:rsidP="00482442">
      <w:pPr>
        <w:jc w:val="both"/>
        <w:outlineLvl w:val="0"/>
        <w:rPr>
          <w:rFonts w:cs="Arial"/>
          <w:b/>
        </w:rPr>
      </w:pPr>
    </w:p>
    <w:p w:rsidR="00482442" w:rsidRPr="00E86C82" w:rsidRDefault="00482442" w:rsidP="00482442">
      <w:pPr>
        <w:jc w:val="both"/>
        <w:outlineLvl w:val="0"/>
        <w:rPr>
          <w:rFonts w:cs="Arial"/>
          <w:b/>
        </w:rPr>
      </w:pPr>
      <w:r w:rsidRPr="00E86C82">
        <w:rPr>
          <w:rFonts w:cs="Arial"/>
          <w:b/>
        </w:rPr>
        <w:t>SE HA EMITIDO EL ACUERDO QUE DICE:</w:t>
      </w:r>
    </w:p>
    <w:p w:rsidR="00482442" w:rsidRPr="00E86C82" w:rsidRDefault="00482442" w:rsidP="0048244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2442" w:rsidRPr="00E86C82" w:rsidRDefault="00482442" w:rsidP="0048244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2442" w:rsidRPr="00E86C82" w:rsidRDefault="00482442" w:rsidP="0048244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2442" w:rsidRPr="00E86C82" w:rsidRDefault="00482442" w:rsidP="00482442">
      <w:pPr>
        <w:jc w:val="both"/>
        <w:rPr>
          <w:rFonts w:cs="Arial"/>
        </w:rPr>
      </w:pPr>
      <w:r w:rsidRPr="00E86C82">
        <w:rPr>
          <w:rFonts w:cs="Arial"/>
          <w:b/>
        </w:rPr>
        <w:t>San Salvador, 27 de febrero de 2020, ACTA No. 11.02.2020, ACUERDO No. 12</w:t>
      </w:r>
      <w:r>
        <w:rPr>
          <w:rFonts w:cs="Arial"/>
          <w:b/>
        </w:rPr>
        <w:t>3</w:t>
      </w:r>
      <w:r w:rsidRPr="00E86C82">
        <w:rPr>
          <w:rFonts w:cs="Arial"/>
          <w:b/>
        </w:rPr>
        <w:t>.02.2020. La Junta Directiva del Fondo de Protección de Lisiados y Discapacitados a Consecuencia del Conflicto Armado, emitió y ratificó el acuerdo siguiente: “</w:t>
      </w:r>
      <w:r w:rsidRPr="002F3DEC">
        <w:t xml:space="preserve">La Junta Directiva conforme a la </w:t>
      </w:r>
      <w:r w:rsidRPr="002F3DEC">
        <w:rPr>
          <w:lang w:eastAsia="es-SV"/>
        </w:rPr>
        <w:t xml:space="preserve">propuesta presentada por la Comisión Especial de Apelaciones, con la cual se resuelven los recursos de apelación presentados por </w:t>
      </w:r>
      <w:r>
        <w:rPr>
          <w:lang w:eastAsia="es-SV"/>
        </w:rPr>
        <w:t>5</w:t>
      </w:r>
      <w:r w:rsidRPr="002F3DEC">
        <w:rPr>
          <w:lang w:eastAsia="es-SV"/>
        </w:rPr>
        <w:t xml:space="preserve"> personas, acuerda: </w:t>
      </w:r>
      <w:r w:rsidRPr="00C24099">
        <w:rPr>
          <w:rFonts w:eastAsia="Calibri"/>
          <w:b/>
          <w:u w:val="single"/>
          <w:lang w:val="es-ES"/>
        </w:rPr>
        <w:t xml:space="preserve">c) </w:t>
      </w:r>
      <w:r w:rsidRPr="00C24099">
        <w:rPr>
          <w:rFonts w:eastAsia="Calibri"/>
          <w:u w:val="single"/>
          <w:lang w:val="es-ES"/>
        </w:rPr>
        <w:t>Ratificar con 58% de discapacidad global al señor</w:t>
      </w:r>
      <w:r w:rsidR="00F217AC">
        <w:rPr>
          <w:rFonts w:eastAsia="Calibri"/>
          <w:u w:val="single"/>
          <w:lang w:val="es-ES"/>
        </w:rPr>
        <w:t xml:space="preserve"> XXXXXXXXXXXXXXXXXXXXXXXXX</w:t>
      </w:r>
      <w:bookmarkStart w:id="0" w:name="_GoBack"/>
      <w:bookmarkEnd w:id="0"/>
      <w:r w:rsidRPr="00C24099">
        <w:rPr>
          <w:rFonts w:eastAsia="Calibri"/>
          <w:b/>
          <w:bCs/>
          <w:u w:val="single"/>
          <w:lang w:val="es-ES"/>
        </w:rPr>
        <w:t>,</w:t>
      </w:r>
      <w:r w:rsidRPr="00C24099">
        <w:rPr>
          <w:rFonts w:eastAsia="Calibri"/>
          <w:b/>
          <w:bCs/>
          <w:lang w:val="es-ES"/>
        </w:rPr>
        <w:t xml:space="preserve"> </w:t>
      </w:r>
      <w:r w:rsidRPr="00C24099">
        <w:rPr>
          <w:rFonts w:eastAsia="Calibri"/>
          <w:bCs/>
          <w:lang w:val="es-ES"/>
        </w:rPr>
        <w:t xml:space="preserve">expediente No. 30705, manteniendo el </w:t>
      </w:r>
      <w:r w:rsidRPr="00C24099">
        <w:rPr>
          <w:rFonts w:eastAsia="Calibri"/>
          <w:lang w:val="es-ES"/>
        </w:rPr>
        <w:t xml:space="preserve">porcentaje de discapacidad global de CINCUENTA Y OCHO POR CIENTO (58%), dictaminado por la Comisión Técnica Evaluadora en el recurso de revisión en fecha 29 de julio de 2019, con base a la evaluación física realizada por esa Comisión y </w:t>
      </w:r>
      <w:r w:rsidRPr="00C24099">
        <w:rPr>
          <w:lang w:val="es-ES"/>
        </w:rPr>
        <w:t xml:space="preserve">en estricto apego a los principios generales de la actividad administrativa regulados en el Art. 3, y en cumplimiento a lo establecido en los Art. 22, 23 </w:t>
      </w:r>
      <w:proofErr w:type="spellStart"/>
      <w:r w:rsidRPr="00C24099">
        <w:rPr>
          <w:lang w:val="es-ES"/>
        </w:rPr>
        <w:t>lit.</w:t>
      </w:r>
      <w:proofErr w:type="spellEnd"/>
      <w:r w:rsidRPr="00C24099">
        <w:rPr>
          <w:lang w:val="es-ES"/>
        </w:rPr>
        <w:t xml:space="preserve"> c), 129  y 131 de la Ley de Procedimientos Administrativos y </w:t>
      </w:r>
      <w:r w:rsidRPr="00C24099">
        <w:rPr>
          <w:rFonts w:eastAsia="Calibri"/>
          <w:lang w:val="es-ES"/>
        </w:rPr>
        <w:t xml:space="preserve">con base al dictamen de los  médicos especialistas que evaluaron al recurrente el grado de discapacidad global es de </w:t>
      </w:r>
      <w:r w:rsidRPr="00C24099">
        <w:rPr>
          <w:rFonts w:eastAsia="Calibri"/>
          <w:b/>
          <w:lang w:val="es-ES"/>
        </w:rPr>
        <w:t>CINCUENTA Y DOS POR CIENTO (52%)</w:t>
      </w:r>
      <w:r w:rsidRPr="00C24099">
        <w:rPr>
          <w:rFonts w:eastAsia="Calibri"/>
          <w:lang w:val="es-ES"/>
        </w:rPr>
        <w:t xml:space="preserve">: </w:t>
      </w:r>
      <w:r w:rsidRPr="00C24099">
        <w:rPr>
          <w:rFonts w:eastAsia="Calibri"/>
          <w:b/>
          <w:lang w:val="es-ES"/>
        </w:rPr>
        <w:t>1)</w:t>
      </w:r>
      <w:r w:rsidRPr="00C24099">
        <w:rPr>
          <w:rFonts w:eastAsia="Calibri"/>
          <w:lang w:val="es-ES"/>
        </w:rPr>
        <w:t xml:space="preserve"> Psiquiatra: sufre de pesadillas, padece de insomnio, diagnóstico de insomnio y desorden de pesadillas; discapacidad por sistema, TRES POR CIENTO (3%). Audiometría tonal bilateral: hipoacusia no relacionada con el conflicto armado; </w:t>
      </w:r>
      <w:r w:rsidRPr="00C24099">
        <w:rPr>
          <w:rFonts w:eastAsia="Calibri"/>
          <w:b/>
          <w:lang w:val="es-ES"/>
        </w:rPr>
        <w:t>2)</w:t>
      </w:r>
      <w:r w:rsidRPr="00C24099">
        <w:rPr>
          <w:rFonts w:eastAsia="Calibri"/>
          <w:lang w:val="es-ES"/>
        </w:rPr>
        <w:t xml:space="preserve"> Cirugía Plástica: cicatriz a nivel de cara cubital de muñeca izquierda, cicatriz a nivel de cara medial de la falange proximal del 5° dedo de la mano izquierda, radiografía de muñeca izquierda normal, esquirlas </w:t>
      </w:r>
      <w:proofErr w:type="spellStart"/>
      <w:r w:rsidRPr="00C24099">
        <w:rPr>
          <w:rFonts w:eastAsia="Calibri"/>
          <w:lang w:val="es-ES"/>
        </w:rPr>
        <w:t>punti</w:t>
      </w:r>
      <w:proofErr w:type="spellEnd"/>
      <w:r w:rsidRPr="00C24099">
        <w:rPr>
          <w:rFonts w:eastAsia="Calibri"/>
          <w:lang w:val="es-ES"/>
        </w:rPr>
        <w:t xml:space="preserve"> formes dispersas en antebrazos distales; discapacidad por sistema, DOS POR CIENTO (2%); </w:t>
      </w:r>
      <w:r w:rsidRPr="00C24099">
        <w:rPr>
          <w:rFonts w:eastAsia="Calibri"/>
          <w:b/>
          <w:lang w:val="es-ES"/>
        </w:rPr>
        <w:t>3)</w:t>
      </w:r>
      <w:r w:rsidRPr="00C24099">
        <w:rPr>
          <w:rFonts w:eastAsia="Calibri"/>
          <w:lang w:val="es-ES"/>
        </w:rPr>
        <w:t xml:space="preserve"> Fisiatra: evaluación validada de fecha 17 de enero de 2012, amputación bilateral bajo rodilla, ambos muñones funcionales (48%), arcos de movilidad de muñeca izquierda normales, limitación de arcos de movilidad de quinto dedo de mano izquierda (1%); discapacidad por sistema, cuarenta y nueve por ciento (49%); sin embargo, de conformidad al </w:t>
      </w:r>
      <w:r w:rsidRPr="00C24099">
        <w:rPr>
          <w:b/>
          <w:iCs/>
        </w:rPr>
        <w:t>Decreto Legislativo No.770 publicado en el Diario Oficial el día 12 de Diciembre de 2008</w:t>
      </w:r>
      <w:r w:rsidRPr="00C24099">
        <w:rPr>
          <w:iCs/>
        </w:rPr>
        <w:t>, el cual arguye que por ningún motivo podrá disminuirse el grado de discapacidad de los beneficiarios a quienes se les hubiera determinado una discapacidad que ya este configurada entre el 6% al 59%  o entre el 60% y el 100%, se</w:t>
      </w:r>
      <w:r w:rsidRPr="00C24099">
        <w:rPr>
          <w:rFonts w:eastAsia="Calibri"/>
          <w:b/>
          <w:lang w:val="es-ES"/>
        </w:rPr>
        <w:t xml:space="preserve"> </w:t>
      </w:r>
      <w:r w:rsidRPr="00C24099">
        <w:rPr>
          <w:rFonts w:eastAsia="Calibri"/>
          <w:lang w:val="es-ES"/>
        </w:rPr>
        <w:t xml:space="preserve">ratifica el porcentaje de discapacidad global de CINCUENTA Y OCHO POR CIENTO (58%). </w:t>
      </w:r>
      <w:r w:rsidRPr="00C24099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Pr="00C24099">
        <w:rPr>
          <w:rFonts w:eastAsia="Calibri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</w:t>
      </w:r>
      <w:r>
        <w:rPr>
          <w:rFonts w:eastAsia="Calibri"/>
          <w:lang w:val="es-ES"/>
        </w:rPr>
        <w:t xml:space="preserve">19, de fecha 31 </w:t>
      </w:r>
      <w:r>
        <w:rPr>
          <w:rFonts w:eastAsia="Calibri"/>
          <w:lang w:val="es-ES"/>
        </w:rPr>
        <w:lastRenderedPageBreak/>
        <w:t xml:space="preserve">de mayo de 2019; </w:t>
      </w:r>
      <w:r w:rsidRPr="00E86C82">
        <w:rPr>
          <w:rFonts w:cs="Arial"/>
          <w:b/>
          <w:bCs/>
        </w:rPr>
        <w:t>C</w:t>
      </w:r>
      <w:r w:rsidRPr="00E86C82">
        <w:rPr>
          <w:rFonts w:cs="Arial"/>
          <w:b/>
        </w:rPr>
        <w:t xml:space="preserve">OMUNÍQUESE”. </w:t>
      </w:r>
      <w:r w:rsidRPr="00E86C82">
        <w:rPr>
          <w:rFonts w:cs="Arial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 Representante Propietario de MTPS: “ILEGIBLE”; Representante Propietaria de MINSAL: “ILEGIBLE”; y Representante Suplente de ISRI: “ILEGIBLE”.</w:t>
      </w:r>
    </w:p>
    <w:p w:rsidR="00482442" w:rsidRPr="00E86C82" w:rsidRDefault="00482442" w:rsidP="00482442">
      <w:pPr>
        <w:jc w:val="both"/>
        <w:rPr>
          <w:rFonts w:cs="Arial"/>
        </w:rPr>
      </w:pPr>
    </w:p>
    <w:p w:rsidR="00482442" w:rsidRPr="00E86C82" w:rsidRDefault="00482442" w:rsidP="00482442">
      <w:pPr>
        <w:tabs>
          <w:tab w:val="left" w:pos="851"/>
        </w:tabs>
        <w:ind w:firstLine="1"/>
        <w:jc w:val="both"/>
        <w:rPr>
          <w:rFonts w:cs="Arial"/>
        </w:rPr>
      </w:pPr>
    </w:p>
    <w:p w:rsidR="00482442" w:rsidRPr="00E86C82" w:rsidRDefault="00482442" w:rsidP="00482442">
      <w:pPr>
        <w:jc w:val="both"/>
        <w:rPr>
          <w:rFonts w:cs="Arial"/>
        </w:rPr>
      </w:pPr>
      <w:r w:rsidRPr="00E86C82">
        <w:rPr>
          <w:rFonts w:cs="Arial"/>
        </w:rPr>
        <w:t>Lo que se transcribe para los efectos pertinentes.</w:t>
      </w:r>
    </w:p>
    <w:p w:rsidR="00482442" w:rsidRPr="00E86C82" w:rsidRDefault="00482442" w:rsidP="00482442">
      <w:pPr>
        <w:ind w:hanging="540"/>
        <w:jc w:val="both"/>
        <w:rPr>
          <w:rFonts w:cs="Arial"/>
        </w:rPr>
      </w:pPr>
    </w:p>
    <w:p w:rsidR="00482442" w:rsidRPr="00E86C82" w:rsidRDefault="00482442" w:rsidP="00482442">
      <w:pPr>
        <w:ind w:hanging="540"/>
        <w:jc w:val="both"/>
        <w:rPr>
          <w:rFonts w:cs="Arial"/>
        </w:rPr>
      </w:pPr>
    </w:p>
    <w:p w:rsidR="00482442" w:rsidRPr="00E86C82" w:rsidRDefault="00482442" w:rsidP="00482442">
      <w:pPr>
        <w:ind w:hanging="540"/>
        <w:jc w:val="both"/>
        <w:rPr>
          <w:rFonts w:cs="Arial"/>
        </w:rPr>
      </w:pPr>
    </w:p>
    <w:p w:rsidR="00482442" w:rsidRPr="00E86C82" w:rsidRDefault="00482442" w:rsidP="00482442">
      <w:pPr>
        <w:ind w:hanging="540"/>
        <w:jc w:val="both"/>
        <w:rPr>
          <w:rFonts w:cs="Arial"/>
        </w:rPr>
      </w:pPr>
    </w:p>
    <w:p w:rsidR="00482442" w:rsidRPr="00E86C82" w:rsidRDefault="00482442" w:rsidP="00482442">
      <w:pPr>
        <w:ind w:hanging="540"/>
        <w:jc w:val="center"/>
        <w:rPr>
          <w:rFonts w:cs="Arial"/>
        </w:rPr>
      </w:pPr>
      <w:r w:rsidRPr="00E86C82">
        <w:rPr>
          <w:rFonts w:cs="Arial"/>
        </w:rPr>
        <w:t>Dr. Elder Flores Guevara</w:t>
      </w:r>
    </w:p>
    <w:p w:rsidR="00482442" w:rsidRPr="00E86C82" w:rsidRDefault="00482442" w:rsidP="00482442">
      <w:pPr>
        <w:ind w:hanging="540"/>
        <w:jc w:val="center"/>
        <w:rPr>
          <w:rFonts w:cs="Arial"/>
        </w:rPr>
      </w:pPr>
      <w:r w:rsidRPr="00E86C82">
        <w:rPr>
          <w:rFonts w:cs="Arial"/>
        </w:rPr>
        <w:t>Gerente General</w:t>
      </w:r>
    </w:p>
    <w:p w:rsidR="00482442" w:rsidRDefault="00482442" w:rsidP="001776B8">
      <w:pPr>
        <w:ind w:hanging="540"/>
        <w:jc w:val="center"/>
        <w:rPr>
          <w:rFonts w:cs="Arial"/>
        </w:rPr>
      </w:pPr>
    </w:p>
    <w:sectPr w:rsidR="0048244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32" w:rsidRDefault="00434C32">
      <w:r>
        <w:separator/>
      </w:r>
    </w:p>
  </w:endnote>
  <w:endnote w:type="continuationSeparator" w:id="0">
    <w:p w:rsidR="00434C32" w:rsidRDefault="0043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32" w:rsidRDefault="00434C32">
      <w:r>
        <w:separator/>
      </w:r>
    </w:p>
  </w:footnote>
  <w:footnote w:type="continuationSeparator" w:id="0">
    <w:p w:rsidR="00434C32" w:rsidRDefault="0043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869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5D4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4C32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364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23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871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37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188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071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1A6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543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DCC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AC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2437F"/>
  <w15:docId w15:val="{97E5FA75-CC2B-42CF-B14D-E8AB3F2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942BB9-D6AC-4542-92A3-7BE6EA6E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32</cp:revision>
  <cp:lastPrinted>2020-03-11T16:07:00Z</cp:lastPrinted>
  <dcterms:created xsi:type="dcterms:W3CDTF">2020-03-05T21:30:00Z</dcterms:created>
  <dcterms:modified xsi:type="dcterms:W3CDTF">2021-05-13T19:14:00Z</dcterms:modified>
</cp:coreProperties>
</file>