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CE" w:rsidRDefault="005B1FCE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spacing w:before="6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5B1FCE">
        <w:trPr>
          <w:trHeight w:val="194"/>
        </w:trPr>
        <w:tc>
          <w:tcPr>
            <w:tcW w:w="5339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1" w:type="dxa"/>
            <w:tcBorders>
              <w:left w:val="single" w:sz="12" w:space="0" w:color="E2E2E2"/>
              <w:right w:val="single" w:sz="12" w:space="0" w:color="696969"/>
            </w:tcBorders>
          </w:tcPr>
          <w:p w:rsidR="005B1FCE" w:rsidRDefault="005B1F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4" w:space="0" w:color="696969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96969"/>
              <w:left w:val="single" w:sz="4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5B1FCE">
        <w:trPr>
          <w:trHeight w:val="544"/>
        </w:trPr>
        <w:tc>
          <w:tcPr>
            <w:tcW w:w="5339" w:type="dxa"/>
            <w:tcBorders>
              <w:top w:val="single" w:sz="12" w:space="0" w:color="E2E2E2"/>
            </w:tcBorders>
          </w:tcPr>
          <w:p w:rsidR="005B1FCE" w:rsidRDefault="00A16B56">
            <w:pPr>
              <w:pStyle w:val="TableParagraph"/>
              <w:spacing w:before="3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  <w:p w:rsidR="005B1FCE" w:rsidRDefault="00A16B56">
            <w:pPr>
              <w:pStyle w:val="TableParagraph"/>
              <w:spacing w:before="7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2E2E2"/>
            </w:tcBorders>
          </w:tcPr>
          <w:p w:rsidR="005B1FCE" w:rsidRDefault="005B1FC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969,680.01</w:t>
            </w:r>
          </w:p>
        </w:tc>
        <w:tc>
          <w:tcPr>
            <w:tcW w:w="1911" w:type="dxa"/>
            <w:tcBorders>
              <w:top w:val="single" w:sz="12" w:space="0" w:color="E2E2E2"/>
            </w:tcBorders>
          </w:tcPr>
          <w:p w:rsidR="005B1FCE" w:rsidRDefault="00A16B56">
            <w:pPr>
              <w:pStyle w:val="TableParagraph"/>
              <w:spacing w:before="38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2,272,301.61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Caja Chica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Bancos Comerciales M/D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968,280.01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1,302,621.60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806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D.M. x Transferencias Corrientes Recibidas</w:t>
            </w:r>
          </w:p>
          <w:p w:rsidR="005B1FCE" w:rsidRDefault="00A16B56">
            <w:pPr>
              <w:pStyle w:val="TableParagraph"/>
              <w:spacing w:line="270" w:lineRule="atLeast"/>
              <w:ind w:left="186" w:right="3367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 Deudores Financieros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1,302,621.60</w:t>
            </w:r>
          </w:p>
          <w:p w:rsidR="005B1FCE" w:rsidRDefault="005B1FCE">
            <w:pPr>
              <w:pStyle w:val="TableParagraph"/>
              <w:rPr>
                <w:rFonts w:ascii="Times New Roman"/>
                <w:sz w:val="18"/>
              </w:rPr>
            </w:pPr>
          </w:p>
          <w:p w:rsidR="005B1FCE" w:rsidRDefault="00A16B56">
            <w:pPr>
              <w:pStyle w:val="TableParagraph"/>
              <w:spacing w:before="137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5,303.90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Deudores por Reintegros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5,300.90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Seguros Pagados por Anticipado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2,644.54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Derechos de Propiedad Intangible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4,741.84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806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  <w:p w:rsidR="005B1FCE" w:rsidRDefault="00A16B56">
            <w:pPr>
              <w:pStyle w:val="TableParagraph"/>
              <w:spacing w:line="270" w:lineRule="atLeast"/>
              <w:ind w:left="186" w:right="2984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 Existencias Institucionales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left="1075"/>
              <w:rPr>
                <w:sz w:val="16"/>
              </w:rPr>
            </w:pPr>
            <w:r>
              <w:rPr>
                <w:sz w:val="16"/>
              </w:rPr>
              <w:t>(2,085.48)</w:t>
            </w:r>
          </w:p>
          <w:p w:rsidR="005B1FCE" w:rsidRDefault="005B1FCE">
            <w:pPr>
              <w:pStyle w:val="TableParagraph"/>
              <w:rPr>
                <w:rFonts w:ascii="Times New Roman"/>
                <w:sz w:val="18"/>
              </w:rPr>
            </w:pPr>
          </w:p>
          <w:p w:rsidR="005B1FCE" w:rsidRDefault="00A16B56">
            <w:pPr>
              <w:pStyle w:val="TableParagraph"/>
              <w:spacing w:before="137"/>
              <w:ind w:left="1108"/>
              <w:rPr>
                <w:b/>
                <w:sz w:val="16"/>
              </w:rPr>
            </w:pPr>
            <w:r>
              <w:rPr>
                <w:b/>
                <w:sz w:val="16"/>
              </w:rPr>
              <w:t>9,627.00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9,627.00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Productos Alimenticios Agropecuarios y Forestales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194.96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Materiales de Oficina, Productos de Papel e Impresos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5,675.42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Productos Químicos, Combustibles y Lubricantes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3,737.62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806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Materiales de Uso o Consumo</w:t>
            </w:r>
          </w:p>
          <w:p w:rsidR="005B1FCE" w:rsidRDefault="00A16B56">
            <w:pPr>
              <w:pStyle w:val="TableParagraph"/>
              <w:spacing w:line="270" w:lineRule="atLeast"/>
              <w:ind w:left="186" w:right="2918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Bienes de Uso Bienes Depreciables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19.00</w:t>
            </w:r>
          </w:p>
          <w:p w:rsidR="005B1FCE" w:rsidRDefault="005B1FCE">
            <w:pPr>
              <w:pStyle w:val="TableParagraph"/>
              <w:rPr>
                <w:rFonts w:ascii="Times New Roman"/>
                <w:sz w:val="18"/>
              </w:rPr>
            </w:pPr>
          </w:p>
          <w:p w:rsidR="005B1FCE" w:rsidRDefault="00A16B56">
            <w:pPr>
              <w:pStyle w:val="TableParagraph"/>
              <w:spacing w:before="1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36,480.00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Equipo de Transporte, Tracción y Elevación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78,136.72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Maquinaria, Equipo y Mobiliario Diverso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125,773.64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9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Depreciación Acumulada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(45,344.96)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83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89" w:line="173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5B1FCE" w:rsidRDefault="00A16B56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2,482,277.91</w:t>
            </w:r>
          </w:p>
        </w:tc>
      </w:tr>
    </w:tbl>
    <w:p w:rsidR="005B1FCE" w:rsidRDefault="005B1FCE">
      <w:pPr>
        <w:jc w:val="right"/>
        <w:rPr>
          <w:sz w:val="16"/>
        </w:rPr>
        <w:sectPr w:rsidR="005B1FCE">
          <w:headerReference w:type="default" r:id="rId6"/>
          <w:type w:val="continuous"/>
          <w:pgSz w:w="12240" w:h="15840"/>
          <w:pgMar w:top="1800" w:right="940" w:bottom="280" w:left="780" w:header="471" w:footer="720" w:gutter="0"/>
          <w:pgNumType w:start="1"/>
          <w:cols w:space="720"/>
        </w:sect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spacing w:before="6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5B1FCE">
        <w:trPr>
          <w:trHeight w:val="194"/>
        </w:trPr>
        <w:tc>
          <w:tcPr>
            <w:tcW w:w="5339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1" w:type="dxa"/>
            <w:tcBorders>
              <w:left w:val="single" w:sz="12" w:space="0" w:color="E2E2E2"/>
              <w:right w:val="single" w:sz="12" w:space="0" w:color="696969"/>
            </w:tcBorders>
          </w:tcPr>
          <w:p w:rsidR="005B1FCE" w:rsidRDefault="005B1F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96969"/>
              <w:left w:val="single" w:sz="12" w:space="0" w:color="696969"/>
              <w:bottom w:val="single" w:sz="12" w:space="0" w:color="E2E2E2"/>
              <w:right w:val="single" w:sz="4" w:space="0" w:color="696969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96969"/>
              <w:left w:val="single" w:sz="4" w:space="0" w:color="696969"/>
              <w:bottom w:val="single" w:sz="12" w:space="0" w:color="E2E2E2"/>
              <w:right w:val="single" w:sz="12" w:space="0" w:color="E2E2E2"/>
            </w:tcBorders>
            <w:shd w:val="clear" w:color="auto" w:fill="BFBFBF"/>
          </w:tcPr>
          <w:p w:rsidR="005B1FCE" w:rsidRDefault="00A16B56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5B1FCE">
        <w:trPr>
          <w:trHeight w:val="544"/>
        </w:trPr>
        <w:tc>
          <w:tcPr>
            <w:tcW w:w="5339" w:type="dxa"/>
            <w:tcBorders>
              <w:top w:val="single" w:sz="12" w:space="0" w:color="E2E2E2"/>
            </w:tcBorders>
          </w:tcPr>
          <w:p w:rsidR="005B1FCE" w:rsidRDefault="00A16B56">
            <w:pPr>
              <w:pStyle w:val="TableParagraph"/>
              <w:spacing w:before="3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  <w:p w:rsidR="005B1FCE" w:rsidRDefault="00A16B56">
            <w:pPr>
              <w:pStyle w:val="TableParagraph"/>
              <w:spacing w:before="7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2E2E2"/>
            </w:tcBorders>
          </w:tcPr>
          <w:p w:rsidR="005B1FCE" w:rsidRDefault="005B1FC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0.17</w:t>
            </w:r>
          </w:p>
        </w:tc>
        <w:tc>
          <w:tcPr>
            <w:tcW w:w="1911" w:type="dxa"/>
            <w:tcBorders>
              <w:top w:val="single" w:sz="12" w:space="0" w:color="E2E2E2"/>
            </w:tcBorders>
          </w:tcPr>
          <w:p w:rsidR="005B1FCE" w:rsidRDefault="00A16B56">
            <w:pPr>
              <w:pStyle w:val="TableParagraph"/>
              <w:spacing w:before="3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228,873.97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Depósitos Ajenos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228,873.80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 M. x Remuneraciones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16,461.77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A.M. x Adquisiciones de Bienes y Servicios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1,820.78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A.M. x Transferencias Corrientes Otorgadas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210,097.20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806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A.M. x Inversiones en Activos Fijos</w:t>
            </w:r>
          </w:p>
          <w:p w:rsidR="005B1FCE" w:rsidRDefault="00A16B56">
            <w:pPr>
              <w:pStyle w:val="TableParagraph"/>
              <w:spacing w:line="270" w:lineRule="atLeast"/>
              <w:ind w:left="186" w:right="3061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de Terceros Acreedores Financieros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494.05</w:t>
            </w:r>
          </w:p>
          <w:p w:rsidR="005B1FCE" w:rsidRDefault="005B1FCE">
            <w:pPr>
              <w:pStyle w:val="TableParagraph"/>
              <w:rPr>
                <w:rFonts w:ascii="Times New Roman"/>
                <w:sz w:val="18"/>
              </w:rPr>
            </w:pPr>
          </w:p>
          <w:p w:rsidR="005B1FCE" w:rsidRDefault="00A16B56">
            <w:pPr>
              <w:pStyle w:val="TableParagraph"/>
              <w:spacing w:before="1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216,803.02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216,803.02</w:t>
            </w:r>
          </w:p>
        </w:tc>
      </w:tr>
      <w:tr w:rsidR="005B1FCE">
        <w:trPr>
          <w:trHeight w:val="806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Acreedores Monetarios por Pagar</w:t>
            </w:r>
          </w:p>
          <w:p w:rsidR="005B1FCE" w:rsidRDefault="00A16B56">
            <w:pPr>
              <w:pStyle w:val="TableParagraph"/>
              <w:spacing w:line="270" w:lineRule="atLeast"/>
              <w:ind w:left="186" w:right="3790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 Patrimonio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216,803.02</w:t>
            </w:r>
          </w:p>
          <w:p w:rsidR="005B1FCE" w:rsidRDefault="005B1FCE">
            <w:pPr>
              <w:pStyle w:val="TableParagraph"/>
              <w:rPr>
                <w:rFonts w:ascii="Times New Roman"/>
                <w:sz w:val="18"/>
              </w:rPr>
            </w:pPr>
          </w:p>
          <w:p w:rsidR="005B1FCE" w:rsidRDefault="00A16B56">
            <w:pPr>
              <w:pStyle w:val="TableParagraph"/>
              <w:spacing w:before="137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26"/>
              </w:rPr>
            </w:pPr>
          </w:p>
          <w:p w:rsidR="005B1FCE" w:rsidRDefault="00A16B56">
            <w:pPr>
              <w:pStyle w:val="TableParagraph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1,031,676.74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6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Resultado Ejercicio Corriente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346,086.90</w:t>
            </w:r>
          </w:p>
        </w:tc>
        <w:tc>
          <w:tcPr>
            <w:tcW w:w="191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CE">
        <w:trPr>
          <w:trHeight w:val="298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45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A16B56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658,837.28</w:t>
            </w:r>
          </w:p>
        </w:tc>
        <w:tc>
          <w:tcPr>
            <w:tcW w:w="1911" w:type="dxa"/>
          </w:tcPr>
          <w:p w:rsidR="005B1FCE" w:rsidRDefault="00A16B56">
            <w:pPr>
              <w:pStyle w:val="TableParagraph"/>
              <w:spacing w:before="3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658,837.28</w:t>
            </w:r>
          </w:p>
        </w:tc>
      </w:tr>
      <w:tr w:rsidR="005B1FCE">
        <w:trPr>
          <w:trHeight w:val="283"/>
        </w:trPr>
        <w:tc>
          <w:tcPr>
            <w:tcW w:w="5339" w:type="dxa"/>
          </w:tcPr>
          <w:p w:rsidR="005B1FCE" w:rsidRDefault="00A16B56">
            <w:pPr>
              <w:pStyle w:val="TableParagraph"/>
              <w:spacing w:before="89" w:line="173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1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5B1FCE" w:rsidRDefault="005B1F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5B1FCE" w:rsidRDefault="00A16B56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2,482,277.91</w:t>
            </w:r>
          </w:p>
        </w:tc>
      </w:tr>
    </w:tbl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rPr>
          <w:rFonts w:ascii="Times New Roman"/>
          <w:b w:val="0"/>
          <w:sz w:val="20"/>
        </w:rPr>
      </w:pPr>
    </w:p>
    <w:p w:rsidR="005B1FCE" w:rsidRDefault="005B1FCE">
      <w:pPr>
        <w:pStyle w:val="Textoindependiente"/>
        <w:spacing w:before="6"/>
        <w:rPr>
          <w:rFonts w:ascii="Times New Roman"/>
          <w:b w:val="0"/>
          <w:sz w:val="19"/>
        </w:rPr>
      </w:pPr>
    </w:p>
    <w:p w:rsidR="005B1FCE" w:rsidRDefault="005B1FCE">
      <w:pPr>
        <w:rPr>
          <w:rFonts w:ascii="Times New Roman"/>
          <w:sz w:val="19"/>
        </w:rPr>
        <w:sectPr w:rsidR="005B1FCE">
          <w:pgSz w:w="12240" w:h="15840"/>
          <w:pgMar w:top="1800" w:right="940" w:bottom="280" w:left="780" w:header="471" w:footer="0" w:gutter="0"/>
          <w:cols w:space="720"/>
        </w:sectPr>
      </w:pPr>
    </w:p>
    <w:p w:rsidR="005B1FCE" w:rsidRDefault="00900641">
      <w:pPr>
        <w:pStyle w:val="Ttulo1"/>
        <w:spacing w:before="125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205105</wp:posOffset>
                </wp:positionV>
                <wp:extent cx="146748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A0E9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6.15pt" to="17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B8Gyvt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A16B56">
        <w:t>F.</w:t>
      </w:r>
    </w:p>
    <w:p w:rsidR="005B1FCE" w:rsidRDefault="00A16B56">
      <w:pPr>
        <w:spacing w:line="226" w:lineRule="exact"/>
        <w:ind w:left="108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5B1FCE" w:rsidRDefault="00A16B56">
      <w:pPr>
        <w:spacing w:before="96" w:line="225" w:lineRule="exact"/>
        <w:ind w:left="10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5B1FCE" w:rsidRDefault="00900641">
      <w:pPr>
        <w:pStyle w:val="Ttulo1"/>
        <w:spacing w:line="225" w:lineRule="exact"/>
        <w:ind w:left="861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-17145</wp:posOffset>
                </wp:positionV>
                <wp:extent cx="146748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233D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1.35pt" to="513.7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BX8P6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A16B56">
        <w:t>CONTADOR</w:t>
      </w:r>
    </w:p>
    <w:sectPr w:rsidR="005B1FCE">
      <w:type w:val="continuous"/>
      <w:pgSz w:w="12240" w:h="15840"/>
      <w:pgMar w:top="1800" w:right="940" w:bottom="280" w:left="780" w:header="720" w:footer="720" w:gutter="0"/>
      <w:cols w:num="2" w:space="720" w:equalWidth="0">
        <w:col w:w="1951" w:space="4906"/>
        <w:col w:w="36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BA" w:rsidRDefault="00BF04BA">
      <w:r>
        <w:separator/>
      </w:r>
    </w:p>
  </w:endnote>
  <w:endnote w:type="continuationSeparator" w:id="0">
    <w:p w:rsidR="00BF04BA" w:rsidRDefault="00BF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BA" w:rsidRDefault="00BF04BA">
      <w:r>
        <w:separator/>
      </w:r>
    </w:p>
  </w:footnote>
  <w:footnote w:type="continuationSeparator" w:id="0">
    <w:p w:rsidR="00BF04BA" w:rsidRDefault="00BF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E" w:rsidRDefault="00900641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50336" behindDoc="1" locked="0" layoutInCell="1" allowOverlap="1">
              <wp:simplePos x="0" y="0"/>
              <wp:positionH relativeFrom="page">
                <wp:posOffset>1930400</wp:posOffset>
              </wp:positionH>
              <wp:positionV relativeFrom="page">
                <wp:posOffset>287655</wp:posOffset>
              </wp:positionV>
              <wp:extent cx="3278505" cy="6153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850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FCE" w:rsidRDefault="00A16B56">
                          <w:pPr>
                            <w:pStyle w:val="Textoindependiente"/>
                            <w:spacing w:before="21" w:line="278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SITUACION FINANCIERA</w:t>
                          </w:r>
                        </w:p>
                        <w:p w:rsidR="005B1FCE" w:rsidRDefault="00A16B56">
                          <w:pPr>
                            <w:pStyle w:val="Textoindependiente"/>
                            <w:ind w:left="17" w:right="18"/>
                            <w:jc w:val="center"/>
                          </w:pPr>
                          <w:r>
                            <w:t>al 30 de Abril del 2019</w:t>
                          </w:r>
                        </w:p>
                        <w:p w:rsidR="005B1FCE" w:rsidRDefault="00A16B56">
                          <w:pPr>
                            <w:pStyle w:val="Textoindependiente"/>
                            <w:spacing w:before="93"/>
                            <w:ind w:left="66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pt;margin-top:22.65pt;width:258.15pt;height:48.45pt;z-index:-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0h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" filled="f" stroked="f">
              <v:textbox inset="0,0,0,0">
                <w:txbxContent>
                  <w:p w:rsidR="005B1FCE" w:rsidRDefault="00A16B56">
                    <w:pPr>
                      <w:pStyle w:val="Textoindependiente"/>
                      <w:spacing w:before="21" w:line="278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SITUACION FINANCIERA</w:t>
                    </w:r>
                  </w:p>
                  <w:p w:rsidR="005B1FCE" w:rsidRDefault="00A16B56">
                    <w:pPr>
                      <w:pStyle w:val="Textoindependiente"/>
                      <w:ind w:left="17" w:right="18"/>
                      <w:jc w:val="center"/>
                    </w:pPr>
                    <w:r>
                      <w:t>al 30 de Abril del 2019</w:t>
                    </w:r>
                  </w:p>
                  <w:p w:rsidR="005B1FCE" w:rsidRDefault="00A16B56">
                    <w:pPr>
                      <w:pStyle w:val="Textoindependiente"/>
                      <w:spacing w:before="93"/>
                      <w:ind w:left="66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51360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286385</wp:posOffset>
              </wp:positionV>
              <wp:extent cx="678180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FCE" w:rsidRDefault="00A16B56">
                          <w:pPr>
                            <w:pStyle w:val="Textoindependiente"/>
                            <w:spacing w:before="21"/>
                            <w:ind w:right="34"/>
                            <w:jc w:val="right"/>
                          </w:pPr>
                          <w:r>
                            <w:rPr>
                              <w:spacing w:val="-1"/>
                            </w:rPr>
                            <w:t>09/05/2019</w:t>
                          </w:r>
                        </w:p>
                        <w:p w:rsidR="005B1FCE" w:rsidRDefault="00A16B56">
                          <w:pPr>
                            <w:pStyle w:val="Textoindependiente"/>
                            <w:spacing w:before="106"/>
                            <w:ind w:right="18"/>
                            <w:jc w:val="right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17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3.5pt;margin-top:22.55pt;width:53.4pt;height:26.75pt;z-index:-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bN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" filled="f" stroked="f">
              <v:textbox inset="0,0,0,0">
                <w:txbxContent>
                  <w:p w:rsidR="005B1FCE" w:rsidRDefault="00A16B56">
                    <w:pPr>
                      <w:pStyle w:val="Textoindependiente"/>
                      <w:spacing w:before="21"/>
                      <w:ind w:right="34"/>
                      <w:jc w:val="right"/>
                    </w:pPr>
                    <w:r>
                      <w:rPr>
                        <w:spacing w:val="-1"/>
                      </w:rPr>
                      <w:t>09/05/2019</w:t>
                    </w:r>
                  </w:p>
                  <w:p w:rsidR="005B1FCE" w:rsidRDefault="00A16B56">
                    <w:pPr>
                      <w:pStyle w:val="Textoindependiente"/>
                      <w:spacing w:before="106"/>
                      <w:ind w:right="18"/>
                      <w:jc w:val="right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17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152384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1011555</wp:posOffset>
              </wp:positionV>
              <wp:extent cx="67691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FCE" w:rsidRDefault="00A16B56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79.65pt;width:53.3pt;height:11.75pt;z-index:-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" filled="f" stroked="f">
              <v:textbox inset="0,0,0,0">
                <w:txbxContent>
                  <w:p w:rsidR="005B1FCE" w:rsidRDefault="00A16B56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CE"/>
    <w:rsid w:val="00551775"/>
    <w:rsid w:val="005B1FCE"/>
    <w:rsid w:val="00900641"/>
    <w:rsid w:val="00A16B56"/>
    <w:rsid w:val="00B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E02E5-CF0C-4E7E-8C27-97EEE254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26" w:lineRule="exact"/>
      <w:ind w:left="10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Jaqueline Portillo</cp:lastModifiedBy>
  <cp:revision>2</cp:revision>
  <dcterms:created xsi:type="dcterms:W3CDTF">2019-05-15T17:05:00Z</dcterms:created>
  <dcterms:modified xsi:type="dcterms:W3CDTF">2019-05-15T17:05:00Z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2019-05-09T00:00:00Z</vt:filetime>
  </property>
</Properties>
</file>