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9C5646" w14:textId="2804483E" w:rsidR="00936640" w:rsidRDefault="00007D1D" w:rsidP="00F24CBD">
      <w:pPr>
        <w:jc w:val="center"/>
        <w:rPr>
          <w:rFonts w:ascii="Times New Roman" w:hAnsi="Times New Roman" w:cs="Times New Roman"/>
          <w:sz w:val="36"/>
          <w:szCs w:val="24"/>
          <w:u w:val="single"/>
        </w:rPr>
      </w:pPr>
      <w:sdt>
        <w:sdtPr>
          <w:rPr>
            <w:rFonts w:ascii="Times New Roman" w:hAnsi="Times New Roman" w:cs="Times New Roman"/>
            <w:sz w:val="24"/>
            <w:szCs w:val="24"/>
            <w:lang w:val="es-ES"/>
          </w:rPr>
          <w:id w:val="11167675"/>
          <w:docPartObj>
            <w:docPartGallery w:val="Cover Pages"/>
            <w:docPartUnique/>
          </w:docPartObj>
        </w:sdtPr>
        <w:sdtEndPr>
          <w:rPr>
            <w:bCs/>
            <w:caps/>
            <w:lang w:val="es-SV"/>
          </w:rPr>
        </w:sdtEndPr>
        <w:sdtContent>
          <w:r w:rsidR="003067F3">
            <w:rPr>
              <w:rFonts w:ascii="Times New Roman" w:eastAsiaTheme="minorHAnsi" w:hAnsi="Times New Roman" w:cs="Times New Roman"/>
              <w:bCs/>
              <w:caps/>
              <w:noProof/>
              <w:sz w:val="24"/>
              <w:szCs w:val="24"/>
            </w:rPr>
            <mc:AlternateContent>
              <mc:Choice Requires="wps">
                <w:drawing>
                  <wp:anchor distT="0" distB="0" distL="114300" distR="114300" simplePos="0" relativeHeight="251660288" behindDoc="0" locked="0" layoutInCell="1" allowOverlap="1" wp14:anchorId="376BBA60" wp14:editId="3AD9D04A">
                    <wp:simplePos x="0" y="0"/>
                    <wp:positionH relativeFrom="margin">
                      <wp:posOffset>3392170</wp:posOffset>
                    </wp:positionH>
                    <wp:positionV relativeFrom="margin">
                      <wp:posOffset>7712075</wp:posOffset>
                    </wp:positionV>
                    <wp:extent cx="3173730" cy="1929765"/>
                    <wp:effectExtent l="0" t="0" r="0" b="0"/>
                    <wp:wrapNone/>
                    <wp:docPr id="6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3730" cy="192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6EE4A" w14:textId="77777777" w:rsidR="00187778" w:rsidRDefault="00187778" w:rsidP="007701D9">
                                <w:pPr>
                                  <w:spacing w:after="0"/>
                                  <w:jc w:val="right"/>
                                  <w:rPr>
                                    <w:rFonts w:ascii="Impact" w:hAnsi="Impact"/>
                                    <w:b/>
                                    <w:bCs/>
                                    <w:color w:val="1F497D" w:themeColor="text2"/>
                                    <w:sz w:val="52"/>
                                    <w:szCs w:val="52"/>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BBA60" id="Rectangle 19" o:spid="_x0000_s1026" style="position:absolute;left:0;text-align:left;margin-left:267.1pt;margin-top:607.25pt;width:249.9pt;height:151.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" filled="f" stroked="f">
                    <v:textbox>
                      <w:txbxContent>
                        <w:p w14:paraId="7E16EE4A" w14:textId="77777777" w:rsidR="00187778" w:rsidRDefault="00187778" w:rsidP="007701D9">
                          <w:pPr>
                            <w:spacing w:after="0"/>
                            <w:jc w:val="right"/>
                            <w:rPr>
                              <w:rFonts w:ascii="Impact" w:hAnsi="Impact"/>
                              <w:b/>
                              <w:bCs/>
                              <w:color w:val="1F497D" w:themeColor="text2"/>
                              <w:sz w:val="52"/>
                              <w:szCs w:val="52"/>
                              <w:lang w:val="es-ES"/>
                            </w:rPr>
                          </w:pPr>
                        </w:p>
                      </w:txbxContent>
                    </v:textbox>
                    <w10:wrap anchorx="margin" anchory="margin"/>
                  </v:rect>
                </w:pict>
              </mc:Fallback>
            </mc:AlternateContent>
          </w:r>
        </w:sdtContent>
      </w:sdt>
      <w:r w:rsidR="00F24CBD" w:rsidRPr="00F24CBD">
        <w:rPr>
          <w:rFonts w:ascii="Times New Roman" w:hAnsi="Times New Roman" w:cs="Times New Roman"/>
          <w:sz w:val="36"/>
          <w:szCs w:val="24"/>
          <w:u w:val="single"/>
        </w:rPr>
        <w:t>ESTADISTICAS SOBRE SINIESTROS VIALES RELATIVOS AL AÑO 2016</w:t>
      </w:r>
    </w:p>
    <w:p w14:paraId="7D6D8EFB" w14:textId="77777777" w:rsidR="00F24CBD" w:rsidRPr="00F24CBD" w:rsidRDefault="00F24CBD" w:rsidP="00F24CBD">
      <w:pPr>
        <w:jc w:val="center"/>
      </w:pPr>
    </w:p>
    <w:p w14:paraId="0D1ED819" w14:textId="05350BFC" w:rsidR="00077CD6" w:rsidRDefault="009C3A9D" w:rsidP="00077CD6">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S</w:t>
      </w:r>
      <w:r w:rsidR="00F24CBD">
        <w:rPr>
          <w:rFonts w:ascii="Times New Roman" w:hAnsi="Times New Roman" w:cs="Times New Roman"/>
          <w:sz w:val="24"/>
          <w:szCs w:val="24"/>
        </w:rPr>
        <w:t>egún datos de la</w:t>
      </w:r>
      <w:r w:rsidRPr="00AA33EE">
        <w:rPr>
          <w:rFonts w:ascii="Times New Roman" w:hAnsi="Times New Roman" w:cs="Times New Roman"/>
          <w:sz w:val="24"/>
          <w:szCs w:val="24"/>
        </w:rPr>
        <w:t xml:space="preserve"> División</w:t>
      </w:r>
      <w:r w:rsidR="00912965" w:rsidRPr="00AA33EE">
        <w:rPr>
          <w:rFonts w:ascii="Times New Roman" w:hAnsi="Times New Roman" w:cs="Times New Roman"/>
          <w:sz w:val="24"/>
          <w:szCs w:val="24"/>
        </w:rPr>
        <w:t xml:space="preserve"> de Tránsito </w:t>
      </w:r>
      <w:r w:rsidR="00863CD5" w:rsidRPr="00AA33EE">
        <w:rPr>
          <w:rFonts w:ascii="Times New Roman" w:hAnsi="Times New Roman" w:cs="Times New Roman"/>
          <w:sz w:val="24"/>
          <w:szCs w:val="24"/>
        </w:rPr>
        <w:t xml:space="preserve">Terrestre </w:t>
      </w:r>
      <w:r w:rsidR="00912965" w:rsidRPr="00AA33EE">
        <w:rPr>
          <w:rFonts w:ascii="Times New Roman" w:hAnsi="Times New Roman" w:cs="Times New Roman"/>
          <w:sz w:val="24"/>
          <w:szCs w:val="24"/>
        </w:rPr>
        <w:t xml:space="preserve">de la Policía Nacional Civil, del período del 01 de </w:t>
      </w:r>
      <w:r w:rsidRPr="00AA33EE">
        <w:rPr>
          <w:rFonts w:ascii="Times New Roman" w:hAnsi="Times New Roman" w:cs="Times New Roman"/>
          <w:sz w:val="24"/>
          <w:szCs w:val="24"/>
        </w:rPr>
        <w:t>enero al 31 de diciembre de 2016</w:t>
      </w:r>
      <w:r w:rsidR="00912965" w:rsidRPr="00AA33EE">
        <w:rPr>
          <w:rFonts w:ascii="Times New Roman" w:hAnsi="Times New Roman" w:cs="Times New Roman"/>
          <w:sz w:val="24"/>
          <w:szCs w:val="24"/>
        </w:rPr>
        <w:t xml:space="preserve">, se registraron  </w:t>
      </w:r>
      <w:r w:rsidR="007D2723" w:rsidRPr="00AA33EE">
        <w:rPr>
          <w:rFonts w:ascii="Times New Roman" w:hAnsi="Times New Roman" w:cs="Times New Roman"/>
          <w:sz w:val="24"/>
          <w:szCs w:val="24"/>
        </w:rPr>
        <w:t>22,943</w:t>
      </w:r>
      <w:r w:rsidR="00912965" w:rsidRPr="00AA33EE">
        <w:rPr>
          <w:rFonts w:ascii="Times New Roman" w:hAnsi="Times New Roman" w:cs="Times New Roman"/>
          <w:sz w:val="24"/>
          <w:szCs w:val="24"/>
        </w:rPr>
        <w:t xml:space="preserve"> sinie</w:t>
      </w:r>
      <w:r w:rsidR="007D2723" w:rsidRPr="00AA33EE">
        <w:rPr>
          <w:rFonts w:ascii="Times New Roman" w:hAnsi="Times New Roman" w:cs="Times New Roman"/>
          <w:sz w:val="24"/>
          <w:szCs w:val="24"/>
        </w:rPr>
        <w:t xml:space="preserve">stros viales, que </w:t>
      </w:r>
      <w:r w:rsidR="00F24CBD">
        <w:rPr>
          <w:rFonts w:ascii="Times New Roman" w:hAnsi="Times New Roman" w:cs="Times New Roman"/>
          <w:sz w:val="24"/>
          <w:szCs w:val="24"/>
        </w:rPr>
        <w:t xml:space="preserve"> </w:t>
      </w:r>
      <w:r w:rsidR="007D2723" w:rsidRPr="00AA33EE">
        <w:rPr>
          <w:rFonts w:ascii="Times New Roman" w:hAnsi="Times New Roman" w:cs="Times New Roman"/>
          <w:sz w:val="24"/>
          <w:szCs w:val="24"/>
        </w:rPr>
        <w:t>representan un aumento</w:t>
      </w:r>
      <w:r w:rsidR="00B67E49" w:rsidRPr="00AA33EE">
        <w:rPr>
          <w:rFonts w:ascii="Times New Roman" w:hAnsi="Times New Roman" w:cs="Times New Roman"/>
          <w:sz w:val="24"/>
          <w:szCs w:val="24"/>
        </w:rPr>
        <w:t xml:space="preserve"> de 2.9% equivalente a</w:t>
      </w:r>
      <w:r w:rsidR="007D2723" w:rsidRPr="00AA33EE">
        <w:rPr>
          <w:rFonts w:ascii="Times New Roman" w:hAnsi="Times New Roman" w:cs="Times New Roman"/>
          <w:sz w:val="24"/>
          <w:szCs w:val="24"/>
        </w:rPr>
        <w:t xml:space="preserve"> </w:t>
      </w:r>
      <w:r w:rsidR="00684D64" w:rsidRPr="00AA33EE">
        <w:rPr>
          <w:rFonts w:ascii="Times New Roman" w:hAnsi="Times New Roman" w:cs="Times New Roman"/>
          <w:sz w:val="24"/>
          <w:szCs w:val="24"/>
        </w:rPr>
        <w:t xml:space="preserve">644 </w:t>
      </w:r>
      <w:r w:rsidR="007D2723" w:rsidRPr="00AA33EE">
        <w:rPr>
          <w:rFonts w:ascii="Times New Roman" w:hAnsi="Times New Roman" w:cs="Times New Roman"/>
          <w:sz w:val="24"/>
          <w:szCs w:val="24"/>
        </w:rPr>
        <w:t>siniestros</w:t>
      </w:r>
      <w:r w:rsidR="00B67E49" w:rsidRPr="00AA33EE">
        <w:rPr>
          <w:rFonts w:ascii="Times New Roman" w:hAnsi="Times New Roman" w:cs="Times New Roman"/>
          <w:sz w:val="24"/>
          <w:szCs w:val="24"/>
        </w:rPr>
        <w:t>,</w:t>
      </w:r>
      <w:r w:rsidR="00863CD5" w:rsidRPr="00AA33EE">
        <w:rPr>
          <w:rFonts w:ascii="Times New Roman" w:hAnsi="Times New Roman" w:cs="Times New Roman"/>
          <w:sz w:val="24"/>
          <w:szCs w:val="24"/>
        </w:rPr>
        <w:t xml:space="preserve"> en relación al año 2015</w:t>
      </w:r>
      <w:r w:rsidR="00B67E49" w:rsidRPr="00AA33EE">
        <w:rPr>
          <w:rFonts w:ascii="Times New Roman" w:hAnsi="Times New Roman" w:cs="Times New Roman"/>
          <w:sz w:val="24"/>
          <w:szCs w:val="24"/>
        </w:rPr>
        <w:t xml:space="preserve"> (</w:t>
      </w:r>
      <w:r w:rsidR="0001750C" w:rsidRPr="00AA33EE">
        <w:rPr>
          <w:rFonts w:ascii="Times New Roman" w:hAnsi="Times New Roman" w:cs="Times New Roman"/>
          <w:sz w:val="24"/>
          <w:szCs w:val="24"/>
        </w:rPr>
        <w:t>Ver gráfico 1).</w:t>
      </w:r>
    </w:p>
    <w:p w14:paraId="3863A66C" w14:textId="51234413" w:rsidR="00F24CBD" w:rsidRDefault="00F24CBD" w:rsidP="00077CD6">
      <w:pPr>
        <w:spacing w:after="0" w:line="360" w:lineRule="auto"/>
        <w:jc w:val="both"/>
        <w:rPr>
          <w:rFonts w:ascii="Times New Roman" w:hAnsi="Times New Roman" w:cs="Times New Roman"/>
          <w:sz w:val="24"/>
          <w:szCs w:val="24"/>
        </w:rPr>
      </w:pPr>
    </w:p>
    <w:p w14:paraId="61F45845" w14:textId="0FBD935E" w:rsidR="00F24CBD" w:rsidRDefault="00F24CBD" w:rsidP="00077CD6">
      <w:pPr>
        <w:spacing w:after="0" w:line="360" w:lineRule="auto"/>
        <w:jc w:val="both"/>
        <w:rPr>
          <w:rFonts w:ascii="Times New Roman" w:hAnsi="Times New Roman" w:cs="Times New Roman"/>
          <w:sz w:val="24"/>
          <w:szCs w:val="24"/>
        </w:rPr>
      </w:pPr>
      <w:r w:rsidRPr="00AA33EE">
        <w:rPr>
          <w:rFonts w:ascii="Times New Roman" w:hAnsi="Times New Roman" w:cs="Times New Roman"/>
          <w:noProof/>
          <w:sz w:val="24"/>
          <w:szCs w:val="24"/>
        </w:rPr>
        <w:drawing>
          <wp:anchor distT="0" distB="0" distL="114300" distR="114300" simplePos="0" relativeHeight="251664384" behindDoc="0" locked="0" layoutInCell="1" allowOverlap="1" wp14:anchorId="0B5644D6" wp14:editId="08C0D2A6">
            <wp:simplePos x="0" y="0"/>
            <wp:positionH relativeFrom="margin">
              <wp:posOffset>501015</wp:posOffset>
            </wp:positionH>
            <wp:positionV relativeFrom="paragraph">
              <wp:posOffset>212090</wp:posOffset>
            </wp:positionV>
            <wp:extent cx="4572000" cy="2743200"/>
            <wp:effectExtent l="0" t="0" r="0" b="0"/>
            <wp:wrapTopAndBottom/>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75EB4381" w14:textId="151CDFAC" w:rsidR="00F24CBD" w:rsidRDefault="00F24CBD" w:rsidP="00077CD6">
      <w:pPr>
        <w:spacing w:after="0" w:line="360" w:lineRule="auto"/>
        <w:jc w:val="both"/>
        <w:rPr>
          <w:rFonts w:ascii="Times New Roman" w:hAnsi="Times New Roman" w:cs="Times New Roman"/>
          <w:sz w:val="24"/>
          <w:szCs w:val="24"/>
        </w:rPr>
      </w:pPr>
    </w:p>
    <w:p w14:paraId="5D89900A" w14:textId="77777777" w:rsidR="00F24CBD" w:rsidRPr="00AA33EE" w:rsidRDefault="00F24CBD" w:rsidP="00077CD6">
      <w:pPr>
        <w:spacing w:after="0" w:line="360" w:lineRule="auto"/>
        <w:jc w:val="both"/>
        <w:rPr>
          <w:rFonts w:ascii="Times New Roman" w:hAnsi="Times New Roman" w:cs="Times New Roman"/>
          <w:sz w:val="24"/>
          <w:szCs w:val="24"/>
        </w:rPr>
      </w:pPr>
    </w:p>
    <w:p w14:paraId="7354FABD" w14:textId="77777777" w:rsidR="003E2648" w:rsidRPr="00187778" w:rsidRDefault="00863CD5" w:rsidP="003E2648">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Grafico 1</w:t>
      </w:r>
      <w:r w:rsidR="003E2648" w:rsidRPr="00187778">
        <w:rPr>
          <w:rFonts w:ascii="Times New Roman" w:hAnsi="Times New Roman" w:cs="Times New Roman"/>
          <w:b/>
          <w:sz w:val="20"/>
          <w:szCs w:val="20"/>
        </w:rPr>
        <w:t>: Total de accidentes de tránsito a nivel nacional registrados en los años 2015 y 2016.</w:t>
      </w:r>
    </w:p>
    <w:p w14:paraId="1E2425B0" w14:textId="77777777" w:rsidR="00D35F34" w:rsidRPr="00187778" w:rsidRDefault="003E2648" w:rsidP="003E2648">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 xml:space="preserve">Fuente: División de Tránsito Terrestre Policía Nacional Civil PNC </w:t>
      </w:r>
    </w:p>
    <w:p w14:paraId="6BC6A2AF" w14:textId="77777777" w:rsidR="0084446E" w:rsidRPr="00AA33EE" w:rsidRDefault="0084446E" w:rsidP="00D35F34">
      <w:pPr>
        <w:spacing w:after="0" w:line="360" w:lineRule="auto"/>
        <w:jc w:val="both"/>
        <w:rPr>
          <w:rFonts w:ascii="Times New Roman" w:hAnsi="Times New Roman" w:cs="Times New Roman"/>
          <w:sz w:val="24"/>
          <w:szCs w:val="24"/>
        </w:rPr>
      </w:pPr>
    </w:p>
    <w:p w14:paraId="3E5BF3EF" w14:textId="26301E4A" w:rsidR="00D35F34" w:rsidRDefault="0001750C" w:rsidP="00713F4B">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En el cuadro</w:t>
      </w:r>
      <w:r w:rsidR="00D35F34" w:rsidRPr="00AA33EE">
        <w:rPr>
          <w:rFonts w:ascii="Times New Roman" w:hAnsi="Times New Roman" w:cs="Times New Roman"/>
          <w:sz w:val="24"/>
          <w:szCs w:val="24"/>
        </w:rPr>
        <w:t xml:space="preserve"> que se presenta a continuación se detalla la cantidad de accidentes registrados en las diferentes </w:t>
      </w:r>
      <w:r w:rsidR="000E3B2A" w:rsidRPr="00AA33EE">
        <w:rPr>
          <w:rFonts w:ascii="Times New Roman" w:hAnsi="Times New Roman" w:cs="Times New Roman"/>
          <w:sz w:val="24"/>
          <w:szCs w:val="24"/>
        </w:rPr>
        <w:t>regiones</w:t>
      </w:r>
      <w:r w:rsidR="00D35F34" w:rsidRPr="00AA33EE">
        <w:rPr>
          <w:rFonts w:ascii="Times New Roman" w:hAnsi="Times New Roman" w:cs="Times New Roman"/>
          <w:sz w:val="24"/>
          <w:szCs w:val="24"/>
        </w:rPr>
        <w:t xml:space="preserve"> del país, en un comparativo </w:t>
      </w:r>
      <w:r w:rsidR="00863CD5" w:rsidRPr="00AA33EE">
        <w:rPr>
          <w:rFonts w:ascii="Times New Roman" w:hAnsi="Times New Roman" w:cs="Times New Roman"/>
          <w:sz w:val="24"/>
          <w:szCs w:val="24"/>
        </w:rPr>
        <w:t xml:space="preserve">entre </w:t>
      </w:r>
      <w:r w:rsidR="00D35F34" w:rsidRPr="00AA33EE">
        <w:rPr>
          <w:rFonts w:ascii="Times New Roman" w:hAnsi="Times New Roman" w:cs="Times New Roman"/>
          <w:sz w:val="24"/>
          <w:szCs w:val="24"/>
        </w:rPr>
        <w:t>el  año 2015</w:t>
      </w:r>
      <w:r w:rsidR="00863CD5" w:rsidRPr="00AA33EE">
        <w:rPr>
          <w:rFonts w:ascii="Times New Roman" w:hAnsi="Times New Roman" w:cs="Times New Roman"/>
          <w:sz w:val="24"/>
          <w:szCs w:val="24"/>
        </w:rPr>
        <w:t xml:space="preserve"> y</w:t>
      </w:r>
      <w:r w:rsidR="00187778">
        <w:rPr>
          <w:rFonts w:ascii="Times New Roman" w:hAnsi="Times New Roman" w:cs="Times New Roman"/>
          <w:sz w:val="24"/>
          <w:szCs w:val="24"/>
        </w:rPr>
        <w:t xml:space="preserve"> </w:t>
      </w:r>
      <w:r w:rsidR="00D35F34" w:rsidRPr="00AA33EE">
        <w:rPr>
          <w:rFonts w:ascii="Times New Roman" w:hAnsi="Times New Roman" w:cs="Times New Roman"/>
          <w:sz w:val="24"/>
          <w:szCs w:val="24"/>
        </w:rPr>
        <w:t>2016</w:t>
      </w:r>
      <w:r w:rsidRPr="00AA33EE">
        <w:rPr>
          <w:rFonts w:ascii="Times New Roman" w:hAnsi="Times New Roman" w:cs="Times New Roman"/>
          <w:sz w:val="24"/>
          <w:szCs w:val="24"/>
        </w:rPr>
        <w:t>. (</w:t>
      </w:r>
      <w:r w:rsidR="003E2648" w:rsidRPr="00AA33EE">
        <w:rPr>
          <w:rFonts w:ascii="Times New Roman" w:hAnsi="Times New Roman" w:cs="Times New Roman"/>
          <w:sz w:val="24"/>
          <w:szCs w:val="24"/>
        </w:rPr>
        <w:t>Ver</w:t>
      </w:r>
      <w:r w:rsidRPr="00AA33EE">
        <w:rPr>
          <w:rFonts w:ascii="Times New Roman" w:hAnsi="Times New Roman" w:cs="Times New Roman"/>
          <w:sz w:val="24"/>
          <w:szCs w:val="24"/>
        </w:rPr>
        <w:t xml:space="preserve"> cuadro 1 y grafico 2)</w:t>
      </w:r>
    </w:p>
    <w:p w14:paraId="744879D0" w14:textId="77777777" w:rsidR="00F24CBD" w:rsidRPr="00AA33EE" w:rsidRDefault="00F24CBD" w:rsidP="00713F4B">
      <w:pPr>
        <w:spacing w:after="0" w:line="360" w:lineRule="auto"/>
        <w:jc w:val="both"/>
        <w:rPr>
          <w:rFonts w:ascii="Times New Roman" w:hAnsi="Times New Roman" w:cs="Times New Roman"/>
          <w:sz w:val="24"/>
          <w:szCs w:val="24"/>
        </w:rPr>
      </w:pPr>
    </w:p>
    <w:tbl>
      <w:tblPr>
        <w:tblStyle w:val="Tablaconcuadrcula"/>
        <w:tblpPr w:leftFromText="141" w:rightFromText="141" w:vertAnchor="text" w:horzAnchor="margin" w:tblpXSpec="center" w:tblpY="294"/>
        <w:tblW w:w="6799" w:type="dxa"/>
        <w:tblLook w:val="04A0" w:firstRow="1" w:lastRow="0" w:firstColumn="1" w:lastColumn="0" w:noHBand="0" w:noVBand="1"/>
      </w:tblPr>
      <w:tblGrid>
        <w:gridCol w:w="2612"/>
        <w:gridCol w:w="1069"/>
        <w:gridCol w:w="876"/>
        <w:gridCol w:w="1283"/>
        <w:gridCol w:w="959"/>
      </w:tblGrid>
      <w:tr w:rsidR="0001750C" w:rsidRPr="00AA33EE" w14:paraId="289F365A" w14:textId="77777777" w:rsidTr="0001750C">
        <w:trPr>
          <w:trHeight w:val="300"/>
        </w:trPr>
        <w:tc>
          <w:tcPr>
            <w:tcW w:w="2612" w:type="dxa"/>
            <w:noWrap/>
          </w:tcPr>
          <w:p w14:paraId="68A9E213" w14:textId="77777777" w:rsidR="0001750C" w:rsidRPr="00AA33EE" w:rsidRDefault="0001750C" w:rsidP="0001750C">
            <w:pPr>
              <w:spacing w:line="360" w:lineRule="auto"/>
              <w:jc w:val="center"/>
              <w:rPr>
                <w:rFonts w:ascii="Times New Roman" w:hAnsi="Times New Roman" w:cs="Times New Roman"/>
                <w:b/>
                <w:sz w:val="24"/>
                <w:szCs w:val="24"/>
              </w:rPr>
            </w:pPr>
            <w:r w:rsidRPr="00AA33EE">
              <w:rPr>
                <w:rFonts w:ascii="Times New Roman" w:hAnsi="Times New Roman" w:cs="Times New Roman"/>
                <w:b/>
                <w:sz w:val="24"/>
                <w:szCs w:val="24"/>
              </w:rPr>
              <w:lastRenderedPageBreak/>
              <w:t>Región</w:t>
            </w:r>
          </w:p>
        </w:tc>
        <w:tc>
          <w:tcPr>
            <w:tcW w:w="1069" w:type="dxa"/>
            <w:noWrap/>
          </w:tcPr>
          <w:p w14:paraId="5852F354" w14:textId="77777777" w:rsidR="0001750C" w:rsidRPr="00AA33EE" w:rsidRDefault="0001750C" w:rsidP="0001750C">
            <w:pPr>
              <w:spacing w:line="360" w:lineRule="auto"/>
              <w:jc w:val="center"/>
              <w:rPr>
                <w:rFonts w:ascii="Times New Roman" w:hAnsi="Times New Roman" w:cs="Times New Roman"/>
                <w:b/>
                <w:sz w:val="24"/>
                <w:szCs w:val="24"/>
              </w:rPr>
            </w:pPr>
            <w:r w:rsidRPr="00AA33EE">
              <w:rPr>
                <w:rFonts w:ascii="Times New Roman" w:hAnsi="Times New Roman" w:cs="Times New Roman"/>
                <w:b/>
                <w:sz w:val="24"/>
                <w:szCs w:val="24"/>
              </w:rPr>
              <w:t>2015</w:t>
            </w:r>
          </w:p>
        </w:tc>
        <w:tc>
          <w:tcPr>
            <w:tcW w:w="876" w:type="dxa"/>
            <w:noWrap/>
          </w:tcPr>
          <w:p w14:paraId="014DC419" w14:textId="77777777" w:rsidR="0001750C" w:rsidRPr="00AA33EE" w:rsidRDefault="0001750C" w:rsidP="0001750C">
            <w:pPr>
              <w:spacing w:line="360" w:lineRule="auto"/>
              <w:jc w:val="center"/>
              <w:rPr>
                <w:rFonts w:ascii="Times New Roman" w:hAnsi="Times New Roman" w:cs="Times New Roman"/>
                <w:b/>
                <w:sz w:val="24"/>
                <w:szCs w:val="24"/>
              </w:rPr>
            </w:pPr>
            <w:r w:rsidRPr="00AA33EE">
              <w:rPr>
                <w:rFonts w:ascii="Times New Roman" w:hAnsi="Times New Roman" w:cs="Times New Roman"/>
                <w:b/>
                <w:sz w:val="24"/>
                <w:szCs w:val="24"/>
              </w:rPr>
              <w:t>2016</w:t>
            </w:r>
          </w:p>
        </w:tc>
        <w:tc>
          <w:tcPr>
            <w:tcW w:w="1283" w:type="dxa"/>
            <w:noWrap/>
          </w:tcPr>
          <w:p w14:paraId="1F6899BF" w14:textId="77777777" w:rsidR="0001750C" w:rsidRPr="00AA33EE" w:rsidRDefault="0001750C" w:rsidP="0001750C">
            <w:pPr>
              <w:spacing w:line="360" w:lineRule="auto"/>
              <w:rPr>
                <w:rFonts w:ascii="Times New Roman" w:hAnsi="Times New Roman" w:cs="Times New Roman"/>
                <w:b/>
                <w:sz w:val="24"/>
                <w:szCs w:val="24"/>
              </w:rPr>
            </w:pPr>
            <w:r w:rsidRPr="00AA33EE">
              <w:rPr>
                <w:rFonts w:ascii="Times New Roman" w:hAnsi="Times New Roman" w:cs="Times New Roman"/>
                <w:b/>
                <w:sz w:val="24"/>
                <w:szCs w:val="24"/>
              </w:rPr>
              <w:t xml:space="preserve">Diferencia </w:t>
            </w:r>
          </w:p>
        </w:tc>
        <w:tc>
          <w:tcPr>
            <w:tcW w:w="959" w:type="dxa"/>
          </w:tcPr>
          <w:p w14:paraId="0ADF03BE" w14:textId="77777777" w:rsidR="0001750C" w:rsidRPr="00AA33EE" w:rsidRDefault="0001750C" w:rsidP="0001750C">
            <w:pPr>
              <w:spacing w:line="360" w:lineRule="auto"/>
              <w:jc w:val="center"/>
              <w:rPr>
                <w:rFonts w:ascii="Times New Roman" w:hAnsi="Times New Roman" w:cs="Times New Roman"/>
                <w:b/>
                <w:sz w:val="24"/>
                <w:szCs w:val="24"/>
              </w:rPr>
            </w:pPr>
            <w:r w:rsidRPr="00AA33EE">
              <w:rPr>
                <w:rFonts w:ascii="Times New Roman" w:hAnsi="Times New Roman" w:cs="Times New Roman"/>
                <w:b/>
                <w:sz w:val="24"/>
                <w:szCs w:val="24"/>
              </w:rPr>
              <w:t>%</w:t>
            </w:r>
          </w:p>
        </w:tc>
      </w:tr>
      <w:tr w:rsidR="0001750C" w:rsidRPr="00AA33EE" w14:paraId="7CA50CBD" w14:textId="77777777" w:rsidTr="0001750C">
        <w:trPr>
          <w:trHeight w:val="300"/>
        </w:trPr>
        <w:tc>
          <w:tcPr>
            <w:tcW w:w="2612" w:type="dxa"/>
            <w:noWrap/>
          </w:tcPr>
          <w:p w14:paraId="7EF4DDDD"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Región Metropolitana</w:t>
            </w:r>
          </w:p>
        </w:tc>
        <w:tc>
          <w:tcPr>
            <w:tcW w:w="1069" w:type="dxa"/>
            <w:noWrap/>
          </w:tcPr>
          <w:p w14:paraId="12F07491"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11740</w:t>
            </w:r>
          </w:p>
        </w:tc>
        <w:tc>
          <w:tcPr>
            <w:tcW w:w="876" w:type="dxa"/>
            <w:noWrap/>
          </w:tcPr>
          <w:p w14:paraId="2DB4918E"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12344</w:t>
            </w:r>
          </w:p>
        </w:tc>
        <w:tc>
          <w:tcPr>
            <w:tcW w:w="1283" w:type="dxa"/>
            <w:noWrap/>
          </w:tcPr>
          <w:p w14:paraId="0340B4E1"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604</w:t>
            </w:r>
          </w:p>
        </w:tc>
        <w:tc>
          <w:tcPr>
            <w:tcW w:w="959" w:type="dxa"/>
          </w:tcPr>
          <w:p w14:paraId="6467C95E"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5.10%</w:t>
            </w:r>
          </w:p>
        </w:tc>
      </w:tr>
      <w:tr w:rsidR="0001750C" w:rsidRPr="00AA33EE" w14:paraId="0B0360EF" w14:textId="77777777" w:rsidTr="0001750C">
        <w:trPr>
          <w:trHeight w:val="300"/>
        </w:trPr>
        <w:tc>
          <w:tcPr>
            <w:tcW w:w="2612" w:type="dxa"/>
            <w:noWrap/>
            <w:hideMark/>
          </w:tcPr>
          <w:p w14:paraId="62E6AD96"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Región Central</w:t>
            </w:r>
          </w:p>
        </w:tc>
        <w:tc>
          <w:tcPr>
            <w:tcW w:w="1069" w:type="dxa"/>
            <w:noWrap/>
            <w:hideMark/>
          </w:tcPr>
          <w:p w14:paraId="469E484E"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3462</w:t>
            </w:r>
          </w:p>
        </w:tc>
        <w:tc>
          <w:tcPr>
            <w:tcW w:w="876" w:type="dxa"/>
            <w:noWrap/>
            <w:hideMark/>
          </w:tcPr>
          <w:p w14:paraId="4148B8FE"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3264</w:t>
            </w:r>
          </w:p>
        </w:tc>
        <w:tc>
          <w:tcPr>
            <w:tcW w:w="1283" w:type="dxa"/>
            <w:noWrap/>
            <w:hideMark/>
          </w:tcPr>
          <w:p w14:paraId="1DEDCE41"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-198</w:t>
            </w:r>
          </w:p>
        </w:tc>
        <w:tc>
          <w:tcPr>
            <w:tcW w:w="959" w:type="dxa"/>
          </w:tcPr>
          <w:p w14:paraId="470E4F42"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-5.70%</w:t>
            </w:r>
          </w:p>
        </w:tc>
      </w:tr>
      <w:tr w:rsidR="0001750C" w:rsidRPr="00AA33EE" w14:paraId="4638BBE9" w14:textId="77777777" w:rsidTr="0001750C">
        <w:trPr>
          <w:trHeight w:val="300"/>
        </w:trPr>
        <w:tc>
          <w:tcPr>
            <w:tcW w:w="2612" w:type="dxa"/>
            <w:noWrap/>
            <w:hideMark/>
          </w:tcPr>
          <w:p w14:paraId="1BAA6F04"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Región Paracentral</w:t>
            </w:r>
          </w:p>
        </w:tc>
        <w:tc>
          <w:tcPr>
            <w:tcW w:w="1069" w:type="dxa"/>
            <w:noWrap/>
            <w:hideMark/>
          </w:tcPr>
          <w:p w14:paraId="7471BD26"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1332</w:t>
            </w:r>
          </w:p>
        </w:tc>
        <w:tc>
          <w:tcPr>
            <w:tcW w:w="876" w:type="dxa"/>
            <w:noWrap/>
            <w:hideMark/>
          </w:tcPr>
          <w:p w14:paraId="4A724CB2"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1439</w:t>
            </w:r>
          </w:p>
        </w:tc>
        <w:tc>
          <w:tcPr>
            <w:tcW w:w="1283" w:type="dxa"/>
            <w:noWrap/>
            <w:hideMark/>
          </w:tcPr>
          <w:p w14:paraId="1DF5261A"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107</w:t>
            </w:r>
          </w:p>
        </w:tc>
        <w:tc>
          <w:tcPr>
            <w:tcW w:w="959" w:type="dxa"/>
          </w:tcPr>
          <w:p w14:paraId="60C37A53"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8%</w:t>
            </w:r>
          </w:p>
        </w:tc>
      </w:tr>
      <w:tr w:rsidR="0001750C" w:rsidRPr="00AA33EE" w14:paraId="499665D9" w14:textId="77777777" w:rsidTr="0001750C">
        <w:trPr>
          <w:trHeight w:val="300"/>
        </w:trPr>
        <w:tc>
          <w:tcPr>
            <w:tcW w:w="2612" w:type="dxa"/>
            <w:noWrap/>
            <w:hideMark/>
          </w:tcPr>
          <w:p w14:paraId="098DB9DB"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Región Oriental</w:t>
            </w:r>
          </w:p>
        </w:tc>
        <w:tc>
          <w:tcPr>
            <w:tcW w:w="1069" w:type="dxa"/>
            <w:noWrap/>
            <w:hideMark/>
          </w:tcPr>
          <w:p w14:paraId="1D1FC2BA"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2979</w:t>
            </w:r>
          </w:p>
        </w:tc>
        <w:tc>
          <w:tcPr>
            <w:tcW w:w="876" w:type="dxa"/>
            <w:noWrap/>
            <w:hideMark/>
          </w:tcPr>
          <w:p w14:paraId="667E2DF0"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3004</w:t>
            </w:r>
          </w:p>
        </w:tc>
        <w:tc>
          <w:tcPr>
            <w:tcW w:w="1283" w:type="dxa"/>
            <w:noWrap/>
            <w:hideMark/>
          </w:tcPr>
          <w:p w14:paraId="11B53E43"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25</w:t>
            </w:r>
          </w:p>
        </w:tc>
        <w:tc>
          <w:tcPr>
            <w:tcW w:w="959" w:type="dxa"/>
          </w:tcPr>
          <w:p w14:paraId="71223D4B"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0.80%</w:t>
            </w:r>
          </w:p>
        </w:tc>
      </w:tr>
      <w:tr w:rsidR="0001750C" w:rsidRPr="00AA33EE" w14:paraId="5C3FBB25" w14:textId="77777777" w:rsidTr="0001750C">
        <w:trPr>
          <w:trHeight w:val="300"/>
        </w:trPr>
        <w:tc>
          <w:tcPr>
            <w:tcW w:w="2612" w:type="dxa"/>
            <w:noWrap/>
            <w:hideMark/>
          </w:tcPr>
          <w:p w14:paraId="29CE1C8F"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Región Occidental</w:t>
            </w:r>
          </w:p>
        </w:tc>
        <w:tc>
          <w:tcPr>
            <w:tcW w:w="1069" w:type="dxa"/>
            <w:noWrap/>
            <w:hideMark/>
          </w:tcPr>
          <w:p w14:paraId="632A74E9"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2786</w:t>
            </w:r>
          </w:p>
        </w:tc>
        <w:tc>
          <w:tcPr>
            <w:tcW w:w="876" w:type="dxa"/>
            <w:noWrap/>
            <w:hideMark/>
          </w:tcPr>
          <w:p w14:paraId="6ED3FC1D"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2892</w:t>
            </w:r>
          </w:p>
        </w:tc>
        <w:tc>
          <w:tcPr>
            <w:tcW w:w="1283" w:type="dxa"/>
            <w:noWrap/>
            <w:hideMark/>
          </w:tcPr>
          <w:p w14:paraId="557BCCD6"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106</w:t>
            </w:r>
          </w:p>
        </w:tc>
        <w:tc>
          <w:tcPr>
            <w:tcW w:w="959" w:type="dxa"/>
          </w:tcPr>
          <w:p w14:paraId="096E0197"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2.90%</w:t>
            </w:r>
          </w:p>
        </w:tc>
      </w:tr>
      <w:tr w:rsidR="0001750C" w:rsidRPr="00AA33EE" w14:paraId="46E7BDC8" w14:textId="77777777" w:rsidTr="0001750C">
        <w:trPr>
          <w:trHeight w:val="300"/>
        </w:trPr>
        <w:tc>
          <w:tcPr>
            <w:tcW w:w="2612" w:type="dxa"/>
            <w:noWrap/>
          </w:tcPr>
          <w:p w14:paraId="13FB6A9D"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TOTAL</w:t>
            </w:r>
          </w:p>
        </w:tc>
        <w:tc>
          <w:tcPr>
            <w:tcW w:w="1069" w:type="dxa"/>
            <w:noWrap/>
          </w:tcPr>
          <w:p w14:paraId="2F35B94A"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22,299</w:t>
            </w:r>
          </w:p>
        </w:tc>
        <w:tc>
          <w:tcPr>
            <w:tcW w:w="876" w:type="dxa"/>
            <w:noWrap/>
          </w:tcPr>
          <w:p w14:paraId="3B1224D3"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22,243</w:t>
            </w:r>
          </w:p>
        </w:tc>
        <w:tc>
          <w:tcPr>
            <w:tcW w:w="1283" w:type="dxa"/>
            <w:noWrap/>
          </w:tcPr>
          <w:p w14:paraId="421B7D6E"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644</w:t>
            </w:r>
          </w:p>
        </w:tc>
        <w:tc>
          <w:tcPr>
            <w:tcW w:w="959" w:type="dxa"/>
          </w:tcPr>
          <w:p w14:paraId="33A7C971" w14:textId="77777777" w:rsidR="0001750C" w:rsidRPr="00AA33EE" w:rsidRDefault="0001750C" w:rsidP="0001750C">
            <w:pPr>
              <w:spacing w:line="360" w:lineRule="auto"/>
              <w:jc w:val="center"/>
              <w:rPr>
                <w:rFonts w:ascii="Times New Roman" w:hAnsi="Times New Roman" w:cs="Times New Roman"/>
                <w:sz w:val="24"/>
                <w:szCs w:val="24"/>
              </w:rPr>
            </w:pPr>
            <w:r w:rsidRPr="00AA33EE">
              <w:rPr>
                <w:rFonts w:ascii="Times New Roman" w:hAnsi="Times New Roman" w:cs="Times New Roman"/>
                <w:sz w:val="24"/>
                <w:szCs w:val="24"/>
              </w:rPr>
              <w:t>2.90%</w:t>
            </w:r>
          </w:p>
        </w:tc>
      </w:tr>
    </w:tbl>
    <w:p w14:paraId="4368714E" w14:textId="77777777" w:rsidR="00D35F34" w:rsidRPr="00AA33EE" w:rsidRDefault="00D35F34" w:rsidP="0001750C">
      <w:pPr>
        <w:spacing w:after="0" w:line="360" w:lineRule="auto"/>
        <w:ind w:firstLine="708"/>
        <w:jc w:val="both"/>
        <w:rPr>
          <w:rFonts w:ascii="Times New Roman" w:hAnsi="Times New Roman" w:cs="Times New Roman"/>
          <w:sz w:val="24"/>
          <w:szCs w:val="24"/>
        </w:rPr>
      </w:pPr>
    </w:p>
    <w:p w14:paraId="18CF9A66" w14:textId="77777777" w:rsidR="00D35F34" w:rsidRPr="00AA33EE" w:rsidRDefault="00D35F34" w:rsidP="00D35F34">
      <w:pPr>
        <w:spacing w:after="0" w:line="360" w:lineRule="auto"/>
        <w:jc w:val="both"/>
        <w:rPr>
          <w:rFonts w:ascii="Times New Roman" w:hAnsi="Times New Roman" w:cs="Times New Roman"/>
          <w:sz w:val="24"/>
          <w:szCs w:val="24"/>
        </w:rPr>
      </w:pPr>
    </w:p>
    <w:p w14:paraId="6F630575" w14:textId="77777777" w:rsidR="00B67E49" w:rsidRPr="00AA33EE" w:rsidRDefault="00B67E49" w:rsidP="00BF4C2E">
      <w:pPr>
        <w:spacing w:after="0" w:line="360" w:lineRule="auto"/>
        <w:jc w:val="both"/>
        <w:rPr>
          <w:rFonts w:ascii="Times New Roman" w:hAnsi="Times New Roman" w:cs="Times New Roman"/>
          <w:color w:val="FF0000"/>
          <w:sz w:val="24"/>
          <w:szCs w:val="24"/>
        </w:rPr>
      </w:pPr>
    </w:p>
    <w:p w14:paraId="44D54181" w14:textId="77777777" w:rsidR="0018488D" w:rsidRPr="00AA33EE" w:rsidRDefault="0018488D" w:rsidP="00BF4C2E">
      <w:pPr>
        <w:spacing w:after="0" w:line="360" w:lineRule="auto"/>
        <w:jc w:val="both"/>
        <w:rPr>
          <w:rFonts w:ascii="Times New Roman" w:hAnsi="Times New Roman" w:cs="Times New Roman"/>
          <w:color w:val="FF0000"/>
          <w:sz w:val="24"/>
          <w:szCs w:val="24"/>
        </w:rPr>
      </w:pPr>
    </w:p>
    <w:p w14:paraId="443ED033" w14:textId="77777777" w:rsidR="0018488D" w:rsidRPr="00AA33EE" w:rsidRDefault="0018488D" w:rsidP="00BF4C2E">
      <w:pPr>
        <w:spacing w:after="0" w:line="360" w:lineRule="auto"/>
        <w:jc w:val="both"/>
        <w:rPr>
          <w:rFonts w:ascii="Times New Roman" w:hAnsi="Times New Roman" w:cs="Times New Roman"/>
          <w:color w:val="FF0000"/>
          <w:sz w:val="24"/>
          <w:szCs w:val="24"/>
        </w:rPr>
      </w:pPr>
    </w:p>
    <w:p w14:paraId="38C6024E" w14:textId="77777777" w:rsidR="0018488D" w:rsidRPr="00AA33EE" w:rsidRDefault="0018488D" w:rsidP="00BF4C2E">
      <w:pPr>
        <w:spacing w:after="0" w:line="360" w:lineRule="auto"/>
        <w:jc w:val="both"/>
        <w:rPr>
          <w:rFonts w:ascii="Times New Roman" w:hAnsi="Times New Roman" w:cs="Times New Roman"/>
          <w:color w:val="FF0000"/>
          <w:sz w:val="24"/>
          <w:szCs w:val="24"/>
        </w:rPr>
      </w:pPr>
    </w:p>
    <w:p w14:paraId="1F5332A5" w14:textId="77777777" w:rsidR="0018488D" w:rsidRPr="00AA33EE" w:rsidRDefault="0018488D" w:rsidP="00BF4C2E">
      <w:pPr>
        <w:spacing w:after="0" w:line="360" w:lineRule="auto"/>
        <w:jc w:val="both"/>
        <w:rPr>
          <w:rFonts w:ascii="Times New Roman" w:hAnsi="Times New Roman" w:cs="Times New Roman"/>
          <w:color w:val="FF0000"/>
          <w:sz w:val="24"/>
          <w:szCs w:val="24"/>
        </w:rPr>
      </w:pPr>
    </w:p>
    <w:p w14:paraId="55CAA248" w14:textId="77777777" w:rsidR="0018488D" w:rsidRPr="00AA33EE" w:rsidRDefault="0018488D" w:rsidP="00BF4C2E">
      <w:pPr>
        <w:spacing w:after="0" w:line="360" w:lineRule="auto"/>
        <w:jc w:val="both"/>
        <w:rPr>
          <w:rFonts w:ascii="Times New Roman" w:hAnsi="Times New Roman" w:cs="Times New Roman"/>
          <w:color w:val="FF0000"/>
          <w:sz w:val="24"/>
          <w:szCs w:val="24"/>
        </w:rPr>
      </w:pPr>
    </w:p>
    <w:p w14:paraId="59C082CA" w14:textId="77777777" w:rsidR="0018488D" w:rsidRPr="00187778" w:rsidRDefault="0018488D" w:rsidP="0018488D">
      <w:pPr>
        <w:spacing w:after="0" w:line="360" w:lineRule="auto"/>
        <w:jc w:val="center"/>
        <w:rPr>
          <w:rFonts w:ascii="Times New Roman" w:hAnsi="Times New Roman" w:cs="Times New Roman"/>
          <w:b/>
          <w:sz w:val="18"/>
          <w:szCs w:val="20"/>
        </w:rPr>
      </w:pPr>
      <w:r w:rsidRPr="00187778">
        <w:rPr>
          <w:rFonts w:ascii="Times New Roman" w:hAnsi="Times New Roman" w:cs="Times New Roman"/>
          <w:b/>
          <w:sz w:val="18"/>
          <w:szCs w:val="20"/>
        </w:rPr>
        <w:t>Cuadro 1: Cantidad de accidentes registrados en las diferentes regiones del País entre el año 2015 y 2016.</w:t>
      </w:r>
    </w:p>
    <w:p w14:paraId="49666908" w14:textId="77777777" w:rsidR="0018488D" w:rsidRPr="00187778" w:rsidRDefault="0018488D" w:rsidP="0018488D">
      <w:pPr>
        <w:spacing w:after="0" w:line="360" w:lineRule="auto"/>
        <w:jc w:val="center"/>
        <w:rPr>
          <w:rFonts w:ascii="Times New Roman" w:hAnsi="Times New Roman" w:cs="Times New Roman"/>
          <w:b/>
          <w:sz w:val="18"/>
          <w:szCs w:val="20"/>
        </w:rPr>
      </w:pPr>
      <w:r w:rsidRPr="00187778">
        <w:rPr>
          <w:rFonts w:ascii="Times New Roman" w:hAnsi="Times New Roman" w:cs="Times New Roman"/>
          <w:b/>
          <w:sz w:val="18"/>
          <w:szCs w:val="20"/>
        </w:rPr>
        <w:t>Fuente: División de Tránsito Terrestre Policía Nacional Civil PNC</w:t>
      </w:r>
    </w:p>
    <w:p w14:paraId="7C9BA021" w14:textId="77777777" w:rsidR="00F24CBD" w:rsidRDefault="00F24CBD" w:rsidP="00BF4C2E">
      <w:pPr>
        <w:spacing w:after="0" w:line="360" w:lineRule="auto"/>
        <w:jc w:val="both"/>
        <w:rPr>
          <w:rFonts w:ascii="Times New Roman" w:hAnsi="Times New Roman" w:cs="Times New Roman"/>
          <w:sz w:val="24"/>
          <w:szCs w:val="24"/>
        </w:rPr>
      </w:pPr>
    </w:p>
    <w:p w14:paraId="795B0048" w14:textId="77777777" w:rsidR="00F24CBD" w:rsidRDefault="00F24CBD" w:rsidP="00BF4C2E">
      <w:pPr>
        <w:spacing w:after="0" w:line="360" w:lineRule="auto"/>
        <w:jc w:val="both"/>
        <w:rPr>
          <w:rFonts w:ascii="Times New Roman" w:hAnsi="Times New Roman" w:cs="Times New Roman"/>
          <w:sz w:val="24"/>
          <w:szCs w:val="24"/>
        </w:rPr>
      </w:pPr>
    </w:p>
    <w:p w14:paraId="78D83617" w14:textId="77777777" w:rsidR="00D77F42" w:rsidRPr="00AA33EE" w:rsidRDefault="00077CD6" w:rsidP="00BF4C2E">
      <w:pPr>
        <w:spacing w:after="0" w:line="360" w:lineRule="auto"/>
        <w:jc w:val="both"/>
        <w:rPr>
          <w:rFonts w:ascii="Times New Roman" w:hAnsi="Times New Roman" w:cs="Times New Roman"/>
          <w:sz w:val="24"/>
          <w:szCs w:val="24"/>
        </w:rPr>
      </w:pPr>
      <w:r w:rsidRPr="00AA33EE">
        <w:rPr>
          <w:rFonts w:ascii="Times New Roman" w:hAnsi="Times New Roman" w:cs="Times New Roman"/>
          <w:noProof/>
          <w:sz w:val="24"/>
          <w:szCs w:val="24"/>
        </w:rPr>
        <w:drawing>
          <wp:anchor distT="0" distB="0" distL="114300" distR="114300" simplePos="0" relativeHeight="251665408" behindDoc="0" locked="0" layoutInCell="1" allowOverlap="1" wp14:anchorId="704D101F" wp14:editId="577067A3">
            <wp:simplePos x="0" y="0"/>
            <wp:positionH relativeFrom="column">
              <wp:posOffset>452189</wp:posOffset>
            </wp:positionH>
            <wp:positionV relativeFrom="paragraph">
              <wp:posOffset>236495</wp:posOffset>
            </wp:positionV>
            <wp:extent cx="4843780" cy="2825750"/>
            <wp:effectExtent l="0" t="0" r="13970" b="12700"/>
            <wp:wrapTopAndBottom/>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14:paraId="199FF68F" w14:textId="2C740C63" w:rsidR="00143031" w:rsidRPr="00187778" w:rsidRDefault="00187778" w:rsidP="00143031">
      <w:pPr>
        <w:spacing w:after="0" w:line="360" w:lineRule="auto"/>
        <w:jc w:val="center"/>
        <w:rPr>
          <w:rFonts w:ascii="Times New Roman" w:hAnsi="Times New Roman" w:cs="Times New Roman"/>
          <w:b/>
          <w:sz w:val="18"/>
          <w:szCs w:val="20"/>
        </w:rPr>
      </w:pPr>
      <w:r w:rsidRPr="00187778">
        <w:rPr>
          <w:rFonts w:ascii="Times New Roman" w:hAnsi="Times New Roman" w:cs="Times New Roman"/>
          <w:b/>
          <w:sz w:val="18"/>
          <w:szCs w:val="20"/>
        </w:rPr>
        <w:t>Gráfico</w:t>
      </w:r>
      <w:r w:rsidR="00143031" w:rsidRPr="00187778">
        <w:rPr>
          <w:rFonts w:ascii="Times New Roman" w:hAnsi="Times New Roman" w:cs="Times New Roman"/>
          <w:b/>
          <w:sz w:val="18"/>
          <w:szCs w:val="20"/>
        </w:rPr>
        <w:t xml:space="preserve"> 2: Cantidad de accidentes registrados en las diferentes regiones del País entre el año 2015 y 2016.</w:t>
      </w:r>
    </w:p>
    <w:p w14:paraId="28C29C80" w14:textId="77777777" w:rsidR="00143031" w:rsidRPr="00187778" w:rsidRDefault="00143031" w:rsidP="00143031">
      <w:pPr>
        <w:spacing w:after="0" w:line="360" w:lineRule="auto"/>
        <w:jc w:val="center"/>
        <w:rPr>
          <w:rFonts w:ascii="Times New Roman" w:hAnsi="Times New Roman" w:cs="Times New Roman"/>
          <w:b/>
          <w:sz w:val="18"/>
          <w:szCs w:val="20"/>
        </w:rPr>
      </w:pPr>
      <w:r w:rsidRPr="00187778">
        <w:rPr>
          <w:rFonts w:ascii="Times New Roman" w:hAnsi="Times New Roman" w:cs="Times New Roman"/>
          <w:b/>
          <w:sz w:val="18"/>
          <w:szCs w:val="20"/>
        </w:rPr>
        <w:t>Fuente: División de Tránsito Terrestre Policía Nacional Civil PNC</w:t>
      </w:r>
    </w:p>
    <w:p w14:paraId="4CFA9817" w14:textId="77777777" w:rsidR="00143031" w:rsidRPr="00187778" w:rsidRDefault="00143031" w:rsidP="00143031">
      <w:pPr>
        <w:spacing w:after="0" w:line="360" w:lineRule="auto"/>
        <w:jc w:val="center"/>
        <w:rPr>
          <w:rFonts w:ascii="Times New Roman" w:hAnsi="Times New Roman" w:cs="Times New Roman"/>
          <w:b/>
          <w:szCs w:val="24"/>
        </w:rPr>
      </w:pPr>
    </w:p>
    <w:p w14:paraId="26795A97" w14:textId="3326B262" w:rsidR="00B6724E" w:rsidRPr="00AA33EE" w:rsidRDefault="00D77F42" w:rsidP="00BF4C2E">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A pesar de los esfuerzo</w:t>
      </w:r>
      <w:r w:rsidR="009C3A9D" w:rsidRPr="00AA33EE">
        <w:rPr>
          <w:rFonts w:ascii="Times New Roman" w:hAnsi="Times New Roman" w:cs="Times New Roman"/>
          <w:sz w:val="24"/>
          <w:szCs w:val="24"/>
        </w:rPr>
        <w:t>s realizados durante el año 2016</w:t>
      </w:r>
      <w:r w:rsidRPr="00AA33EE">
        <w:rPr>
          <w:rFonts w:ascii="Times New Roman" w:hAnsi="Times New Roman" w:cs="Times New Roman"/>
          <w:sz w:val="24"/>
          <w:szCs w:val="24"/>
        </w:rPr>
        <w:t>, se requiere realizar campañas</w:t>
      </w:r>
      <w:r w:rsidR="00713F4B" w:rsidRPr="00AA33EE">
        <w:rPr>
          <w:rFonts w:ascii="Times New Roman" w:hAnsi="Times New Roman" w:cs="Times New Roman"/>
          <w:sz w:val="24"/>
          <w:szCs w:val="24"/>
        </w:rPr>
        <w:t xml:space="preserve"> </w:t>
      </w:r>
      <w:r w:rsidR="00187778">
        <w:rPr>
          <w:rFonts w:ascii="Times New Roman" w:hAnsi="Times New Roman" w:cs="Times New Roman"/>
          <w:sz w:val="24"/>
          <w:szCs w:val="24"/>
        </w:rPr>
        <w:t xml:space="preserve">dirigida </w:t>
      </w:r>
      <w:r w:rsidR="00713F4B" w:rsidRPr="00AA33EE">
        <w:rPr>
          <w:rFonts w:ascii="Times New Roman" w:hAnsi="Times New Roman" w:cs="Times New Roman"/>
          <w:sz w:val="24"/>
          <w:szCs w:val="24"/>
        </w:rPr>
        <w:t>a los diferentes usuarios de la vía, es decir conductores,</w:t>
      </w:r>
      <w:r w:rsidRPr="00AA33EE">
        <w:rPr>
          <w:rFonts w:ascii="Times New Roman" w:hAnsi="Times New Roman" w:cs="Times New Roman"/>
          <w:sz w:val="24"/>
          <w:szCs w:val="24"/>
        </w:rPr>
        <w:t xml:space="preserve"> motociclistas</w:t>
      </w:r>
      <w:r w:rsidR="00713F4B" w:rsidRPr="00AA33EE">
        <w:rPr>
          <w:rFonts w:ascii="Times New Roman" w:hAnsi="Times New Roman" w:cs="Times New Roman"/>
          <w:sz w:val="24"/>
          <w:szCs w:val="24"/>
        </w:rPr>
        <w:t xml:space="preserve">, ciclistas, pasajeros y </w:t>
      </w:r>
      <w:r w:rsidR="00B40463" w:rsidRPr="00AA33EE">
        <w:rPr>
          <w:rFonts w:ascii="Times New Roman" w:hAnsi="Times New Roman" w:cs="Times New Roman"/>
          <w:sz w:val="24"/>
          <w:szCs w:val="24"/>
        </w:rPr>
        <w:t>peatones</w:t>
      </w:r>
      <w:r w:rsidR="007B3E2B" w:rsidRPr="00AA33EE">
        <w:rPr>
          <w:rFonts w:ascii="Times New Roman" w:hAnsi="Times New Roman" w:cs="Times New Roman"/>
          <w:sz w:val="24"/>
          <w:szCs w:val="24"/>
        </w:rPr>
        <w:t xml:space="preserve">. Según </w:t>
      </w:r>
      <w:r w:rsidR="00C12999" w:rsidRPr="00AA33EE">
        <w:rPr>
          <w:rFonts w:ascii="Times New Roman" w:hAnsi="Times New Roman" w:cs="Times New Roman"/>
          <w:sz w:val="24"/>
          <w:szCs w:val="24"/>
        </w:rPr>
        <w:t xml:space="preserve"> datos estadísticos revelan que el tipo de siniestro que ocasionó el alza de fallecido</w:t>
      </w:r>
      <w:r w:rsidR="00E07A44" w:rsidRPr="00AA33EE">
        <w:rPr>
          <w:rFonts w:ascii="Times New Roman" w:hAnsi="Times New Roman" w:cs="Times New Roman"/>
          <w:sz w:val="24"/>
          <w:szCs w:val="24"/>
        </w:rPr>
        <w:t>s</w:t>
      </w:r>
      <w:r w:rsidR="00C12999" w:rsidRPr="00AA33EE">
        <w:rPr>
          <w:rFonts w:ascii="Times New Roman" w:hAnsi="Times New Roman" w:cs="Times New Roman"/>
          <w:sz w:val="24"/>
          <w:szCs w:val="24"/>
        </w:rPr>
        <w:t xml:space="preserve"> es</w:t>
      </w:r>
      <w:r w:rsidR="00E07A44" w:rsidRPr="00AA33EE">
        <w:rPr>
          <w:rFonts w:ascii="Times New Roman" w:hAnsi="Times New Roman" w:cs="Times New Roman"/>
          <w:sz w:val="24"/>
          <w:szCs w:val="24"/>
        </w:rPr>
        <w:t>tá identificado como</w:t>
      </w:r>
      <w:r w:rsidR="00143031" w:rsidRPr="00AA33EE">
        <w:rPr>
          <w:rFonts w:ascii="Times New Roman" w:hAnsi="Times New Roman" w:cs="Times New Roman"/>
          <w:sz w:val="24"/>
          <w:szCs w:val="24"/>
        </w:rPr>
        <w:t xml:space="preserve"> </w:t>
      </w:r>
      <w:r w:rsidR="007B3E2B" w:rsidRPr="00AA33EE">
        <w:rPr>
          <w:rFonts w:ascii="Times New Roman" w:hAnsi="Times New Roman" w:cs="Times New Roman"/>
          <w:sz w:val="24"/>
          <w:szCs w:val="24"/>
        </w:rPr>
        <w:t>ch</w:t>
      </w:r>
      <w:r w:rsidR="00C12999" w:rsidRPr="00AA33EE">
        <w:rPr>
          <w:rFonts w:ascii="Times New Roman" w:hAnsi="Times New Roman" w:cs="Times New Roman"/>
          <w:sz w:val="24"/>
          <w:szCs w:val="24"/>
        </w:rPr>
        <w:t>oque</w:t>
      </w:r>
      <w:r w:rsidR="00CF4170" w:rsidRPr="00AA33EE">
        <w:rPr>
          <w:rFonts w:ascii="Times New Roman" w:hAnsi="Times New Roman" w:cs="Times New Roman"/>
          <w:sz w:val="24"/>
          <w:szCs w:val="24"/>
        </w:rPr>
        <w:t>,</w:t>
      </w:r>
      <w:r w:rsidR="007B3E2B" w:rsidRPr="00AA33EE">
        <w:rPr>
          <w:rFonts w:ascii="Times New Roman" w:hAnsi="Times New Roman" w:cs="Times New Roman"/>
          <w:sz w:val="24"/>
          <w:szCs w:val="24"/>
        </w:rPr>
        <w:t xml:space="preserve"> que representa el 36.2% de aumento en </w:t>
      </w:r>
      <w:r w:rsidR="007B3E2B" w:rsidRPr="00AA33EE">
        <w:rPr>
          <w:rFonts w:ascii="Times New Roman" w:hAnsi="Times New Roman" w:cs="Times New Roman"/>
          <w:sz w:val="24"/>
          <w:szCs w:val="24"/>
        </w:rPr>
        <w:lastRenderedPageBreak/>
        <w:t>relación al año 2015 equivale</w:t>
      </w:r>
      <w:r w:rsidR="00CF4170" w:rsidRPr="00AA33EE">
        <w:rPr>
          <w:rFonts w:ascii="Times New Roman" w:hAnsi="Times New Roman" w:cs="Times New Roman"/>
          <w:sz w:val="24"/>
          <w:szCs w:val="24"/>
        </w:rPr>
        <w:t>nte</w:t>
      </w:r>
      <w:r w:rsidR="007B3E2B" w:rsidRPr="00AA33EE">
        <w:rPr>
          <w:rFonts w:ascii="Times New Roman" w:hAnsi="Times New Roman" w:cs="Times New Roman"/>
          <w:sz w:val="24"/>
          <w:szCs w:val="24"/>
        </w:rPr>
        <w:t xml:space="preserve"> a 50 fallecidos más</w:t>
      </w:r>
      <w:r w:rsidR="00B52563" w:rsidRPr="00AA33EE">
        <w:rPr>
          <w:rFonts w:ascii="Times New Roman" w:hAnsi="Times New Roman" w:cs="Times New Roman"/>
          <w:sz w:val="24"/>
          <w:szCs w:val="24"/>
        </w:rPr>
        <w:t xml:space="preserve">; </w:t>
      </w:r>
      <w:r w:rsidR="007B3E2B" w:rsidRPr="00AA33EE">
        <w:rPr>
          <w:rFonts w:ascii="Times New Roman" w:hAnsi="Times New Roman" w:cs="Times New Roman"/>
          <w:sz w:val="24"/>
          <w:szCs w:val="24"/>
        </w:rPr>
        <w:t xml:space="preserve"> </w:t>
      </w:r>
      <w:r w:rsidR="00B52563" w:rsidRPr="00AA33EE">
        <w:rPr>
          <w:rFonts w:ascii="Times New Roman" w:hAnsi="Times New Roman" w:cs="Times New Roman"/>
          <w:sz w:val="24"/>
          <w:szCs w:val="24"/>
        </w:rPr>
        <w:t xml:space="preserve">el segundo es </w:t>
      </w:r>
      <w:r w:rsidR="007B3E2B" w:rsidRPr="00AA33EE">
        <w:rPr>
          <w:rFonts w:ascii="Times New Roman" w:hAnsi="Times New Roman" w:cs="Times New Roman"/>
          <w:sz w:val="24"/>
          <w:szCs w:val="24"/>
        </w:rPr>
        <w:t>colisión</w:t>
      </w:r>
      <w:r w:rsidR="00CF4170" w:rsidRPr="00AA33EE">
        <w:rPr>
          <w:rFonts w:ascii="Times New Roman" w:hAnsi="Times New Roman" w:cs="Times New Roman"/>
          <w:sz w:val="24"/>
          <w:szCs w:val="24"/>
        </w:rPr>
        <w:t>,</w:t>
      </w:r>
      <w:r w:rsidR="007B3E2B" w:rsidRPr="00AA33EE">
        <w:rPr>
          <w:rFonts w:ascii="Times New Roman" w:hAnsi="Times New Roman" w:cs="Times New Roman"/>
          <w:sz w:val="24"/>
          <w:szCs w:val="24"/>
        </w:rPr>
        <w:t xml:space="preserve"> </w:t>
      </w:r>
      <w:r w:rsidR="00B52563" w:rsidRPr="00AA33EE">
        <w:rPr>
          <w:rFonts w:ascii="Times New Roman" w:hAnsi="Times New Roman" w:cs="Times New Roman"/>
          <w:sz w:val="24"/>
          <w:szCs w:val="24"/>
        </w:rPr>
        <w:t xml:space="preserve">que </w:t>
      </w:r>
      <w:r w:rsidR="00C12999" w:rsidRPr="00AA33EE">
        <w:rPr>
          <w:rFonts w:ascii="Times New Roman" w:hAnsi="Times New Roman" w:cs="Times New Roman"/>
          <w:sz w:val="24"/>
          <w:szCs w:val="24"/>
        </w:rPr>
        <w:t xml:space="preserve">representa </w:t>
      </w:r>
      <w:r w:rsidR="000D4C83" w:rsidRPr="00AA33EE">
        <w:rPr>
          <w:rFonts w:ascii="Times New Roman" w:hAnsi="Times New Roman" w:cs="Times New Roman"/>
          <w:sz w:val="24"/>
          <w:szCs w:val="24"/>
        </w:rPr>
        <w:t>un</w:t>
      </w:r>
      <w:r w:rsidR="00B52563" w:rsidRPr="00AA33EE">
        <w:rPr>
          <w:rFonts w:ascii="Times New Roman" w:hAnsi="Times New Roman" w:cs="Times New Roman"/>
          <w:sz w:val="24"/>
          <w:szCs w:val="24"/>
        </w:rPr>
        <w:t xml:space="preserve"> </w:t>
      </w:r>
      <w:r w:rsidR="00BB0CF6" w:rsidRPr="00AA33EE">
        <w:rPr>
          <w:rFonts w:ascii="Times New Roman" w:hAnsi="Times New Roman" w:cs="Times New Roman"/>
          <w:sz w:val="24"/>
          <w:szCs w:val="24"/>
        </w:rPr>
        <w:t xml:space="preserve">aumento </w:t>
      </w:r>
      <w:r w:rsidR="00B52563" w:rsidRPr="00AA33EE">
        <w:rPr>
          <w:rFonts w:ascii="Times New Roman" w:hAnsi="Times New Roman" w:cs="Times New Roman"/>
          <w:sz w:val="24"/>
          <w:szCs w:val="24"/>
        </w:rPr>
        <w:t>d</w:t>
      </w:r>
      <w:r w:rsidR="00BB0CF6" w:rsidRPr="00AA33EE">
        <w:rPr>
          <w:rFonts w:ascii="Times New Roman" w:hAnsi="Times New Roman" w:cs="Times New Roman"/>
          <w:sz w:val="24"/>
          <w:szCs w:val="24"/>
        </w:rPr>
        <w:t>el 5.5% en relación al año 2015, que equivale a 17</w:t>
      </w:r>
      <w:r w:rsidR="00AA3475" w:rsidRPr="00AA33EE">
        <w:rPr>
          <w:rFonts w:ascii="Times New Roman" w:hAnsi="Times New Roman" w:cs="Times New Roman"/>
          <w:sz w:val="24"/>
          <w:szCs w:val="24"/>
        </w:rPr>
        <w:t xml:space="preserve"> fallecidos más; </w:t>
      </w:r>
      <w:r w:rsidR="00BB0CF6" w:rsidRPr="00AA33EE">
        <w:rPr>
          <w:rFonts w:ascii="Times New Roman" w:hAnsi="Times New Roman" w:cs="Times New Roman"/>
          <w:sz w:val="24"/>
          <w:szCs w:val="24"/>
        </w:rPr>
        <w:t>y el tercero</w:t>
      </w:r>
      <w:r w:rsidR="00B52563" w:rsidRPr="00AA33EE">
        <w:rPr>
          <w:rFonts w:ascii="Times New Roman" w:hAnsi="Times New Roman" w:cs="Times New Roman"/>
          <w:sz w:val="24"/>
          <w:szCs w:val="24"/>
        </w:rPr>
        <w:t xml:space="preserve"> que es vuelco</w:t>
      </w:r>
      <w:r w:rsidR="000D4C83" w:rsidRPr="00AA33EE">
        <w:rPr>
          <w:rFonts w:ascii="Times New Roman" w:hAnsi="Times New Roman" w:cs="Times New Roman"/>
          <w:sz w:val="24"/>
          <w:szCs w:val="24"/>
        </w:rPr>
        <w:t>, que</w:t>
      </w:r>
      <w:r w:rsidR="00B52563" w:rsidRPr="00AA33EE">
        <w:rPr>
          <w:rFonts w:ascii="Times New Roman" w:hAnsi="Times New Roman" w:cs="Times New Roman"/>
          <w:sz w:val="24"/>
          <w:szCs w:val="24"/>
        </w:rPr>
        <w:t xml:space="preserve"> </w:t>
      </w:r>
      <w:r w:rsidR="00BB0CF6" w:rsidRPr="00AA33EE">
        <w:rPr>
          <w:rFonts w:ascii="Times New Roman" w:hAnsi="Times New Roman" w:cs="Times New Roman"/>
          <w:sz w:val="24"/>
          <w:szCs w:val="24"/>
        </w:rPr>
        <w:t xml:space="preserve"> representa el 17.5% de disminución  en relación al año 2015  equivale</w:t>
      </w:r>
      <w:r w:rsidR="000D4C83" w:rsidRPr="00AA33EE">
        <w:rPr>
          <w:rFonts w:ascii="Times New Roman" w:hAnsi="Times New Roman" w:cs="Times New Roman"/>
          <w:sz w:val="24"/>
          <w:szCs w:val="24"/>
        </w:rPr>
        <w:t>nte</w:t>
      </w:r>
      <w:r w:rsidR="00BB0CF6" w:rsidRPr="00AA33EE">
        <w:rPr>
          <w:rFonts w:ascii="Times New Roman" w:hAnsi="Times New Roman" w:cs="Times New Roman"/>
          <w:sz w:val="24"/>
          <w:szCs w:val="24"/>
        </w:rPr>
        <w:t xml:space="preserve"> a 11 fallecidos menos</w:t>
      </w:r>
      <w:r w:rsidR="00AA3475" w:rsidRPr="00AA33EE">
        <w:rPr>
          <w:rFonts w:ascii="Times New Roman" w:hAnsi="Times New Roman" w:cs="Times New Roman"/>
          <w:sz w:val="24"/>
          <w:szCs w:val="24"/>
        </w:rPr>
        <w:t>; en cuanto a los fallecidos por atropello</w:t>
      </w:r>
      <w:r w:rsidR="00BB0CF6" w:rsidRPr="00AA33EE">
        <w:rPr>
          <w:rFonts w:ascii="Times New Roman" w:hAnsi="Times New Roman" w:cs="Times New Roman"/>
          <w:sz w:val="24"/>
          <w:szCs w:val="24"/>
        </w:rPr>
        <w:t>, se obtuvo un aumento de 4</w:t>
      </w:r>
      <w:r w:rsidR="00AA3475" w:rsidRPr="00AA33EE">
        <w:rPr>
          <w:rFonts w:ascii="Times New Roman" w:hAnsi="Times New Roman" w:cs="Times New Roman"/>
          <w:sz w:val="24"/>
          <w:szCs w:val="24"/>
        </w:rPr>
        <w:t xml:space="preserve"> fallecidos  en </w:t>
      </w:r>
      <w:r w:rsidR="00BB0CF6" w:rsidRPr="00AA33EE">
        <w:rPr>
          <w:rFonts w:ascii="Times New Roman" w:hAnsi="Times New Roman" w:cs="Times New Roman"/>
          <w:sz w:val="24"/>
          <w:szCs w:val="24"/>
        </w:rPr>
        <w:t>relación al año 2015, lo que equivale a un 0.7% de aumento</w:t>
      </w:r>
      <w:r w:rsidR="00AA3475" w:rsidRPr="00AA33EE">
        <w:rPr>
          <w:rFonts w:ascii="Times New Roman" w:hAnsi="Times New Roman" w:cs="Times New Roman"/>
          <w:sz w:val="24"/>
          <w:szCs w:val="24"/>
        </w:rPr>
        <w:t>.</w:t>
      </w:r>
    </w:p>
    <w:p w14:paraId="18950968" w14:textId="77777777" w:rsidR="00BC0163" w:rsidRDefault="00BC0163" w:rsidP="00BF4C2E">
      <w:pPr>
        <w:spacing w:after="0" w:line="360" w:lineRule="auto"/>
        <w:jc w:val="both"/>
        <w:rPr>
          <w:rFonts w:ascii="Times New Roman" w:hAnsi="Times New Roman" w:cs="Times New Roman"/>
          <w:sz w:val="24"/>
          <w:szCs w:val="24"/>
        </w:rPr>
      </w:pPr>
    </w:p>
    <w:p w14:paraId="28969740" w14:textId="77777777" w:rsidR="00E07A44" w:rsidRPr="00AA33EE" w:rsidRDefault="002450FA" w:rsidP="00BF4C2E">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 xml:space="preserve">Se presenta grafico comparativo  registrado en los diferentes tipos de accidentes </w:t>
      </w:r>
      <w:r w:rsidR="00F47EAB" w:rsidRPr="00AA33EE">
        <w:rPr>
          <w:rFonts w:ascii="Times New Roman" w:hAnsi="Times New Roman" w:cs="Times New Roman"/>
          <w:sz w:val="24"/>
          <w:szCs w:val="24"/>
        </w:rPr>
        <w:t>en</w:t>
      </w:r>
      <w:r w:rsidR="000D4C83" w:rsidRPr="00AA33EE">
        <w:rPr>
          <w:rFonts w:ascii="Times New Roman" w:hAnsi="Times New Roman" w:cs="Times New Roman"/>
          <w:sz w:val="24"/>
          <w:szCs w:val="24"/>
        </w:rPr>
        <w:t>tre los años</w:t>
      </w:r>
      <w:r w:rsidR="00F47EAB" w:rsidRPr="00AA33EE">
        <w:rPr>
          <w:rFonts w:ascii="Times New Roman" w:hAnsi="Times New Roman" w:cs="Times New Roman"/>
          <w:sz w:val="24"/>
          <w:szCs w:val="24"/>
        </w:rPr>
        <w:t xml:space="preserve"> 2015</w:t>
      </w:r>
      <w:r w:rsidR="000D4C83" w:rsidRPr="00AA33EE">
        <w:rPr>
          <w:rFonts w:ascii="Times New Roman" w:hAnsi="Times New Roman" w:cs="Times New Roman"/>
          <w:sz w:val="24"/>
          <w:szCs w:val="24"/>
        </w:rPr>
        <w:t xml:space="preserve"> y</w:t>
      </w:r>
      <w:r w:rsidR="00073CE5" w:rsidRPr="00AA33EE">
        <w:rPr>
          <w:rFonts w:ascii="Times New Roman" w:hAnsi="Times New Roman" w:cs="Times New Roman"/>
          <w:sz w:val="24"/>
          <w:szCs w:val="24"/>
        </w:rPr>
        <w:t xml:space="preserve"> </w:t>
      </w:r>
      <w:r w:rsidR="00F47EAB" w:rsidRPr="00AA33EE">
        <w:rPr>
          <w:rFonts w:ascii="Times New Roman" w:hAnsi="Times New Roman" w:cs="Times New Roman"/>
          <w:sz w:val="24"/>
          <w:szCs w:val="24"/>
        </w:rPr>
        <w:t xml:space="preserve">2016, </w:t>
      </w:r>
      <w:r w:rsidRPr="00AA33EE">
        <w:rPr>
          <w:rFonts w:ascii="Times New Roman" w:hAnsi="Times New Roman" w:cs="Times New Roman"/>
          <w:sz w:val="24"/>
          <w:szCs w:val="24"/>
        </w:rPr>
        <w:t xml:space="preserve">que se detallaron en el párrafo </w:t>
      </w:r>
      <w:r w:rsidR="00F47EAB" w:rsidRPr="00AA33EE">
        <w:rPr>
          <w:rFonts w:ascii="Times New Roman" w:hAnsi="Times New Roman" w:cs="Times New Roman"/>
          <w:sz w:val="24"/>
          <w:szCs w:val="24"/>
        </w:rPr>
        <w:t>anterior:</w:t>
      </w:r>
    </w:p>
    <w:p w14:paraId="34353C21" w14:textId="77777777" w:rsidR="00E07A44" w:rsidRPr="00AA33EE" w:rsidRDefault="0084446E" w:rsidP="00BF4C2E">
      <w:pPr>
        <w:spacing w:after="0" w:line="360" w:lineRule="auto"/>
        <w:jc w:val="both"/>
        <w:rPr>
          <w:rFonts w:ascii="Times New Roman" w:hAnsi="Times New Roman" w:cs="Times New Roman"/>
          <w:sz w:val="24"/>
          <w:szCs w:val="24"/>
        </w:rPr>
      </w:pPr>
      <w:r w:rsidRPr="00AA33EE">
        <w:rPr>
          <w:rFonts w:ascii="Times New Roman" w:hAnsi="Times New Roman" w:cs="Times New Roman"/>
          <w:noProof/>
          <w:sz w:val="24"/>
          <w:szCs w:val="24"/>
        </w:rPr>
        <w:drawing>
          <wp:anchor distT="0" distB="0" distL="114300" distR="114300" simplePos="0" relativeHeight="251667456" behindDoc="0" locked="0" layoutInCell="1" allowOverlap="1" wp14:anchorId="0E44CFE1" wp14:editId="00E7A14A">
            <wp:simplePos x="0" y="0"/>
            <wp:positionH relativeFrom="column">
              <wp:posOffset>544749</wp:posOffset>
            </wp:positionH>
            <wp:positionV relativeFrom="paragraph">
              <wp:posOffset>204375</wp:posOffset>
            </wp:positionV>
            <wp:extent cx="4630124" cy="2872578"/>
            <wp:effectExtent l="0" t="0" r="18415" b="4445"/>
            <wp:wrapTopAndBottom/>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79509B92" w14:textId="3147BD14" w:rsidR="00143031" w:rsidRPr="001336E3" w:rsidRDefault="001336E3" w:rsidP="00143031">
      <w:pPr>
        <w:spacing w:after="0" w:line="360" w:lineRule="auto"/>
        <w:jc w:val="center"/>
        <w:rPr>
          <w:rFonts w:ascii="Times New Roman" w:hAnsi="Times New Roman" w:cs="Times New Roman"/>
          <w:b/>
          <w:sz w:val="20"/>
          <w:szCs w:val="20"/>
        </w:rPr>
      </w:pPr>
      <w:r w:rsidRPr="001336E3">
        <w:rPr>
          <w:rFonts w:ascii="Times New Roman" w:hAnsi="Times New Roman" w:cs="Times New Roman"/>
          <w:b/>
          <w:sz w:val="20"/>
          <w:szCs w:val="20"/>
        </w:rPr>
        <w:t>Gr</w:t>
      </w:r>
      <w:r>
        <w:rPr>
          <w:rFonts w:ascii="Times New Roman" w:hAnsi="Times New Roman" w:cs="Times New Roman"/>
          <w:b/>
          <w:sz w:val="20"/>
          <w:szCs w:val="20"/>
        </w:rPr>
        <w:t>á</w:t>
      </w:r>
      <w:r w:rsidRPr="001336E3">
        <w:rPr>
          <w:rFonts w:ascii="Times New Roman" w:hAnsi="Times New Roman" w:cs="Times New Roman"/>
          <w:b/>
          <w:sz w:val="20"/>
          <w:szCs w:val="20"/>
        </w:rPr>
        <w:t>fico</w:t>
      </w:r>
      <w:r w:rsidR="00143031" w:rsidRPr="001336E3">
        <w:rPr>
          <w:rFonts w:ascii="Times New Roman" w:hAnsi="Times New Roman" w:cs="Times New Roman"/>
          <w:b/>
          <w:sz w:val="20"/>
          <w:szCs w:val="20"/>
        </w:rPr>
        <w:t xml:space="preserve"> 3: Tipos de accidentes registrados entre el año 2015 y 2016.</w:t>
      </w:r>
    </w:p>
    <w:p w14:paraId="246D2B39" w14:textId="77777777" w:rsidR="00143031" w:rsidRPr="001336E3" w:rsidRDefault="00143031" w:rsidP="00143031">
      <w:pPr>
        <w:spacing w:after="0" w:line="360" w:lineRule="auto"/>
        <w:jc w:val="center"/>
        <w:rPr>
          <w:rFonts w:ascii="Times New Roman" w:hAnsi="Times New Roman" w:cs="Times New Roman"/>
          <w:b/>
          <w:sz w:val="20"/>
          <w:szCs w:val="20"/>
        </w:rPr>
      </w:pPr>
      <w:r w:rsidRPr="001336E3">
        <w:rPr>
          <w:rFonts w:ascii="Times New Roman" w:hAnsi="Times New Roman" w:cs="Times New Roman"/>
          <w:b/>
          <w:sz w:val="20"/>
          <w:szCs w:val="20"/>
        </w:rPr>
        <w:t>Fuente: División de Tránsito Terrestre Policía Nacional Civil PNC</w:t>
      </w:r>
    </w:p>
    <w:p w14:paraId="0B1FF4DD" w14:textId="77777777" w:rsidR="009849DF" w:rsidRPr="00AA33EE" w:rsidRDefault="009849DF" w:rsidP="009849DF">
      <w:pPr>
        <w:spacing w:after="0" w:line="240" w:lineRule="auto"/>
        <w:jc w:val="both"/>
        <w:rPr>
          <w:rFonts w:ascii="Times New Roman" w:hAnsi="Times New Roman" w:cs="Times New Roman"/>
          <w:sz w:val="24"/>
          <w:szCs w:val="24"/>
        </w:rPr>
      </w:pPr>
    </w:p>
    <w:p w14:paraId="00BDBA70" w14:textId="77777777" w:rsidR="001336E3" w:rsidRDefault="001336E3" w:rsidP="001336E3">
      <w:pPr>
        <w:spacing w:after="0" w:line="360" w:lineRule="auto"/>
        <w:jc w:val="both"/>
        <w:rPr>
          <w:rFonts w:ascii="Times New Roman" w:hAnsi="Times New Roman" w:cs="Times New Roman"/>
          <w:sz w:val="24"/>
          <w:szCs w:val="24"/>
        </w:rPr>
      </w:pPr>
    </w:p>
    <w:p w14:paraId="64017CE1" w14:textId="77777777" w:rsidR="00630BBA" w:rsidRDefault="00C13A01" w:rsidP="001336E3">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L</w:t>
      </w:r>
      <w:r w:rsidR="00615218" w:rsidRPr="00AA33EE">
        <w:rPr>
          <w:rFonts w:ascii="Times New Roman" w:hAnsi="Times New Roman" w:cs="Times New Roman"/>
          <w:sz w:val="24"/>
          <w:szCs w:val="24"/>
        </w:rPr>
        <w:t>as principales causas que</w:t>
      </w:r>
      <w:r w:rsidR="005020AA" w:rsidRPr="00AA33EE">
        <w:rPr>
          <w:rFonts w:ascii="Times New Roman" w:hAnsi="Times New Roman" w:cs="Times New Roman"/>
          <w:sz w:val="24"/>
          <w:szCs w:val="24"/>
        </w:rPr>
        <w:t xml:space="preserve"> se detallan a continuación en el siguiente gráfico</w:t>
      </w:r>
      <w:r w:rsidRPr="00AA33EE">
        <w:rPr>
          <w:rFonts w:ascii="Times New Roman" w:hAnsi="Times New Roman" w:cs="Times New Roman"/>
          <w:sz w:val="24"/>
          <w:szCs w:val="24"/>
        </w:rPr>
        <w:t>, representan el mayor número de accidentes de tránsito registrados en el periodo del 01 de enero al 31 de diciembre de 2016</w:t>
      </w:r>
      <w:r w:rsidR="009674A5" w:rsidRPr="00AA33EE">
        <w:rPr>
          <w:rFonts w:ascii="Times New Roman" w:hAnsi="Times New Roman" w:cs="Times New Roman"/>
          <w:sz w:val="24"/>
          <w:szCs w:val="24"/>
        </w:rPr>
        <w:t xml:space="preserve"> en comparativo con el 2015</w:t>
      </w:r>
      <w:r w:rsidR="00A50CDE" w:rsidRPr="00AA33EE">
        <w:rPr>
          <w:rFonts w:ascii="Times New Roman" w:hAnsi="Times New Roman" w:cs="Times New Roman"/>
          <w:sz w:val="24"/>
          <w:szCs w:val="24"/>
        </w:rPr>
        <w:t>:</w:t>
      </w:r>
      <w:r w:rsidR="00077CD6" w:rsidRPr="00AA33EE">
        <w:rPr>
          <w:rFonts w:ascii="Times New Roman" w:hAnsi="Times New Roman" w:cs="Times New Roman"/>
          <w:sz w:val="24"/>
          <w:szCs w:val="24"/>
        </w:rPr>
        <w:t xml:space="preserve"> </w:t>
      </w:r>
    </w:p>
    <w:p w14:paraId="06894599" w14:textId="70A6A952" w:rsidR="009849DF" w:rsidRPr="001336E3" w:rsidRDefault="009674A5" w:rsidP="001336E3">
      <w:pPr>
        <w:spacing w:after="0" w:line="360" w:lineRule="auto"/>
        <w:jc w:val="center"/>
        <w:rPr>
          <w:rFonts w:ascii="Times New Roman" w:hAnsi="Times New Roman" w:cs="Times New Roman"/>
          <w:b/>
          <w:sz w:val="20"/>
          <w:szCs w:val="20"/>
        </w:rPr>
      </w:pPr>
      <w:r w:rsidRPr="001336E3">
        <w:rPr>
          <w:rFonts w:ascii="Times New Roman" w:hAnsi="Times New Roman" w:cs="Times New Roman"/>
          <w:b/>
          <w:noProof/>
          <w:sz w:val="24"/>
          <w:szCs w:val="24"/>
        </w:rPr>
        <w:lastRenderedPageBreak/>
        <w:drawing>
          <wp:anchor distT="0" distB="0" distL="114300" distR="114300" simplePos="0" relativeHeight="251688960" behindDoc="0" locked="0" layoutInCell="1" allowOverlap="1" wp14:anchorId="2921C7D4" wp14:editId="32FE4C08">
            <wp:simplePos x="0" y="0"/>
            <wp:positionH relativeFrom="margin">
              <wp:align>right</wp:align>
            </wp:positionH>
            <wp:positionV relativeFrom="paragraph">
              <wp:posOffset>0</wp:posOffset>
            </wp:positionV>
            <wp:extent cx="5486400" cy="3200400"/>
            <wp:effectExtent l="0" t="0" r="0" b="0"/>
            <wp:wrapSquare wrapText="bothSides"/>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1336E3" w:rsidRPr="001336E3">
        <w:rPr>
          <w:rFonts w:ascii="Times New Roman" w:hAnsi="Times New Roman" w:cs="Times New Roman"/>
          <w:b/>
          <w:sz w:val="20"/>
          <w:szCs w:val="20"/>
        </w:rPr>
        <w:t xml:space="preserve"> Gr</w:t>
      </w:r>
      <w:r w:rsidR="001336E3">
        <w:rPr>
          <w:rFonts w:ascii="Times New Roman" w:hAnsi="Times New Roman" w:cs="Times New Roman"/>
          <w:b/>
          <w:sz w:val="20"/>
          <w:szCs w:val="20"/>
        </w:rPr>
        <w:t>á</w:t>
      </w:r>
      <w:r w:rsidR="001336E3" w:rsidRPr="001336E3">
        <w:rPr>
          <w:rFonts w:ascii="Times New Roman" w:hAnsi="Times New Roman" w:cs="Times New Roman"/>
          <w:b/>
          <w:sz w:val="20"/>
          <w:szCs w:val="20"/>
        </w:rPr>
        <w:t>fico</w:t>
      </w:r>
      <w:r w:rsidR="009849DF" w:rsidRPr="001336E3">
        <w:rPr>
          <w:rFonts w:ascii="Times New Roman" w:hAnsi="Times New Roman" w:cs="Times New Roman"/>
          <w:b/>
          <w:sz w:val="20"/>
          <w:szCs w:val="20"/>
        </w:rPr>
        <w:t xml:space="preserve"> 4: Causas de accidentes registrados entre el año 2015 y 2016.</w:t>
      </w:r>
    </w:p>
    <w:p w14:paraId="5B3FA3AC" w14:textId="77777777" w:rsidR="009849DF" w:rsidRPr="001336E3" w:rsidRDefault="009849DF" w:rsidP="009849DF">
      <w:pPr>
        <w:spacing w:after="0" w:line="360" w:lineRule="auto"/>
        <w:jc w:val="center"/>
        <w:rPr>
          <w:rFonts w:ascii="Times New Roman" w:hAnsi="Times New Roman" w:cs="Times New Roman"/>
          <w:b/>
          <w:sz w:val="20"/>
          <w:szCs w:val="20"/>
        </w:rPr>
      </w:pPr>
      <w:r w:rsidRPr="001336E3">
        <w:rPr>
          <w:rFonts w:ascii="Times New Roman" w:hAnsi="Times New Roman" w:cs="Times New Roman"/>
          <w:b/>
          <w:sz w:val="20"/>
          <w:szCs w:val="20"/>
        </w:rPr>
        <w:t>Fuente: División de Tránsito Terrestre Policía Nacional Civil PNC</w:t>
      </w:r>
    </w:p>
    <w:p w14:paraId="3376D3F4" w14:textId="77777777" w:rsidR="00BC0163" w:rsidRDefault="00BC0163" w:rsidP="009849DF">
      <w:pPr>
        <w:spacing w:after="0" w:line="360" w:lineRule="auto"/>
        <w:jc w:val="both"/>
        <w:rPr>
          <w:rFonts w:ascii="Times New Roman" w:hAnsi="Times New Roman" w:cs="Times New Roman"/>
          <w:sz w:val="24"/>
          <w:szCs w:val="24"/>
        </w:rPr>
      </w:pPr>
    </w:p>
    <w:p w14:paraId="70AE02A4" w14:textId="2EC75AA3" w:rsidR="00EC06A3" w:rsidRPr="00AA33EE" w:rsidRDefault="009849DF" w:rsidP="009849DF">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 xml:space="preserve"> </w:t>
      </w:r>
      <w:r w:rsidR="009674A5" w:rsidRPr="00AA33EE">
        <w:rPr>
          <w:rFonts w:ascii="Times New Roman" w:hAnsi="Times New Roman" w:cs="Times New Roman"/>
          <w:sz w:val="24"/>
          <w:szCs w:val="24"/>
        </w:rPr>
        <w:t>Se puede observar en el grafico</w:t>
      </w:r>
      <w:r w:rsidR="00BB3218">
        <w:rPr>
          <w:rFonts w:ascii="Times New Roman" w:hAnsi="Times New Roman" w:cs="Times New Roman"/>
          <w:sz w:val="24"/>
          <w:szCs w:val="24"/>
        </w:rPr>
        <w:t xml:space="preserve"> anterior</w:t>
      </w:r>
      <w:r w:rsidR="009674A5" w:rsidRPr="00AA33EE">
        <w:rPr>
          <w:rFonts w:ascii="Times New Roman" w:hAnsi="Times New Roman" w:cs="Times New Roman"/>
          <w:sz w:val="24"/>
          <w:szCs w:val="24"/>
        </w:rPr>
        <w:t xml:space="preserve"> que la velocidad inadecuada fue la causa que más aumento tuvo</w:t>
      </w:r>
      <w:r w:rsidR="00CF1762" w:rsidRPr="00AA33EE">
        <w:rPr>
          <w:rFonts w:ascii="Times New Roman" w:hAnsi="Times New Roman" w:cs="Times New Roman"/>
          <w:sz w:val="24"/>
          <w:szCs w:val="24"/>
        </w:rPr>
        <w:t>,</w:t>
      </w:r>
      <w:r w:rsidR="009674A5" w:rsidRPr="00AA33EE">
        <w:rPr>
          <w:rFonts w:ascii="Times New Roman" w:hAnsi="Times New Roman" w:cs="Times New Roman"/>
          <w:sz w:val="24"/>
          <w:szCs w:val="24"/>
        </w:rPr>
        <w:t xml:space="preserve"> con un 15.50 % equivalente a 193 accidentes más que en el año 2015; y la causa que tuvo una disminución más significativa fue el </w:t>
      </w:r>
      <w:r w:rsidR="00BB3218">
        <w:rPr>
          <w:rFonts w:ascii="Times New Roman" w:hAnsi="Times New Roman" w:cs="Times New Roman"/>
          <w:sz w:val="24"/>
          <w:szCs w:val="24"/>
        </w:rPr>
        <w:t xml:space="preserve">conducir en </w:t>
      </w:r>
      <w:r w:rsidR="009674A5" w:rsidRPr="00AA33EE">
        <w:rPr>
          <w:rFonts w:ascii="Times New Roman" w:hAnsi="Times New Roman" w:cs="Times New Roman"/>
          <w:sz w:val="24"/>
          <w:szCs w:val="24"/>
        </w:rPr>
        <w:t>estado de ebriedad con un -21%</w:t>
      </w:r>
      <w:r w:rsidR="00BB3218">
        <w:rPr>
          <w:rFonts w:ascii="Times New Roman" w:hAnsi="Times New Roman" w:cs="Times New Roman"/>
          <w:sz w:val="24"/>
          <w:szCs w:val="24"/>
        </w:rPr>
        <w:t xml:space="preserve"> </w:t>
      </w:r>
      <w:r w:rsidR="009674A5" w:rsidRPr="00AA33EE">
        <w:rPr>
          <w:rFonts w:ascii="Times New Roman" w:hAnsi="Times New Roman" w:cs="Times New Roman"/>
          <w:sz w:val="24"/>
          <w:szCs w:val="24"/>
        </w:rPr>
        <w:t xml:space="preserve"> equivalente a 122 accidentes menos que en el año 2105</w:t>
      </w:r>
      <w:r w:rsidR="00BB3218">
        <w:rPr>
          <w:rFonts w:ascii="Times New Roman" w:hAnsi="Times New Roman" w:cs="Times New Roman"/>
          <w:sz w:val="24"/>
          <w:szCs w:val="24"/>
        </w:rPr>
        <w:t>.</w:t>
      </w:r>
    </w:p>
    <w:p w14:paraId="5EA846F6" w14:textId="77777777" w:rsidR="00D951C7" w:rsidRPr="00AA33EE" w:rsidRDefault="00D951C7" w:rsidP="00BF4C2E">
      <w:pPr>
        <w:spacing w:after="0" w:line="360" w:lineRule="auto"/>
        <w:jc w:val="both"/>
        <w:rPr>
          <w:rFonts w:ascii="Times New Roman" w:hAnsi="Times New Roman" w:cs="Times New Roman"/>
          <w:sz w:val="24"/>
          <w:szCs w:val="24"/>
        </w:rPr>
      </w:pPr>
    </w:p>
    <w:p w14:paraId="78B72F18" w14:textId="4AE0D7E5" w:rsidR="009762A1" w:rsidRPr="00AA33EE" w:rsidRDefault="004C7E77" w:rsidP="00BB3218">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 xml:space="preserve">El total de fallecidos en el año 2016 </w:t>
      </w:r>
      <w:r w:rsidR="006B3484" w:rsidRPr="00AA33EE">
        <w:rPr>
          <w:rFonts w:ascii="Times New Roman" w:hAnsi="Times New Roman" w:cs="Times New Roman"/>
          <w:sz w:val="24"/>
          <w:szCs w:val="24"/>
        </w:rPr>
        <w:t>fue</w:t>
      </w:r>
      <w:r w:rsidRPr="00AA33EE">
        <w:rPr>
          <w:rFonts w:ascii="Times New Roman" w:hAnsi="Times New Roman" w:cs="Times New Roman"/>
          <w:sz w:val="24"/>
          <w:szCs w:val="24"/>
        </w:rPr>
        <w:t xml:space="preserve"> 1,205</w:t>
      </w:r>
      <w:r w:rsidR="00CF1762" w:rsidRPr="00AA33EE">
        <w:rPr>
          <w:rFonts w:ascii="Times New Roman" w:hAnsi="Times New Roman" w:cs="Times New Roman"/>
          <w:sz w:val="24"/>
          <w:szCs w:val="24"/>
        </w:rPr>
        <w:t xml:space="preserve"> en comparación con el año 2015 que fue 1149 </w:t>
      </w:r>
      <w:r w:rsidR="006B3484" w:rsidRPr="00AA33EE">
        <w:rPr>
          <w:rFonts w:ascii="Times New Roman" w:hAnsi="Times New Roman" w:cs="Times New Roman"/>
          <w:sz w:val="24"/>
          <w:szCs w:val="24"/>
        </w:rPr>
        <w:t>refleja</w:t>
      </w:r>
      <w:r w:rsidR="00CF1762" w:rsidRPr="00AA33EE">
        <w:rPr>
          <w:rFonts w:ascii="Times New Roman" w:hAnsi="Times New Roman" w:cs="Times New Roman"/>
          <w:sz w:val="24"/>
          <w:szCs w:val="24"/>
        </w:rPr>
        <w:t xml:space="preserve"> un aumento del  4.6% equivalente a </w:t>
      </w:r>
      <w:r w:rsidRPr="00AA33EE">
        <w:rPr>
          <w:rFonts w:ascii="Times New Roman" w:hAnsi="Times New Roman" w:cs="Times New Roman"/>
          <w:sz w:val="24"/>
          <w:szCs w:val="24"/>
        </w:rPr>
        <w:t xml:space="preserve"> </w:t>
      </w:r>
      <w:r w:rsidR="00CF1762" w:rsidRPr="00AA33EE">
        <w:rPr>
          <w:rFonts w:ascii="Times New Roman" w:hAnsi="Times New Roman" w:cs="Times New Roman"/>
          <w:sz w:val="24"/>
          <w:szCs w:val="24"/>
        </w:rPr>
        <w:t xml:space="preserve">56 fallecidos. </w:t>
      </w:r>
    </w:p>
    <w:p w14:paraId="30ECEF04" w14:textId="77777777" w:rsidR="00BB3218" w:rsidRDefault="00BB3218" w:rsidP="00BB3218">
      <w:pPr>
        <w:spacing w:after="0" w:line="360" w:lineRule="auto"/>
        <w:jc w:val="both"/>
        <w:rPr>
          <w:rFonts w:ascii="Times New Roman" w:hAnsi="Times New Roman" w:cs="Times New Roman"/>
          <w:sz w:val="24"/>
          <w:szCs w:val="24"/>
        </w:rPr>
      </w:pPr>
    </w:p>
    <w:p w14:paraId="2696A2DB" w14:textId="77777777" w:rsidR="00CF1762" w:rsidRPr="00AA33EE" w:rsidRDefault="004C7E77" w:rsidP="00BB3218">
      <w:pPr>
        <w:spacing w:after="0" w:line="360" w:lineRule="auto"/>
        <w:jc w:val="both"/>
        <w:rPr>
          <w:rFonts w:ascii="Times New Roman" w:hAnsi="Times New Roman" w:cs="Times New Roman"/>
          <w:sz w:val="24"/>
          <w:szCs w:val="24"/>
        </w:rPr>
      </w:pPr>
      <w:r w:rsidRPr="00AA33EE">
        <w:rPr>
          <w:rFonts w:ascii="Times New Roman" w:hAnsi="Times New Roman" w:cs="Times New Roman"/>
          <w:sz w:val="24"/>
          <w:szCs w:val="24"/>
        </w:rPr>
        <w:t>En el cuadro</w:t>
      </w:r>
      <w:r w:rsidR="00630BBA" w:rsidRPr="00AA33EE">
        <w:rPr>
          <w:rFonts w:ascii="Times New Roman" w:hAnsi="Times New Roman" w:cs="Times New Roman"/>
          <w:sz w:val="24"/>
          <w:szCs w:val="24"/>
        </w:rPr>
        <w:t xml:space="preserve"> 2</w:t>
      </w:r>
      <w:r w:rsidRPr="00AA33EE">
        <w:rPr>
          <w:rFonts w:ascii="Times New Roman" w:hAnsi="Times New Roman" w:cs="Times New Roman"/>
          <w:sz w:val="24"/>
          <w:szCs w:val="24"/>
        </w:rPr>
        <w:t xml:space="preserve"> que se detalla a </w:t>
      </w:r>
      <w:r w:rsidR="0055636C" w:rsidRPr="00AA33EE">
        <w:rPr>
          <w:rFonts w:ascii="Times New Roman" w:hAnsi="Times New Roman" w:cs="Times New Roman"/>
          <w:sz w:val="24"/>
          <w:szCs w:val="24"/>
        </w:rPr>
        <w:t>continuación</w:t>
      </w:r>
      <w:r w:rsidRPr="00AA33EE">
        <w:rPr>
          <w:rFonts w:ascii="Times New Roman" w:hAnsi="Times New Roman" w:cs="Times New Roman"/>
          <w:sz w:val="24"/>
          <w:szCs w:val="24"/>
        </w:rPr>
        <w:t xml:space="preserve"> se presentan las 6 causas con mayor número de</w:t>
      </w:r>
      <w:r w:rsidR="006B3484" w:rsidRPr="00AA33EE">
        <w:rPr>
          <w:rFonts w:ascii="Times New Roman" w:hAnsi="Times New Roman" w:cs="Times New Roman"/>
          <w:sz w:val="24"/>
          <w:szCs w:val="24"/>
        </w:rPr>
        <w:t xml:space="preserve"> fallecidos</w:t>
      </w:r>
      <w:r w:rsidR="00CF1762" w:rsidRPr="00AA33EE">
        <w:rPr>
          <w:rFonts w:ascii="Times New Roman" w:hAnsi="Times New Roman" w:cs="Times New Roman"/>
          <w:sz w:val="24"/>
          <w:szCs w:val="24"/>
        </w:rPr>
        <w:t xml:space="preserve"> del 1 de enero al 31 de diciembre de 2016</w:t>
      </w:r>
      <w:r w:rsidRPr="00AA33EE">
        <w:rPr>
          <w:rFonts w:ascii="Times New Roman" w:hAnsi="Times New Roman" w:cs="Times New Roman"/>
          <w:sz w:val="24"/>
          <w:szCs w:val="24"/>
        </w:rPr>
        <w:t xml:space="preserve">: </w:t>
      </w:r>
    </w:p>
    <w:p w14:paraId="7BF27E33" w14:textId="77777777" w:rsidR="00355556" w:rsidRPr="00AA33EE" w:rsidRDefault="00355556" w:rsidP="00BF4C2E">
      <w:pPr>
        <w:spacing w:after="0" w:line="360" w:lineRule="auto"/>
        <w:jc w:val="both"/>
        <w:rPr>
          <w:rFonts w:ascii="Times New Roman" w:hAnsi="Times New Roman" w:cs="Times New Roman"/>
          <w:sz w:val="24"/>
          <w:szCs w:val="24"/>
        </w:rPr>
      </w:pPr>
    </w:p>
    <w:p w14:paraId="20E07825" w14:textId="77777777" w:rsidR="00355556" w:rsidRPr="00AA33EE" w:rsidRDefault="00355556" w:rsidP="00BF4C2E">
      <w:pPr>
        <w:spacing w:after="0" w:line="360" w:lineRule="auto"/>
        <w:jc w:val="both"/>
        <w:rPr>
          <w:rFonts w:ascii="Times New Roman" w:hAnsi="Times New Roman" w:cs="Times New Roman"/>
          <w:sz w:val="24"/>
          <w:szCs w:val="24"/>
        </w:rPr>
      </w:pPr>
    </w:p>
    <w:p w14:paraId="5E6DE29B" w14:textId="77777777" w:rsidR="00355556" w:rsidRPr="00AA33EE" w:rsidRDefault="00355556" w:rsidP="00BF4C2E">
      <w:pPr>
        <w:spacing w:after="0" w:line="360" w:lineRule="auto"/>
        <w:jc w:val="both"/>
        <w:rPr>
          <w:rFonts w:ascii="Times New Roman" w:hAnsi="Times New Roman" w:cs="Times New Roman"/>
          <w:sz w:val="24"/>
          <w:szCs w:val="24"/>
        </w:rPr>
      </w:pPr>
    </w:p>
    <w:p w14:paraId="389B32DE" w14:textId="77777777" w:rsidR="00355556" w:rsidRPr="00AA33EE" w:rsidRDefault="00355556" w:rsidP="00BF4C2E">
      <w:pPr>
        <w:spacing w:after="0" w:line="360" w:lineRule="auto"/>
        <w:jc w:val="both"/>
        <w:rPr>
          <w:rFonts w:ascii="Times New Roman" w:hAnsi="Times New Roman" w:cs="Times New Roman"/>
          <w:sz w:val="24"/>
          <w:szCs w:val="24"/>
        </w:rPr>
      </w:pPr>
    </w:p>
    <w:p w14:paraId="34FB5154" w14:textId="77777777" w:rsidR="009849DF" w:rsidRPr="00AA33EE" w:rsidRDefault="009849DF" w:rsidP="00BF4C2E">
      <w:pPr>
        <w:spacing w:after="0" w:line="360" w:lineRule="auto"/>
        <w:jc w:val="both"/>
        <w:rPr>
          <w:rFonts w:ascii="Times New Roman" w:hAnsi="Times New Roman" w:cs="Times New Roman"/>
          <w:sz w:val="24"/>
          <w:szCs w:val="24"/>
        </w:rPr>
      </w:pPr>
    </w:p>
    <w:p w14:paraId="286BE5D3" w14:textId="77777777" w:rsidR="009849DF" w:rsidRPr="00AA33EE" w:rsidRDefault="009849DF" w:rsidP="00BF4C2E">
      <w:pPr>
        <w:spacing w:after="0" w:line="360" w:lineRule="auto"/>
        <w:jc w:val="both"/>
        <w:rPr>
          <w:rFonts w:ascii="Times New Roman" w:hAnsi="Times New Roman" w:cs="Times New Roman"/>
          <w:sz w:val="24"/>
          <w:szCs w:val="24"/>
        </w:rPr>
      </w:pPr>
    </w:p>
    <w:p w14:paraId="4E5C8F1E" w14:textId="77777777" w:rsidR="00355556" w:rsidRPr="00AA33EE" w:rsidRDefault="00355556" w:rsidP="00BF4C2E">
      <w:pPr>
        <w:spacing w:after="0" w:line="360" w:lineRule="auto"/>
        <w:jc w:val="both"/>
        <w:rPr>
          <w:rFonts w:ascii="Times New Roman" w:hAnsi="Times New Roman" w:cs="Times New Roman"/>
          <w:sz w:val="24"/>
          <w:szCs w:val="24"/>
        </w:rPr>
      </w:pPr>
    </w:p>
    <w:tbl>
      <w:tblPr>
        <w:tblpPr w:leftFromText="141" w:rightFromText="141" w:vertAnchor="text" w:horzAnchor="margin" w:tblpXSpec="center" w:tblpY="93"/>
        <w:tblW w:w="6957" w:type="dxa"/>
        <w:tblCellMar>
          <w:left w:w="70" w:type="dxa"/>
          <w:right w:w="70" w:type="dxa"/>
        </w:tblCellMar>
        <w:tblLook w:val="04A0" w:firstRow="1" w:lastRow="0" w:firstColumn="1" w:lastColumn="0" w:noHBand="0" w:noVBand="1"/>
      </w:tblPr>
      <w:tblGrid>
        <w:gridCol w:w="687"/>
        <w:gridCol w:w="4756"/>
        <w:gridCol w:w="1514"/>
      </w:tblGrid>
      <w:tr w:rsidR="00355556" w:rsidRPr="00AA33EE" w14:paraId="03C43EAF" w14:textId="77777777" w:rsidTr="009B36DC">
        <w:trPr>
          <w:trHeight w:val="267"/>
        </w:trPr>
        <w:tc>
          <w:tcPr>
            <w:tcW w:w="6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FEB45F8"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 </w:t>
            </w:r>
          </w:p>
        </w:tc>
        <w:tc>
          <w:tcPr>
            <w:tcW w:w="4756"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14:paraId="0FE80D4B"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CAUSAS DE FALLECIDOS</w:t>
            </w:r>
          </w:p>
        </w:tc>
        <w:tc>
          <w:tcPr>
            <w:tcW w:w="1514"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452B3B0"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 </w:t>
            </w:r>
            <w:r w:rsidRPr="00AA33EE">
              <w:rPr>
                <w:rFonts w:ascii="Times New Roman" w:eastAsia="Times New Roman" w:hAnsi="Times New Roman" w:cs="Times New Roman"/>
                <w:b/>
                <w:sz w:val="24"/>
                <w:szCs w:val="24"/>
              </w:rPr>
              <w:t>CANTIDAD</w:t>
            </w:r>
          </w:p>
        </w:tc>
      </w:tr>
      <w:tr w:rsidR="00355556" w:rsidRPr="00AA33EE" w14:paraId="1465B3D5"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AA56797"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1ª</w:t>
            </w:r>
          </w:p>
        </w:tc>
        <w:tc>
          <w:tcPr>
            <w:tcW w:w="4756" w:type="dxa"/>
            <w:tcBorders>
              <w:top w:val="nil"/>
              <w:left w:val="nil"/>
              <w:bottom w:val="single" w:sz="4" w:space="0" w:color="auto"/>
              <w:right w:val="single" w:sz="4" w:space="0" w:color="auto"/>
            </w:tcBorders>
            <w:shd w:val="clear" w:color="auto" w:fill="auto"/>
            <w:noWrap/>
            <w:vAlign w:val="bottom"/>
            <w:hideMark/>
          </w:tcPr>
          <w:p w14:paraId="5683BF2E"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DISTRACCION DEL CONDUCTOR</w:t>
            </w:r>
          </w:p>
        </w:tc>
        <w:tc>
          <w:tcPr>
            <w:tcW w:w="1514" w:type="dxa"/>
            <w:tcBorders>
              <w:top w:val="nil"/>
              <w:left w:val="nil"/>
              <w:bottom w:val="single" w:sz="4" w:space="0" w:color="auto"/>
              <w:right w:val="single" w:sz="4" w:space="0" w:color="auto"/>
            </w:tcBorders>
            <w:shd w:val="clear" w:color="auto" w:fill="auto"/>
            <w:noWrap/>
            <w:vAlign w:val="bottom"/>
            <w:hideMark/>
          </w:tcPr>
          <w:p w14:paraId="174A31D0"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402</w:t>
            </w:r>
          </w:p>
        </w:tc>
      </w:tr>
      <w:tr w:rsidR="00355556" w:rsidRPr="00AA33EE" w14:paraId="5725473D"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CB0BFDB"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2ª</w:t>
            </w:r>
          </w:p>
        </w:tc>
        <w:tc>
          <w:tcPr>
            <w:tcW w:w="4756" w:type="dxa"/>
            <w:tcBorders>
              <w:top w:val="nil"/>
              <w:left w:val="nil"/>
              <w:bottom w:val="single" w:sz="4" w:space="0" w:color="auto"/>
              <w:right w:val="single" w:sz="4" w:space="0" w:color="auto"/>
            </w:tcBorders>
            <w:shd w:val="clear" w:color="auto" w:fill="auto"/>
            <w:noWrap/>
            <w:vAlign w:val="bottom"/>
            <w:hideMark/>
          </w:tcPr>
          <w:p w14:paraId="43BD075B"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 xml:space="preserve">VELOCIDAD INADECUADA </w:t>
            </w:r>
          </w:p>
        </w:tc>
        <w:tc>
          <w:tcPr>
            <w:tcW w:w="1514" w:type="dxa"/>
            <w:tcBorders>
              <w:top w:val="nil"/>
              <w:left w:val="nil"/>
              <w:bottom w:val="single" w:sz="4" w:space="0" w:color="auto"/>
              <w:right w:val="single" w:sz="4" w:space="0" w:color="auto"/>
            </w:tcBorders>
            <w:shd w:val="clear" w:color="auto" w:fill="auto"/>
            <w:noWrap/>
            <w:vAlign w:val="bottom"/>
            <w:hideMark/>
          </w:tcPr>
          <w:p w14:paraId="45CFFCE2"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331</w:t>
            </w:r>
          </w:p>
        </w:tc>
      </w:tr>
      <w:tr w:rsidR="00355556" w:rsidRPr="00AA33EE" w14:paraId="765BC1AF"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4C2AC088"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3ª</w:t>
            </w:r>
          </w:p>
        </w:tc>
        <w:tc>
          <w:tcPr>
            <w:tcW w:w="4756" w:type="dxa"/>
            <w:tcBorders>
              <w:top w:val="nil"/>
              <w:left w:val="nil"/>
              <w:bottom w:val="single" w:sz="4" w:space="0" w:color="auto"/>
              <w:right w:val="single" w:sz="4" w:space="0" w:color="auto"/>
            </w:tcBorders>
            <w:shd w:val="clear" w:color="auto" w:fill="auto"/>
            <w:noWrap/>
            <w:vAlign w:val="bottom"/>
            <w:hideMark/>
          </w:tcPr>
          <w:p w14:paraId="1F29054A"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INVADIR CARRIL</w:t>
            </w:r>
          </w:p>
        </w:tc>
        <w:tc>
          <w:tcPr>
            <w:tcW w:w="1514" w:type="dxa"/>
            <w:tcBorders>
              <w:top w:val="nil"/>
              <w:left w:val="nil"/>
              <w:bottom w:val="single" w:sz="4" w:space="0" w:color="auto"/>
              <w:right w:val="single" w:sz="4" w:space="0" w:color="auto"/>
            </w:tcBorders>
            <w:shd w:val="clear" w:color="auto" w:fill="auto"/>
            <w:noWrap/>
            <w:vAlign w:val="bottom"/>
            <w:hideMark/>
          </w:tcPr>
          <w:p w14:paraId="03BCA03C"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111</w:t>
            </w:r>
          </w:p>
        </w:tc>
      </w:tr>
      <w:tr w:rsidR="00355556" w:rsidRPr="00AA33EE" w14:paraId="081B2A08"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39225701"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4ª</w:t>
            </w:r>
          </w:p>
        </w:tc>
        <w:tc>
          <w:tcPr>
            <w:tcW w:w="4756" w:type="dxa"/>
            <w:tcBorders>
              <w:top w:val="nil"/>
              <w:left w:val="nil"/>
              <w:bottom w:val="single" w:sz="4" w:space="0" w:color="auto"/>
              <w:right w:val="single" w:sz="4" w:space="0" w:color="auto"/>
            </w:tcBorders>
            <w:shd w:val="clear" w:color="auto" w:fill="auto"/>
            <w:noWrap/>
            <w:vAlign w:val="bottom"/>
            <w:hideMark/>
          </w:tcPr>
          <w:p w14:paraId="757081B9"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IMPRUDENCIA DEL PEATON</w:t>
            </w:r>
          </w:p>
        </w:tc>
        <w:tc>
          <w:tcPr>
            <w:tcW w:w="1514" w:type="dxa"/>
            <w:tcBorders>
              <w:top w:val="nil"/>
              <w:left w:val="nil"/>
              <w:bottom w:val="single" w:sz="4" w:space="0" w:color="auto"/>
              <w:right w:val="single" w:sz="4" w:space="0" w:color="auto"/>
            </w:tcBorders>
            <w:shd w:val="clear" w:color="auto" w:fill="auto"/>
            <w:noWrap/>
            <w:vAlign w:val="bottom"/>
            <w:hideMark/>
          </w:tcPr>
          <w:p w14:paraId="782D9788"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101</w:t>
            </w:r>
          </w:p>
        </w:tc>
      </w:tr>
      <w:tr w:rsidR="00355556" w:rsidRPr="00AA33EE" w14:paraId="4CEF3AC0"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hideMark/>
          </w:tcPr>
          <w:p w14:paraId="15281E7F"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5°</w:t>
            </w:r>
          </w:p>
        </w:tc>
        <w:tc>
          <w:tcPr>
            <w:tcW w:w="4756" w:type="dxa"/>
            <w:tcBorders>
              <w:top w:val="nil"/>
              <w:left w:val="nil"/>
              <w:bottom w:val="single" w:sz="4" w:space="0" w:color="auto"/>
              <w:right w:val="single" w:sz="4" w:space="0" w:color="auto"/>
            </w:tcBorders>
            <w:shd w:val="clear" w:color="auto" w:fill="auto"/>
            <w:noWrap/>
            <w:vAlign w:val="bottom"/>
            <w:hideMark/>
          </w:tcPr>
          <w:p w14:paraId="3F269A58"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NO RESPETAR SEÑAL DE PRIORIDAD</w:t>
            </w:r>
          </w:p>
        </w:tc>
        <w:tc>
          <w:tcPr>
            <w:tcW w:w="1514" w:type="dxa"/>
            <w:tcBorders>
              <w:top w:val="nil"/>
              <w:left w:val="nil"/>
              <w:bottom w:val="single" w:sz="4" w:space="0" w:color="auto"/>
              <w:right w:val="single" w:sz="4" w:space="0" w:color="auto"/>
            </w:tcBorders>
            <w:shd w:val="clear" w:color="auto" w:fill="auto"/>
            <w:noWrap/>
            <w:vAlign w:val="bottom"/>
            <w:hideMark/>
          </w:tcPr>
          <w:p w14:paraId="46FC0240"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53</w:t>
            </w:r>
          </w:p>
        </w:tc>
      </w:tr>
      <w:tr w:rsidR="00355556" w:rsidRPr="00AA33EE" w14:paraId="299C91AC" w14:textId="77777777" w:rsidTr="009B36DC">
        <w:trPr>
          <w:trHeight w:val="301"/>
        </w:trPr>
        <w:tc>
          <w:tcPr>
            <w:tcW w:w="687" w:type="dxa"/>
            <w:tcBorders>
              <w:top w:val="nil"/>
              <w:left w:val="single" w:sz="4" w:space="0" w:color="auto"/>
              <w:bottom w:val="single" w:sz="4" w:space="0" w:color="auto"/>
              <w:right w:val="single" w:sz="4" w:space="0" w:color="auto"/>
            </w:tcBorders>
            <w:shd w:val="clear" w:color="auto" w:fill="auto"/>
            <w:noWrap/>
            <w:vAlign w:val="bottom"/>
          </w:tcPr>
          <w:p w14:paraId="10ADA800"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6°</w:t>
            </w:r>
          </w:p>
        </w:tc>
        <w:tc>
          <w:tcPr>
            <w:tcW w:w="4756" w:type="dxa"/>
            <w:tcBorders>
              <w:top w:val="nil"/>
              <w:left w:val="nil"/>
              <w:bottom w:val="single" w:sz="4" w:space="0" w:color="auto"/>
              <w:right w:val="single" w:sz="4" w:space="0" w:color="auto"/>
            </w:tcBorders>
            <w:shd w:val="clear" w:color="auto" w:fill="auto"/>
            <w:noWrap/>
            <w:vAlign w:val="bottom"/>
          </w:tcPr>
          <w:p w14:paraId="7112D014" w14:textId="77777777" w:rsidR="00355556" w:rsidRPr="00AA33EE" w:rsidRDefault="00355556" w:rsidP="009B36DC">
            <w:pPr>
              <w:spacing w:after="0" w:line="240" w:lineRule="auto"/>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ESTADO DE EBRIEDAD</w:t>
            </w:r>
          </w:p>
        </w:tc>
        <w:tc>
          <w:tcPr>
            <w:tcW w:w="1514" w:type="dxa"/>
            <w:tcBorders>
              <w:top w:val="nil"/>
              <w:left w:val="nil"/>
              <w:bottom w:val="single" w:sz="4" w:space="0" w:color="auto"/>
              <w:right w:val="single" w:sz="4" w:space="0" w:color="auto"/>
            </w:tcBorders>
            <w:shd w:val="clear" w:color="auto" w:fill="auto"/>
            <w:noWrap/>
            <w:vAlign w:val="bottom"/>
          </w:tcPr>
          <w:p w14:paraId="79C5856D" w14:textId="77777777" w:rsidR="00355556" w:rsidRPr="00AA33EE" w:rsidRDefault="00355556" w:rsidP="009B36DC">
            <w:pPr>
              <w:spacing w:after="0" w:line="240" w:lineRule="auto"/>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33</w:t>
            </w:r>
          </w:p>
        </w:tc>
      </w:tr>
    </w:tbl>
    <w:p w14:paraId="7F2036D7" w14:textId="77777777" w:rsidR="00D951C7" w:rsidRPr="00AA33EE" w:rsidRDefault="00D951C7" w:rsidP="00BF4C2E">
      <w:pPr>
        <w:spacing w:after="0" w:line="360" w:lineRule="auto"/>
        <w:jc w:val="both"/>
        <w:rPr>
          <w:rFonts w:ascii="Times New Roman" w:hAnsi="Times New Roman" w:cs="Times New Roman"/>
          <w:sz w:val="24"/>
          <w:szCs w:val="24"/>
        </w:rPr>
      </w:pPr>
    </w:p>
    <w:p w14:paraId="11E4CDB2" w14:textId="77777777" w:rsidR="0059034A" w:rsidRPr="00AA33EE" w:rsidRDefault="0059034A" w:rsidP="00BF4C2E">
      <w:pPr>
        <w:spacing w:after="0" w:line="360" w:lineRule="auto"/>
        <w:jc w:val="both"/>
        <w:rPr>
          <w:rFonts w:ascii="Times New Roman" w:hAnsi="Times New Roman" w:cs="Times New Roman"/>
          <w:color w:val="FF0000"/>
          <w:sz w:val="24"/>
          <w:szCs w:val="24"/>
        </w:rPr>
      </w:pPr>
    </w:p>
    <w:p w14:paraId="11B3D53F" w14:textId="77777777" w:rsidR="0059034A" w:rsidRPr="00AA33EE" w:rsidRDefault="0059034A" w:rsidP="00BF4C2E">
      <w:pPr>
        <w:spacing w:after="0" w:line="360" w:lineRule="auto"/>
        <w:jc w:val="both"/>
        <w:rPr>
          <w:rFonts w:ascii="Times New Roman" w:hAnsi="Times New Roman" w:cs="Times New Roman"/>
          <w:color w:val="FF0000"/>
          <w:sz w:val="24"/>
          <w:szCs w:val="24"/>
        </w:rPr>
      </w:pPr>
    </w:p>
    <w:p w14:paraId="3B08927A" w14:textId="77777777" w:rsidR="001426D5" w:rsidRPr="00AA33EE" w:rsidRDefault="001426D5" w:rsidP="00BF4C2E">
      <w:pPr>
        <w:spacing w:after="0" w:line="360" w:lineRule="auto"/>
        <w:jc w:val="both"/>
        <w:rPr>
          <w:rFonts w:ascii="Times New Roman" w:hAnsi="Times New Roman" w:cs="Times New Roman"/>
          <w:color w:val="FF0000"/>
          <w:sz w:val="24"/>
          <w:szCs w:val="24"/>
        </w:rPr>
      </w:pPr>
    </w:p>
    <w:p w14:paraId="52E81BD3" w14:textId="77777777" w:rsidR="001426D5" w:rsidRPr="00AA33EE" w:rsidRDefault="001426D5" w:rsidP="001426D5">
      <w:pPr>
        <w:rPr>
          <w:rFonts w:ascii="Times New Roman" w:hAnsi="Times New Roman" w:cs="Times New Roman"/>
          <w:sz w:val="24"/>
          <w:szCs w:val="24"/>
        </w:rPr>
      </w:pPr>
    </w:p>
    <w:p w14:paraId="0C9A3117" w14:textId="77777777" w:rsidR="00BB3218" w:rsidRDefault="00BB3218" w:rsidP="00BB3218">
      <w:pPr>
        <w:spacing w:after="0" w:line="360" w:lineRule="auto"/>
        <w:rPr>
          <w:rFonts w:ascii="Times New Roman" w:hAnsi="Times New Roman" w:cs="Times New Roman"/>
          <w:b/>
          <w:sz w:val="20"/>
          <w:szCs w:val="20"/>
        </w:rPr>
      </w:pPr>
    </w:p>
    <w:p w14:paraId="2E5A51E7" w14:textId="13918C9C" w:rsidR="009849DF" w:rsidRPr="00187778" w:rsidRDefault="00187778" w:rsidP="00BB3218">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Cuadro</w:t>
      </w:r>
      <w:r w:rsidR="009849DF" w:rsidRPr="00187778">
        <w:rPr>
          <w:rFonts w:ascii="Times New Roman" w:hAnsi="Times New Roman" w:cs="Times New Roman"/>
          <w:b/>
          <w:sz w:val="20"/>
          <w:szCs w:val="20"/>
        </w:rPr>
        <w:t xml:space="preserve"> 2: Causas de fallecidos en accidentes registrados entre el año 2015 y 2016.</w:t>
      </w:r>
    </w:p>
    <w:p w14:paraId="5A04D432" w14:textId="77777777" w:rsidR="009849DF" w:rsidRPr="00187778" w:rsidRDefault="009849DF" w:rsidP="009849DF">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Fuente: División de Tránsito Terrestre Policía Nacional Civil PNC</w:t>
      </w:r>
    </w:p>
    <w:p w14:paraId="064D74BC" w14:textId="77777777" w:rsidR="009849DF" w:rsidRPr="00AA33EE" w:rsidRDefault="009849DF" w:rsidP="00355556">
      <w:pPr>
        <w:tabs>
          <w:tab w:val="left" w:pos="2145"/>
        </w:tabs>
        <w:jc w:val="both"/>
        <w:rPr>
          <w:rFonts w:ascii="Times New Roman" w:hAnsi="Times New Roman" w:cs="Times New Roman"/>
          <w:sz w:val="24"/>
          <w:szCs w:val="24"/>
        </w:rPr>
      </w:pPr>
    </w:p>
    <w:p w14:paraId="6483F95B" w14:textId="77777777" w:rsidR="009762A1" w:rsidRPr="00AA33EE" w:rsidRDefault="00B6724E" w:rsidP="00355556">
      <w:pPr>
        <w:tabs>
          <w:tab w:val="left" w:pos="2145"/>
        </w:tabs>
        <w:jc w:val="both"/>
        <w:rPr>
          <w:rFonts w:ascii="Times New Roman" w:hAnsi="Times New Roman" w:cs="Times New Roman"/>
          <w:sz w:val="24"/>
          <w:szCs w:val="24"/>
        </w:rPr>
      </w:pPr>
      <w:r w:rsidRPr="00AA33EE">
        <w:rPr>
          <w:rFonts w:ascii="Times New Roman" w:hAnsi="Times New Roman" w:cs="Times New Roman"/>
          <w:sz w:val="24"/>
          <w:szCs w:val="24"/>
        </w:rPr>
        <w:t>El total de lesionados en el año 2016 fue</w:t>
      </w:r>
      <w:r w:rsidR="00355556" w:rsidRPr="00AA33EE">
        <w:rPr>
          <w:rFonts w:ascii="Times New Roman" w:hAnsi="Times New Roman" w:cs="Times New Roman"/>
          <w:sz w:val="24"/>
          <w:szCs w:val="24"/>
        </w:rPr>
        <w:t xml:space="preserve"> 9,992 en comparación con el año 2015 que fue 9,466 hubo un aumento del   </w:t>
      </w:r>
      <w:r w:rsidR="009762A1" w:rsidRPr="00AA33EE">
        <w:rPr>
          <w:rFonts w:ascii="Times New Roman" w:hAnsi="Times New Roman" w:cs="Times New Roman"/>
          <w:sz w:val="24"/>
          <w:szCs w:val="24"/>
        </w:rPr>
        <w:t>5.26</w:t>
      </w:r>
      <w:r w:rsidR="00355556" w:rsidRPr="00AA33EE">
        <w:rPr>
          <w:rFonts w:ascii="Times New Roman" w:hAnsi="Times New Roman" w:cs="Times New Roman"/>
          <w:sz w:val="24"/>
          <w:szCs w:val="24"/>
        </w:rPr>
        <w:t>% equivalente</w:t>
      </w:r>
      <w:r w:rsidR="009762A1" w:rsidRPr="00AA33EE">
        <w:rPr>
          <w:rFonts w:ascii="Times New Roman" w:hAnsi="Times New Roman" w:cs="Times New Roman"/>
          <w:sz w:val="24"/>
          <w:szCs w:val="24"/>
        </w:rPr>
        <w:t>s</w:t>
      </w:r>
      <w:r w:rsidR="00355556" w:rsidRPr="00AA33EE">
        <w:rPr>
          <w:rFonts w:ascii="Times New Roman" w:hAnsi="Times New Roman" w:cs="Times New Roman"/>
          <w:sz w:val="24"/>
          <w:szCs w:val="24"/>
        </w:rPr>
        <w:t xml:space="preserve"> </w:t>
      </w:r>
      <w:r w:rsidR="009762A1" w:rsidRPr="00AA33EE">
        <w:rPr>
          <w:rFonts w:ascii="Times New Roman" w:hAnsi="Times New Roman" w:cs="Times New Roman"/>
          <w:sz w:val="24"/>
          <w:szCs w:val="24"/>
        </w:rPr>
        <w:t>526</w:t>
      </w:r>
      <w:r w:rsidR="00355556" w:rsidRPr="00AA33EE">
        <w:rPr>
          <w:rFonts w:ascii="Times New Roman" w:hAnsi="Times New Roman" w:cs="Times New Roman"/>
          <w:sz w:val="24"/>
          <w:szCs w:val="24"/>
        </w:rPr>
        <w:t xml:space="preserve">  lesionados. </w:t>
      </w:r>
    </w:p>
    <w:p w14:paraId="36020694" w14:textId="77777777" w:rsidR="009B36DC" w:rsidRPr="00AA33EE" w:rsidRDefault="00355556" w:rsidP="00355556">
      <w:pPr>
        <w:tabs>
          <w:tab w:val="left" w:pos="2145"/>
        </w:tabs>
        <w:jc w:val="both"/>
        <w:rPr>
          <w:rFonts w:ascii="Times New Roman" w:hAnsi="Times New Roman" w:cs="Times New Roman"/>
          <w:sz w:val="24"/>
          <w:szCs w:val="24"/>
        </w:rPr>
      </w:pPr>
      <w:r w:rsidRPr="00AA33EE">
        <w:rPr>
          <w:rFonts w:ascii="Times New Roman" w:hAnsi="Times New Roman" w:cs="Times New Roman"/>
          <w:sz w:val="24"/>
          <w:szCs w:val="24"/>
        </w:rPr>
        <w:t>En el cuadro</w:t>
      </w:r>
      <w:r w:rsidR="00630BBA" w:rsidRPr="00AA33EE">
        <w:rPr>
          <w:rFonts w:ascii="Times New Roman" w:hAnsi="Times New Roman" w:cs="Times New Roman"/>
          <w:sz w:val="24"/>
          <w:szCs w:val="24"/>
        </w:rPr>
        <w:t xml:space="preserve"> 3</w:t>
      </w:r>
      <w:r w:rsidRPr="00AA33EE">
        <w:rPr>
          <w:rFonts w:ascii="Times New Roman" w:hAnsi="Times New Roman" w:cs="Times New Roman"/>
          <w:sz w:val="24"/>
          <w:szCs w:val="24"/>
        </w:rPr>
        <w:t xml:space="preserve"> que se detalla a continuación se presentan las 6 causas con mayor número de lesionados del 1 de enero al 31 de diciembre de 2016: </w:t>
      </w:r>
    </w:p>
    <w:tbl>
      <w:tblPr>
        <w:tblStyle w:val="Tablaconcuadrcula"/>
        <w:tblpPr w:leftFromText="141" w:rightFromText="141" w:vertAnchor="text" w:horzAnchor="margin" w:tblpY="379"/>
        <w:tblW w:w="0" w:type="auto"/>
        <w:tblLook w:val="04A0" w:firstRow="1" w:lastRow="0" w:firstColumn="1" w:lastColumn="0" w:noHBand="0" w:noVBand="1"/>
      </w:tblPr>
      <w:tblGrid>
        <w:gridCol w:w="762"/>
        <w:gridCol w:w="5834"/>
        <w:gridCol w:w="1688"/>
      </w:tblGrid>
      <w:tr w:rsidR="00630BBA" w:rsidRPr="00AA33EE" w14:paraId="65668750" w14:textId="77777777" w:rsidTr="00630BBA">
        <w:trPr>
          <w:trHeight w:val="261"/>
        </w:trPr>
        <w:tc>
          <w:tcPr>
            <w:tcW w:w="762" w:type="dxa"/>
            <w:shd w:val="clear" w:color="auto" w:fill="DBE5F1" w:themeFill="accent1" w:themeFillTint="33"/>
            <w:vAlign w:val="bottom"/>
          </w:tcPr>
          <w:p w14:paraId="06C33289"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No.</w:t>
            </w:r>
          </w:p>
        </w:tc>
        <w:tc>
          <w:tcPr>
            <w:tcW w:w="5834" w:type="dxa"/>
            <w:shd w:val="clear" w:color="auto" w:fill="DBE5F1" w:themeFill="accent1" w:themeFillTint="33"/>
            <w:vAlign w:val="bottom"/>
          </w:tcPr>
          <w:p w14:paraId="09767249" w14:textId="77777777" w:rsidR="00630BBA" w:rsidRPr="00AA33EE" w:rsidRDefault="00630BBA" w:rsidP="00630BBA">
            <w:pPr>
              <w:rPr>
                <w:rFonts w:ascii="Times New Roman" w:eastAsia="Times New Roman" w:hAnsi="Times New Roman" w:cs="Times New Roman"/>
                <w:b/>
                <w:sz w:val="24"/>
                <w:szCs w:val="24"/>
              </w:rPr>
            </w:pPr>
            <w:r w:rsidRPr="00AA33EE">
              <w:rPr>
                <w:rFonts w:ascii="Times New Roman" w:eastAsia="Times New Roman" w:hAnsi="Times New Roman" w:cs="Times New Roman"/>
                <w:b/>
                <w:sz w:val="24"/>
                <w:szCs w:val="24"/>
              </w:rPr>
              <w:t>CAUSA DE LESIONADOS</w:t>
            </w:r>
          </w:p>
        </w:tc>
        <w:tc>
          <w:tcPr>
            <w:tcW w:w="1688" w:type="dxa"/>
            <w:shd w:val="clear" w:color="auto" w:fill="DBE5F1" w:themeFill="accent1" w:themeFillTint="33"/>
            <w:vAlign w:val="bottom"/>
          </w:tcPr>
          <w:p w14:paraId="200B1D0F"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CANTIDAD</w:t>
            </w:r>
          </w:p>
        </w:tc>
      </w:tr>
      <w:tr w:rsidR="00630BBA" w:rsidRPr="00AA33EE" w14:paraId="407BB646" w14:textId="77777777" w:rsidTr="00630BBA">
        <w:trPr>
          <w:trHeight w:val="276"/>
        </w:trPr>
        <w:tc>
          <w:tcPr>
            <w:tcW w:w="762" w:type="dxa"/>
            <w:vAlign w:val="bottom"/>
          </w:tcPr>
          <w:p w14:paraId="2961F11D"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1ª</w:t>
            </w:r>
          </w:p>
        </w:tc>
        <w:tc>
          <w:tcPr>
            <w:tcW w:w="5834" w:type="dxa"/>
            <w:vAlign w:val="bottom"/>
          </w:tcPr>
          <w:p w14:paraId="2D6BB257"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 xml:space="preserve">INVADIR CARRIL </w:t>
            </w:r>
          </w:p>
        </w:tc>
        <w:tc>
          <w:tcPr>
            <w:tcW w:w="1688" w:type="dxa"/>
            <w:vAlign w:val="bottom"/>
          </w:tcPr>
          <w:p w14:paraId="17A56E0D"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2056</w:t>
            </w:r>
          </w:p>
        </w:tc>
      </w:tr>
      <w:tr w:rsidR="00630BBA" w:rsidRPr="00AA33EE" w14:paraId="6B9C1DBE" w14:textId="77777777" w:rsidTr="00630BBA">
        <w:trPr>
          <w:trHeight w:val="261"/>
        </w:trPr>
        <w:tc>
          <w:tcPr>
            <w:tcW w:w="762" w:type="dxa"/>
            <w:vAlign w:val="bottom"/>
          </w:tcPr>
          <w:p w14:paraId="650C7531"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2ª</w:t>
            </w:r>
          </w:p>
        </w:tc>
        <w:tc>
          <w:tcPr>
            <w:tcW w:w="5834" w:type="dxa"/>
            <w:vAlign w:val="bottom"/>
          </w:tcPr>
          <w:p w14:paraId="29F8C9DF"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DISTRACCION DEL CONDUCTOR</w:t>
            </w:r>
          </w:p>
        </w:tc>
        <w:tc>
          <w:tcPr>
            <w:tcW w:w="1688" w:type="dxa"/>
            <w:vAlign w:val="bottom"/>
          </w:tcPr>
          <w:p w14:paraId="48652729"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1821</w:t>
            </w:r>
          </w:p>
        </w:tc>
      </w:tr>
      <w:tr w:rsidR="00630BBA" w:rsidRPr="00AA33EE" w14:paraId="3D233DED" w14:textId="77777777" w:rsidTr="00630BBA">
        <w:trPr>
          <w:trHeight w:val="276"/>
        </w:trPr>
        <w:tc>
          <w:tcPr>
            <w:tcW w:w="762" w:type="dxa"/>
            <w:vAlign w:val="bottom"/>
          </w:tcPr>
          <w:p w14:paraId="5F2DF7A9"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3ª</w:t>
            </w:r>
          </w:p>
        </w:tc>
        <w:tc>
          <w:tcPr>
            <w:tcW w:w="5834" w:type="dxa"/>
            <w:vAlign w:val="bottom"/>
          </w:tcPr>
          <w:p w14:paraId="0182EF22"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NO RESPETAR SEÑAL DE PRIORIDAD</w:t>
            </w:r>
          </w:p>
        </w:tc>
        <w:tc>
          <w:tcPr>
            <w:tcW w:w="1688" w:type="dxa"/>
            <w:vAlign w:val="bottom"/>
          </w:tcPr>
          <w:p w14:paraId="171C8B93"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1791</w:t>
            </w:r>
          </w:p>
        </w:tc>
      </w:tr>
      <w:tr w:rsidR="00630BBA" w:rsidRPr="00AA33EE" w14:paraId="640C667E" w14:textId="77777777" w:rsidTr="00630BBA">
        <w:trPr>
          <w:trHeight w:val="261"/>
        </w:trPr>
        <w:tc>
          <w:tcPr>
            <w:tcW w:w="762" w:type="dxa"/>
            <w:vAlign w:val="bottom"/>
          </w:tcPr>
          <w:p w14:paraId="0C0B82EE"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4ª</w:t>
            </w:r>
          </w:p>
        </w:tc>
        <w:tc>
          <w:tcPr>
            <w:tcW w:w="5834" w:type="dxa"/>
            <w:vAlign w:val="bottom"/>
          </w:tcPr>
          <w:p w14:paraId="30AAADBE"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VELOCIDAD INADECUADA</w:t>
            </w:r>
          </w:p>
        </w:tc>
        <w:tc>
          <w:tcPr>
            <w:tcW w:w="1688" w:type="dxa"/>
            <w:vAlign w:val="bottom"/>
          </w:tcPr>
          <w:p w14:paraId="1ED81E3A"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1356</w:t>
            </w:r>
          </w:p>
        </w:tc>
      </w:tr>
      <w:tr w:rsidR="00630BBA" w:rsidRPr="00AA33EE" w14:paraId="20354BB5" w14:textId="77777777" w:rsidTr="00630BBA">
        <w:trPr>
          <w:trHeight w:val="276"/>
        </w:trPr>
        <w:tc>
          <w:tcPr>
            <w:tcW w:w="762" w:type="dxa"/>
            <w:vAlign w:val="bottom"/>
          </w:tcPr>
          <w:p w14:paraId="4AC4DE4B"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5ª</w:t>
            </w:r>
          </w:p>
        </w:tc>
        <w:tc>
          <w:tcPr>
            <w:tcW w:w="5834" w:type="dxa"/>
            <w:vAlign w:val="bottom"/>
          </w:tcPr>
          <w:p w14:paraId="7D90BA02"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NO GUARDAR DISTANCIA REGLAMENTARIA</w:t>
            </w:r>
          </w:p>
        </w:tc>
        <w:tc>
          <w:tcPr>
            <w:tcW w:w="1688" w:type="dxa"/>
            <w:vAlign w:val="bottom"/>
          </w:tcPr>
          <w:p w14:paraId="343CEBF8"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818</w:t>
            </w:r>
          </w:p>
        </w:tc>
      </w:tr>
      <w:tr w:rsidR="00630BBA" w:rsidRPr="00AA33EE" w14:paraId="1D537095" w14:textId="77777777" w:rsidTr="00630BBA">
        <w:trPr>
          <w:trHeight w:val="261"/>
        </w:trPr>
        <w:tc>
          <w:tcPr>
            <w:tcW w:w="762" w:type="dxa"/>
            <w:vAlign w:val="bottom"/>
          </w:tcPr>
          <w:p w14:paraId="37A62497"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6°</w:t>
            </w:r>
          </w:p>
        </w:tc>
        <w:tc>
          <w:tcPr>
            <w:tcW w:w="5834" w:type="dxa"/>
            <w:vAlign w:val="bottom"/>
          </w:tcPr>
          <w:p w14:paraId="7BD6736B" w14:textId="77777777" w:rsidR="00630BBA" w:rsidRPr="00AA33EE" w:rsidRDefault="00630BBA" w:rsidP="00630BBA">
            <w:pPr>
              <w:rPr>
                <w:rFonts w:ascii="Times New Roman" w:eastAsia="Times New Roman" w:hAnsi="Times New Roman" w:cs="Times New Roman"/>
                <w:sz w:val="24"/>
                <w:szCs w:val="24"/>
              </w:rPr>
            </w:pPr>
            <w:r w:rsidRPr="00AA33EE">
              <w:rPr>
                <w:rFonts w:ascii="Times New Roman" w:eastAsia="Times New Roman" w:hAnsi="Times New Roman" w:cs="Times New Roman"/>
                <w:sz w:val="24"/>
                <w:szCs w:val="24"/>
              </w:rPr>
              <w:t>ESTADO DE EBRIEDAD</w:t>
            </w:r>
          </w:p>
        </w:tc>
        <w:tc>
          <w:tcPr>
            <w:tcW w:w="1688" w:type="dxa"/>
            <w:vAlign w:val="bottom"/>
          </w:tcPr>
          <w:p w14:paraId="6D16C368" w14:textId="77777777" w:rsidR="00630BBA" w:rsidRPr="00AA33EE" w:rsidRDefault="00630BBA" w:rsidP="00630BBA">
            <w:pPr>
              <w:jc w:val="center"/>
              <w:rPr>
                <w:rFonts w:ascii="Times New Roman" w:eastAsia="Times New Roman" w:hAnsi="Times New Roman" w:cs="Times New Roman"/>
                <w:b/>
                <w:bCs/>
                <w:sz w:val="24"/>
                <w:szCs w:val="24"/>
              </w:rPr>
            </w:pPr>
            <w:r w:rsidRPr="00AA33EE">
              <w:rPr>
                <w:rFonts w:ascii="Times New Roman" w:eastAsia="Times New Roman" w:hAnsi="Times New Roman" w:cs="Times New Roman"/>
                <w:b/>
                <w:bCs/>
                <w:sz w:val="24"/>
                <w:szCs w:val="24"/>
              </w:rPr>
              <w:t>444</w:t>
            </w:r>
          </w:p>
        </w:tc>
      </w:tr>
    </w:tbl>
    <w:p w14:paraId="1CBBB72E" w14:textId="77777777" w:rsidR="00630BBA" w:rsidRPr="00AA33EE" w:rsidRDefault="00630BBA" w:rsidP="00355556">
      <w:pPr>
        <w:tabs>
          <w:tab w:val="left" w:pos="2145"/>
        </w:tabs>
        <w:jc w:val="both"/>
        <w:rPr>
          <w:rFonts w:ascii="Times New Roman" w:hAnsi="Times New Roman" w:cs="Times New Roman"/>
          <w:sz w:val="24"/>
          <w:szCs w:val="24"/>
        </w:rPr>
      </w:pPr>
    </w:p>
    <w:p w14:paraId="686F0EB0" w14:textId="77777777" w:rsidR="00630BBA" w:rsidRPr="00AA33EE" w:rsidRDefault="00630BBA" w:rsidP="003217DB">
      <w:pPr>
        <w:tabs>
          <w:tab w:val="left" w:pos="2145"/>
        </w:tabs>
        <w:rPr>
          <w:rFonts w:ascii="Times New Roman" w:hAnsi="Times New Roman" w:cs="Times New Roman"/>
          <w:sz w:val="24"/>
          <w:szCs w:val="24"/>
        </w:rPr>
      </w:pPr>
    </w:p>
    <w:p w14:paraId="079371DF" w14:textId="77777777" w:rsidR="00630BBA" w:rsidRPr="00AA33EE" w:rsidRDefault="00630BBA" w:rsidP="003217DB">
      <w:pPr>
        <w:tabs>
          <w:tab w:val="left" w:pos="2145"/>
        </w:tabs>
        <w:rPr>
          <w:rFonts w:ascii="Times New Roman" w:hAnsi="Times New Roman" w:cs="Times New Roman"/>
          <w:sz w:val="24"/>
          <w:szCs w:val="24"/>
        </w:rPr>
      </w:pPr>
    </w:p>
    <w:p w14:paraId="3E843C1F" w14:textId="77777777" w:rsidR="00630BBA" w:rsidRPr="00AA33EE" w:rsidRDefault="00630BBA" w:rsidP="003217DB">
      <w:pPr>
        <w:tabs>
          <w:tab w:val="left" w:pos="2145"/>
        </w:tabs>
        <w:rPr>
          <w:rFonts w:ascii="Times New Roman" w:hAnsi="Times New Roman" w:cs="Times New Roman"/>
          <w:sz w:val="24"/>
          <w:szCs w:val="24"/>
        </w:rPr>
      </w:pPr>
    </w:p>
    <w:p w14:paraId="72034F5E" w14:textId="77777777" w:rsidR="00630BBA" w:rsidRPr="00AA33EE" w:rsidRDefault="00630BBA" w:rsidP="003217DB">
      <w:pPr>
        <w:tabs>
          <w:tab w:val="left" w:pos="2145"/>
        </w:tabs>
        <w:rPr>
          <w:rFonts w:ascii="Times New Roman" w:hAnsi="Times New Roman" w:cs="Times New Roman"/>
          <w:sz w:val="24"/>
          <w:szCs w:val="24"/>
        </w:rPr>
      </w:pPr>
    </w:p>
    <w:p w14:paraId="60F04A21" w14:textId="0DE0F4FF" w:rsidR="009849DF" w:rsidRPr="00187778" w:rsidRDefault="00187778" w:rsidP="009849DF">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Cuadro</w:t>
      </w:r>
      <w:r w:rsidR="009849DF" w:rsidRPr="00187778">
        <w:rPr>
          <w:rFonts w:ascii="Times New Roman" w:hAnsi="Times New Roman" w:cs="Times New Roman"/>
          <w:b/>
          <w:sz w:val="20"/>
          <w:szCs w:val="20"/>
        </w:rPr>
        <w:t xml:space="preserve"> 3: Causas de lesionados en accidentes registrados entre el año 2015 y 2016.</w:t>
      </w:r>
    </w:p>
    <w:p w14:paraId="7D58BE88" w14:textId="77777777" w:rsidR="009849DF" w:rsidRPr="00187778" w:rsidRDefault="009849DF" w:rsidP="009849DF">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Fuente: División de Tránsito Terrestre Policía Nacional Civil PNC</w:t>
      </w:r>
    </w:p>
    <w:p w14:paraId="509272D9" w14:textId="77777777" w:rsidR="00630BBA" w:rsidRPr="00AA33EE" w:rsidRDefault="00630BBA" w:rsidP="003217DB">
      <w:pPr>
        <w:tabs>
          <w:tab w:val="left" w:pos="2145"/>
        </w:tabs>
        <w:rPr>
          <w:rFonts w:ascii="Times New Roman" w:hAnsi="Times New Roman" w:cs="Times New Roman"/>
          <w:sz w:val="24"/>
          <w:szCs w:val="24"/>
        </w:rPr>
      </w:pPr>
    </w:p>
    <w:p w14:paraId="25EEFDD5" w14:textId="62872C09" w:rsidR="00B6724E" w:rsidRPr="00AA33EE" w:rsidRDefault="00D91122" w:rsidP="00023054">
      <w:pPr>
        <w:tabs>
          <w:tab w:val="left" w:pos="2145"/>
        </w:tabs>
        <w:jc w:val="both"/>
        <w:rPr>
          <w:rFonts w:ascii="Times New Roman" w:hAnsi="Times New Roman" w:cs="Times New Roman"/>
          <w:sz w:val="24"/>
          <w:szCs w:val="24"/>
        </w:rPr>
      </w:pPr>
      <w:r w:rsidRPr="00AA33EE">
        <w:rPr>
          <w:rFonts w:ascii="Times New Roman" w:hAnsi="Times New Roman" w:cs="Times New Roman"/>
          <w:sz w:val="24"/>
          <w:szCs w:val="24"/>
        </w:rPr>
        <w:t xml:space="preserve">Según el  </w:t>
      </w:r>
      <w:r w:rsidR="009B36DC" w:rsidRPr="00AA33EE">
        <w:rPr>
          <w:rFonts w:ascii="Times New Roman" w:hAnsi="Times New Roman" w:cs="Times New Roman"/>
          <w:sz w:val="24"/>
          <w:szCs w:val="24"/>
        </w:rPr>
        <w:t>cuadro</w:t>
      </w:r>
      <w:r w:rsidRPr="00AA33EE">
        <w:rPr>
          <w:rFonts w:ascii="Times New Roman" w:hAnsi="Times New Roman" w:cs="Times New Roman"/>
          <w:sz w:val="24"/>
          <w:szCs w:val="24"/>
        </w:rPr>
        <w:t xml:space="preserve"> comparativo</w:t>
      </w:r>
      <w:r w:rsidR="006B3484" w:rsidRPr="00AA33EE">
        <w:rPr>
          <w:rFonts w:ascii="Times New Roman" w:hAnsi="Times New Roman" w:cs="Times New Roman"/>
          <w:sz w:val="24"/>
          <w:szCs w:val="24"/>
        </w:rPr>
        <w:t xml:space="preserve"> </w:t>
      </w:r>
      <w:r w:rsidR="009849DF" w:rsidRPr="00AA33EE">
        <w:rPr>
          <w:rFonts w:ascii="Times New Roman" w:hAnsi="Times New Roman" w:cs="Times New Roman"/>
          <w:sz w:val="24"/>
          <w:szCs w:val="24"/>
        </w:rPr>
        <w:t>número</w:t>
      </w:r>
      <w:r w:rsidR="00630BBA" w:rsidRPr="00AA33EE">
        <w:rPr>
          <w:rFonts w:ascii="Times New Roman" w:hAnsi="Times New Roman" w:cs="Times New Roman"/>
          <w:sz w:val="24"/>
          <w:szCs w:val="24"/>
        </w:rPr>
        <w:t xml:space="preserve"> 4</w:t>
      </w:r>
      <w:r w:rsidRPr="00AA33EE">
        <w:rPr>
          <w:rFonts w:ascii="Times New Roman" w:hAnsi="Times New Roman" w:cs="Times New Roman"/>
          <w:sz w:val="24"/>
          <w:szCs w:val="24"/>
        </w:rPr>
        <w:t>, se muestra por edad el número de fallecidos del año 2015</w:t>
      </w:r>
      <w:r w:rsidR="006B3484" w:rsidRPr="00AA33EE">
        <w:rPr>
          <w:rFonts w:ascii="Times New Roman" w:hAnsi="Times New Roman" w:cs="Times New Roman"/>
          <w:sz w:val="24"/>
          <w:szCs w:val="24"/>
        </w:rPr>
        <w:t xml:space="preserve"> </w:t>
      </w:r>
      <w:r w:rsidR="00073CE5" w:rsidRPr="00AA33EE">
        <w:rPr>
          <w:rFonts w:ascii="Times New Roman" w:hAnsi="Times New Roman" w:cs="Times New Roman"/>
          <w:sz w:val="24"/>
          <w:szCs w:val="24"/>
        </w:rPr>
        <w:t xml:space="preserve">y </w:t>
      </w:r>
      <w:r w:rsidRPr="00AA33EE">
        <w:rPr>
          <w:rFonts w:ascii="Times New Roman" w:hAnsi="Times New Roman" w:cs="Times New Roman"/>
          <w:sz w:val="24"/>
          <w:szCs w:val="24"/>
        </w:rPr>
        <w:t>2016</w:t>
      </w:r>
      <w:r w:rsidR="00187778">
        <w:rPr>
          <w:rFonts w:ascii="Times New Roman" w:hAnsi="Times New Roman" w:cs="Times New Roman"/>
          <w:sz w:val="24"/>
          <w:szCs w:val="24"/>
        </w:rPr>
        <w:t>, e</w:t>
      </w:r>
      <w:r w:rsidR="006B3484" w:rsidRPr="00AA33EE">
        <w:rPr>
          <w:rFonts w:ascii="Times New Roman" w:hAnsi="Times New Roman" w:cs="Times New Roman"/>
          <w:sz w:val="24"/>
          <w:szCs w:val="24"/>
        </w:rPr>
        <w:t>n el cual se observa que entre</w:t>
      </w:r>
      <w:r w:rsidRPr="00AA33EE">
        <w:rPr>
          <w:rFonts w:ascii="Times New Roman" w:hAnsi="Times New Roman" w:cs="Times New Roman"/>
          <w:sz w:val="24"/>
          <w:szCs w:val="24"/>
        </w:rPr>
        <w:t xml:space="preserve"> las edades de 51 a 70 años </w:t>
      </w:r>
      <w:r w:rsidR="00187778">
        <w:rPr>
          <w:rFonts w:ascii="Times New Roman" w:hAnsi="Times New Roman" w:cs="Times New Roman"/>
          <w:sz w:val="24"/>
          <w:szCs w:val="24"/>
        </w:rPr>
        <w:t xml:space="preserve">se </w:t>
      </w:r>
      <w:r w:rsidRPr="00AA33EE">
        <w:rPr>
          <w:rFonts w:ascii="Times New Roman" w:hAnsi="Times New Roman" w:cs="Times New Roman"/>
          <w:sz w:val="24"/>
          <w:szCs w:val="24"/>
        </w:rPr>
        <w:t>report</w:t>
      </w:r>
      <w:r w:rsidR="00187778">
        <w:rPr>
          <w:rFonts w:ascii="Times New Roman" w:hAnsi="Times New Roman" w:cs="Times New Roman"/>
          <w:sz w:val="24"/>
          <w:szCs w:val="24"/>
        </w:rPr>
        <w:t>ó</w:t>
      </w:r>
      <w:r w:rsidRPr="00AA33EE">
        <w:rPr>
          <w:rFonts w:ascii="Times New Roman" w:hAnsi="Times New Roman" w:cs="Times New Roman"/>
          <w:sz w:val="24"/>
          <w:szCs w:val="24"/>
        </w:rPr>
        <w:t xml:space="preserve"> mayor número de fallecidos con un 10.66% equivalente a 26 muertes más que en el año 2015. </w:t>
      </w:r>
      <w:r w:rsidR="00187778">
        <w:rPr>
          <w:rFonts w:ascii="Times New Roman" w:hAnsi="Times New Roman" w:cs="Times New Roman"/>
          <w:sz w:val="24"/>
          <w:szCs w:val="24"/>
        </w:rPr>
        <w:t>Así mismo h</w:t>
      </w:r>
      <w:r w:rsidR="005D0D00" w:rsidRPr="00AA33EE">
        <w:rPr>
          <w:rFonts w:ascii="Times New Roman" w:hAnsi="Times New Roman" w:cs="Times New Roman"/>
          <w:sz w:val="24"/>
          <w:szCs w:val="24"/>
        </w:rPr>
        <w:t>ubo una leve disminución en las edades de 0 a 15 años de un 5.56% equivalente a 3 personas menos en relación al  año 2015.</w:t>
      </w:r>
      <w:r w:rsidR="0001750C" w:rsidRPr="00AA33EE">
        <w:rPr>
          <w:rFonts w:ascii="Times New Roman" w:hAnsi="Times New Roman" w:cs="Times New Roman"/>
          <w:sz w:val="24"/>
          <w:szCs w:val="24"/>
        </w:rPr>
        <w:t xml:space="preserve"> (</w:t>
      </w:r>
      <w:r w:rsidR="00630BBA" w:rsidRPr="00AA33EE">
        <w:rPr>
          <w:rFonts w:ascii="Times New Roman" w:hAnsi="Times New Roman" w:cs="Times New Roman"/>
          <w:sz w:val="24"/>
          <w:szCs w:val="24"/>
        </w:rPr>
        <w:t>Ver gráfico comparativo 5)</w:t>
      </w:r>
    </w:p>
    <w:p w14:paraId="5C8C89F4" w14:textId="77777777" w:rsidR="00630BBA" w:rsidRPr="00AA33EE" w:rsidRDefault="00630BBA" w:rsidP="003217DB">
      <w:pPr>
        <w:tabs>
          <w:tab w:val="left" w:pos="2145"/>
        </w:tabs>
        <w:rPr>
          <w:rFonts w:ascii="Times New Roman" w:hAnsi="Times New Roman" w:cs="Times New Roman"/>
          <w:sz w:val="24"/>
          <w:szCs w:val="24"/>
        </w:rPr>
      </w:pPr>
    </w:p>
    <w:tbl>
      <w:tblPr>
        <w:tblStyle w:val="Tablaconcuadrcula"/>
        <w:tblpPr w:leftFromText="141" w:rightFromText="141" w:vertAnchor="text" w:horzAnchor="page" w:tblpX="2868" w:tblpY="105"/>
        <w:tblW w:w="0" w:type="auto"/>
        <w:tblLook w:val="04A0" w:firstRow="1" w:lastRow="0" w:firstColumn="1" w:lastColumn="0" w:noHBand="0" w:noVBand="1"/>
      </w:tblPr>
      <w:tblGrid>
        <w:gridCol w:w="1570"/>
        <w:gridCol w:w="696"/>
        <w:gridCol w:w="696"/>
        <w:gridCol w:w="1737"/>
        <w:gridCol w:w="956"/>
      </w:tblGrid>
      <w:tr w:rsidR="004B35F9" w:rsidRPr="00AA33EE" w14:paraId="72FA40F4" w14:textId="77777777" w:rsidTr="00187778">
        <w:trPr>
          <w:trHeight w:val="300"/>
        </w:trPr>
        <w:tc>
          <w:tcPr>
            <w:tcW w:w="0" w:type="auto"/>
            <w:noWrap/>
          </w:tcPr>
          <w:p w14:paraId="16952A9D" w14:textId="77777777" w:rsidR="004B35F9" w:rsidRPr="00187778" w:rsidRDefault="004B35F9"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lastRenderedPageBreak/>
              <w:t>EDADES</w:t>
            </w:r>
          </w:p>
        </w:tc>
        <w:tc>
          <w:tcPr>
            <w:tcW w:w="0" w:type="auto"/>
            <w:noWrap/>
          </w:tcPr>
          <w:p w14:paraId="73907BC2" w14:textId="77777777" w:rsidR="004B35F9" w:rsidRPr="00187778" w:rsidRDefault="004B35F9"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2015</w:t>
            </w:r>
          </w:p>
        </w:tc>
        <w:tc>
          <w:tcPr>
            <w:tcW w:w="0" w:type="auto"/>
            <w:noWrap/>
          </w:tcPr>
          <w:p w14:paraId="08E8C08F" w14:textId="77777777" w:rsidR="004B35F9" w:rsidRPr="00187778" w:rsidRDefault="004B35F9"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2016</w:t>
            </w:r>
          </w:p>
        </w:tc>
        <w:tc>
          <w:tcPr>
            <w:tcW w:w="0" w:type="auto"/>
          </w:tcPr>
          <w:p w14:paraId="642FE3D2" w14:textId="77777777" w:rsidR="004B35F9" w:rsidRPr="00187778" w:rsidRDefault="004B35F9"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DIFERENCIA</w:t>
            </w:r>
          </w:p>
        </w:tc>
        <w:tc>
          <w:tcPr>
            <w:tcW w:w="0" w:type="auto"/>
            <w:noWrap/>
          </w:tcPr>
          <w:p w14:paraId="1C43E022" w14:textId="77777777" w:rsidR="004B35F9" w:rsidRPr="00187778" w:rsidRDefault="004B35F9" w:rsidP="004B35F9">
            <w:pPr>
              <w:spacing w:line="360" w:lineRule="auto"/>
              <w:jc w:val="center"/>
              <w:rPr>
                <w:rFonts w:ascii="Times New Roman" w:hAnsi="Times New Roman" w:cs="Times New Roman"/>
                <w:b/>
                <w:sz w:val="24"/>
                <w:szCs w:val="24"/>
              </w:rPr>
            </w:pPr>
            <w:r w:rsidRPr="00187778">
              <w:rPr>
                <w:rFonts w:ascii="Times New Roman" w:hAnsi="Times New Roman" w:cs="Times New Roman"/>
                <w:b/>
                <w:sz w:val="24"/>
                <w:szCs w:val="24"/>
              </w:rPr>
              <w:t>%</w:t>
            </w:r>
          </w:p>
        </w:tc>
      </w:tr>
      <w:tr w:rsidR="004B35F9" w:rsidRPr="00AA33EE" w14:paraId="73DD3B81" w14:textId="77777777" w:rsidTr="00187778">
        <w:trPr>
          <w:trHeight w:val="300"/>
        </w:trPr>
        <w:tc>
          <w:tcPr>
            <w:tcW w:w="0" w:type="auto"/>
            <w:noWrap/>
            <w:hideMark/>
          </w:tcPr>
          <w:p w14:paraId="059AD139"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0 a 15 años</w:t>
            </w:r>
          </w:p>
        </w:tc>
        <w:tc>
          <w:tcPr>
            <w:tcW w:w="0" w:type="auto"/>
            <w:noWrap/>
            <w:hideMark/>
          </w:tcPr>
          <w:p w14:paraId="1F591F7F"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54</w:t>
            </w:r>
          </w:p>
        </w:tc>
        <w:tc>
          <w:tcPr>
            <w:tcW w:w="0" w:type="auto"/>
            <w:noWrap/>
            <w:hideMark/>
          </w:tcPr>
          <w:p w14:paraId="391A0FEC"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51</w:t>
            </w:r>
          </w:p>
        </w:tc>
        <w:tc>
          <w:tcPr>
            <w:tcW w:w="0" w:type="auto"/>
          </w:tcPr>
          <w:p w14:paraId="37E1A0D5"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-3</w:t>
            </w:r>
          </w:p>
        </w:tc>
        <w:tc>
          <w:tcPr>
            <w:tcW w:w="0" w:type="auto"/>
            <w:noWrap/>
            <w:hideMark/>
          </w:tcPr>
          <w:p w14:paraId="65E3EBE2"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-5.56%</w:t>
            </w:r>
          </w:p>
        </w:tc>
      </w:tr>
      <w:tr w:rsidR="004B35F9" w:rsidRPr="00AA33EE" w14:paraId="43130FE5" w14:textId="77777777" w:rsidTr="00187778">
        <w:trPr>
          <w:trHeight w:val="300"/>
        </w:trPr>
        <w:tc>
          <w:tcPr>
            <w:tcW w:w="0" w:type="auto"/>
            <w:noWrap/>
            <w:hideMark/>
          </w:tcPr>
          <w:p w14:paraId="0940AE1E"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16 a 30 años</w:t>
            </w:r>
          </w:p>
        </w:tc>
        <w:tc>
          <w:tcPr>
            <w:tcW w:w="0" w:type="auto"/>
            <w:noWrap/>
            <w:hideMark/>
          </w:tcPr>
          <w:p w14:paraId="116457E5"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299</w:t>
            </w:r>
          </w:p>
        </w:tc>
        <w:tc>
          <w:tcPr>
            <w:tcW w:w="0" w:type="auto"/>
            <w:noWrap/>
            <w:hideMark/>
          </w:tcPr>
          <w:p w14:paraId="518C98FF"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323</w:t>
            </w:r>
          </w:p>
        </w:tc>
        <w:tc>
          <w:tcPr>
            <w:tcW w:w="0" w:type="auto"/>
          </w:tcPr>
          <w:p w14:paraId="19D6604E"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24</w:t>
            </w:r>
          </w:p>
        </w:tc>
        <w:tc>
          <w:tcPr>
            <w:tcW w:w="0" w:type="auto"/>
            <w:noWrap/>
            <w:hideMark/>
          </w:tcPr>
          <w:p w14:paraId="503958DE"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8.03%</w:t>
            </w:r>
          </w:p>
        </w:tc>
      </w:tr>
      <w:tr w:rsidR="004B35F9" w:rsidRPr="00AA33EE" w14:paraId="36C4BCDC" w14:textId="77777777" w:rsidTr="00187778">
        <w:trPr>
          <w:trHeight w:val="300"/>
        </w:trPr>
        <w:tc>
          <w:tcPr>
            <w:tcW w:w="0" w:type="auto"/>
            <w:noWrap/>
            <w:hideMark/>
          </w:tcPr>
          <w:p w14:paraId="4D559676"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31 a 50 años</w:t>
            </w:r>
          </w:p>
        </w:tc>
        <w:tc>
          <w:tcPr>
            <w:tcW w:w="0" w:type="auto"/>
            <w:noWrap/>
            <w:hideMark/>
          </w:tcPr>
          <w:p w14:paraId="677A17A3"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409</w:t>
            </w:r>
          </w:p>
        </w:tc>
        <w:tc>
          <w:tcPr>
            <w:tcW w:w="0" w:type="auto"/>
            <w:noWrap/>
            <w:hideMark/>
          </w:tcPr>
          <w:p w14:paraId="51E9C233"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414</w:t>
            </w:r>
          </w:p>
        </w:tc>
        <w:tc>
          <w:tcPr>
            <w:tcW w:w="0" w:type="auto"/>
          </w:tcPr>
          <w:p w14:paraId="0FCBED48"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5</w:t>
            </w:r>
          </w:p>
        </w:tc>
        <w:tc>
          <w:tcPr>
            <w:tcW w:w="0" w:type="auto"/>
            <w:noWrap/>
            <w:hideMark/>
          </w:tcPr>
          <w:p w14:paraId="1D5A92F7"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1.22%</w:t>
            </w:r>
          </w:p>
        </w:tc>
      </w:tr>
      <w:tr w:rsidR="004B35F9" w:rsidRPr="00AA33EE" w14:paraId="1BDA6D77" w14:textId="77777777" w:rsidTr="00187778">
        <w:trPr>
          <w:trHeight w:val="300"/>
        </w:trPr>
        <w:tc>
          <w:tcPr>
            <w:tcW w:w="0" w:type="auto"/>
            <w:noWrap/>
            <w:hideMark/>
          </w:tcPr>
          <w:p w14:paraId="348E276D"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51 a 70 años</w:t>
            </w:r>
          </w:p>
        </w:tc>
        <w:tc>
          <w:tcPr>
            <w:tcW w:w="0" w:type="auto"/>
            <w:noWrap/>
            <w:hideMark/>
          </w:tcPr>
          <w:p w14:paraId="4C8B62D4"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244</w:t>
            </w:r>
          </w:p>
        </w:tc>
        <w:tc>
          <w:tcPr>
            <w:tcW w:w="0" w:type="auto"/>
            <w:noWrap/>
            <w:hideMark/>
          </w:tcPr>
          <w:p w14:paraId="1A5B3DE1"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270</w:t>
            </w:r>
          </w:p>
        </w:tc>
        <w:tc>
          <w:tcPr>
            <w:tcW w:w="0" w:type="auto"/>
          </w:tcPr>
          <w:p w14:paraId="39619291"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26</w:t>
            </w:r>
          </w:p>
        </w:tc>
        <w:tc>
          <w:tcPr>
            <w:tcW w:w="0" w:type="auto"/>
            <w:noWrap/>
            <w:hideMark/>
          </w:tcPr>
          <w:p w14:paraId="6F40967F"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10.66%</w:t>
            </w:r>
          </w:p>
        </w:tc>
      </w:tr>
      <w:tr w:rsidR="004B35F9" w:rsidRPr="00AA33EE" w14:paraId="28475043" w14:textId="77777777" w:rsidTr="00CF4C46">
        <w:trPr>
          <w:trHeight w:val="300"/>
        </w:trPr>
        <w:tc>
          <w:tcPr>
            <w:tcW w:w="0" w:type="auto"/>
            <w:noWrap/>
            <w:hideMark/>
          </w:tcPr>
          <w:p w14:paraId="25A6344A"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71 años a más</w:t>
            </w:r>
          </w:p>
        </w:tc>
        <w:tc>
          <w:tcPr>
            <w:tcW w:w="0" w:type="auto"/>
            <w:noWrap/>
            <w:hideMark/>
          </w:tcPr>
          <w:p w14:paraId="7430CE5A"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143</w:t>
            </w:r>
          </w:p>
        </w:tc>
        <w:tc>
          <w:tcPr>
            <w:tcW w:w="0" w:type="auto"/>
            <w:noWrap/>
            <w:hideMark/>
          </w:tcPr>
          <w:p w14:paraId="0F6939E0"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147</w:t>
            </w:r>
          </w:p>
        </w:tc>
        <w:tc>
          <w:tcPr>
            <w:tcW w:w="0" w:type="auto"/>
            <w:tcBorders>
              <w:bottom w:val="single" w:sz="4" w:space="0" w:color="auto"/>
            </w:tcBorders>
          </w:tcPr>
          <w:p w14:paraId="52DDFE7F"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4</w:t>
            </w:r>
          </w:p>
        </w:tc>
        <w:tc>
          <w:tcPr>
            <w:tcW w:w="0" w:type="auto"/>
            <w:tcBorders>
              <w:bottom w:val="single" w:sz="4" w:space="0" w:color="auto"/>
            </w:tcBorders>
            <w:noWrap/>
            <w:hideMark/>
          </w:tcPr>
          <w:p w14:paraId="297929DA" w14:textId="77777777" w:rsidR="004B35F9" w:rsidRPr="00AA33EE" w:rsidRDefault="004B35F9" w:rsidP="004B35F9">
            <w:pPr>
              <w:spacing w:line="360" w:lineRule="auto"/>
              <w:jc w:val="both"/>
              <w:rPr>
                <w:rFonts w:ascii="Times New Roman" w:hAnsi="Times New Roman" w:cs="Times New Roman"/>
                <w:sz w:val="24"/>
                <w:szCs w:val="24"/>
              </w:rPr>
            </w:pPr>
            <w:r w:rsidRPr="00AA33EE">
              <w:rPr>
                <w:rFonts w:ascii="Times New Roman" w:hAnsi="Times New Roman" w:cs="Times New Roman"/>
                <w:sz w:val="24"/>
                <w:szCs w:val="24"/>
              </w:rPr>
              <w:t>2.80%</w:t>
            </w:r>
          </w:p>
        </w:tc>
      </w:tr>
      <w:tr w:rsidR="00023054" w:rsidRPr="00AA33EE" w14:paraId="7FBE7E23" w14:textId="77777777" w:rsidTr="00CF4C46">
        <w:trPr>
          <w:trHeight w:val="300"/>
        </w:trPr>
        <w:tc>
          <w:tcPr>
            <w:tcW w:w="0" w:type="auto"/>
            <w:noWrap/>
          </w:tcPr>
          <w:p w14:paraId="52DED96E" w14:textId="1EE975F0" w:rsidR="00023054" w:rsidRPr="00187778" w:rsidRDefault="00187778"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Total</w:t>
            </w:r>
          </w:p>
        </w:tc>
        <w:tc>
          <w:tcPr>
            <w:tcW w:w="0" w:type="auto"/>
            <w:noWrap/>
          </w:tcPr>
          <w:p w14:paraId="4A48288D" w14:textId="1BCAB3A0" w:rsidR="00023054" w:rsidRPr="00187778" w:rsidRDefault="00187778" w:rsidP="00187778">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1149</w:t>
            </w:r>
          </w:p>
        </w:tc>
        <w:tc>
          <w:tcPr>
            <w:tcW w:w="0" w:type="auto"/>
            <w:tcBorders>
              <w:right w:val="single" w:sz="4" w:space="0" w:color="auto"/>
            </w:tcBorders>
            <w:noWrap/>
          </w:tcPr>
          <w:p w14:paraId="4D489006" w14:textId="71B1043D" w:rsidR="00023054" w:rsidRPr="00187778" w:rsidRDefault="00187778" w:rsidP="004B35F9">
            <w:pPr>
              <w:spacing w:line="360" w:lineRule="auto"/>
              <w:jc w:val="both"/>
              <w:rPr>
                <w:rFonts w:ascii="Times New Roman" w:hAnsi="Times New Roman" w:cs="Times New Roman"/>
                <w:b/>
                <w:sz w:val="24"/>
                <w:szCs w:val="24"/>
              </w:rPr>
            </w:pPr>
            <w:r w:rsidRPr="00187778">
              <w:rPr>
                <w:rFonts w:ascii="Times New Roman" w:hAnsi="Times New Roman" w:cs="Times New Roman"/>
                <w:b/>
                <w:sz w:val="24"/>
                <w:szCs w:val="24"/>
              </w:rPr>
              <w:t>1205</w:t>
            </w:r>
          </w:p>
        </w:tc>
        <w:tc>
          <w:tcPr>
            <w:tcW w:w="0" w:type="auto"/>
            <w:tcBorders>
              <w:top w:val="single" w:sz="4" w:space="0" w:color="auto"/>
              <w:left w:val="single" w:sz="4" w:space="0" w:color="auto"/>
              <w:bottom w:val="nil"/>
              <w:right w:val="nil"/>
            </w:tcBorders>
          </w:tcPr>
          <w:p w14:paraId="73CA181C" w14:textId="77777777" w:rsidR="00023054" w:rsidRPr="00AA33EE" w:rsidRDefault="00023054" w:rsidP="004B35F9">
            <w:pPr>
              <w:spacing w:line="360" w:lineRule="auto"/>
              <w:jc w:val="both"/>
              <w:rPr>
                <w:rFonts w:ascii="Times New Roman" w:hAnsi="Times New Roman" w:cs="Times New Roman"/>
                <w:sz w:val="24"/>
                <w:szCs w:val="24"/>
              </w:rPr>
            </w:pPr>
          </w:p>
        </w:tc>
        <w:tc>
          <w:tcPr>
            <w:tcW w:w="0" w:type="auto"/>
            <w:tcBorders>
              <w:top w:val="single" w:sz="4" w:space="0" w:color="auto"/>
              <w:left w:val="nil"/>
              <w:bottom w:val="nil"/>
              <w:right w:val="nil"/>
            </w:tcBorders>
            <w:noWrap/>
          </w:tcPr>
          <w:p w14:paraId="2B0BD386" w14:textId="77777777" w:rsidR="00023054" w:rsidRPr="00AA33EE" w:rsidRDefault="00023054" w:rsidP="004B35F9">
            <w:pPr>
              <w:spacing w:line="360" w:lineRule="auto"/>
              <w:jc w:val="both"/>
              <w:rPr>
                <w:rFonts w:ascii="Times New Roman" w:hAnsi="Times New Roman" w:cs="Times New Roman"/>
                <w:sz w:val="24"/>
                <w:szCs w:val="24"/>
              </w:rPr>
            </w:pPr>
          </w:p>
        </w:tc>
      </w:tr>
    </w:tbl>
    <w:p w14:paraId="49FA0956" w14:textId="77777777" w:rsidR="00B6724E" w:rsidRPr="00AA33EE" w:rsidRDefault="00B6724E" w:rsidP="003217DB">
      <w:pPr>
        <w:tabs>
          <w:tab w:val="left" w:pos="2145"/>
        </w:tabs>
        <w:rPr>
          <w:rFonts w:ascii="Times New Roman" w:hAnsi="Times New Roman" w:cs="Times New Roman"/>
          <w:sz w:val="24"/>
          <w:szCs w:val="24"/>
        </w:rPr>
      </w:pPr>
    </w:p>
    <w:p w14:paraId="18451591" w14:textId="77777777" w:rsidR="003217DB" w:rsidRPr="00AA33EE" w:rsidRDefault="003217DB" w:rsidP="003217DB">
      <w:pPr>
        <w:tabs>
          <w:tab w:val="left" w:pos="2145"/>
        </w:tabs>
        <w:rPr>
          <w:rFonts w:ascii="Times New Roman" w:hAnsi="Times New Roman" w:cs="Times New Roman"/>
          <w:sz w:val="24"/>
          <w:szCs w:val="24"/>
        </w:rPr>
      </w:pPr>
    </w:p>
    <w:p w14:paraId="2D590FAD" w14:textId="77777777" w:rsidR="00B6724E" w:rsidRPr="00AA33EE" w:rsidRDefault="00B6724E" w:rsidP="003217DB">
      <w:pPr>
        <w:tabs>
          <w:tab w:val="left" w:pos="2145"/>
        </w:tabs>
        <w:rPr>
          <w:rFonts w:ascii="Times New Roman" w:hAnsi="Times New Roman" w:cs="Times New Roman"/>
          <w:sz w:val="24"/>
          <w:szCs w:val="24"/>
        </w:rPr>
      </w:pPr>
    </w:p>
    <w:p w14:paraId="4CBB3BEF" w14:textId="77777777" w:rsidR="00B6724E" w:rsidRPr="00AA33EE" w:rsidRDefault="00B6724E" w:rsidP="003217DB">
      <w:pPr>
        <w:tabs>
          <w:tab w:val="left" w:pos="2145"/>
        </w:tabs>
        <w:rPr>
          <w:rFonts w:ascii="Times New Roman" w:hAnsi="Times New Roman" w:cs="Times New Roman"/>
          <w:sz w:val="24"/>
          <w:szCs w:val="24"/>
        </w:rPr>
      </w:pPr>
    </w:p>
    <w:p w14:paraId="45F722BB" w14:textId="77777777" w:rsidR="00B6724E" w:rsidRPr="00AA33EE" w:rsidRDefault="00B6724E" w:rsidP="003217DB">
      <w:pPr>
        <w:tabs>
          <w:tab w:val="left" w:pos="2145"/>
        </w:tabs>
        <w:rPr>
          <w:rFonts w:ascii="Times New Roman" w:hAnsi="Times New Roman" w:cs="Times New Roman"/>
          <w:sz w:val="24"/>
          <w:szCs w:val="24"/>
        </w:rPr>
      </w:pPr>
    </w:p>
    <w:p w14:paraId="34FC30C8" w14:textId="77777777" w:rsidR="00023054" w:rsidRPr="00AA33EE" w:rsidRDefault="00023054" w:rsidP="00023054">
      <w:pPr>
        <w:spacing w:after="0" w:line="360" w:lineRule="auto"/>
        <w:jc w:val="center"/>
        <w:rPr>
          <w:rFonts w:ascii="Times New Roman" w:hAnsi="Times New Roman" w:cs="Times New Roman"/>
          <w:sz w:val="24"/>
          <w:szCs w:val="24"/>
        </w:rPr>
      </w:pPr>
    </w:p>
    <w:p w14:paraId="49E8421F" w14:textId="77777777" w:rsidR="00023054" w:rsidRPr="00AA33EE" w:rsidRDefault="00023054" w:rsidP="00023054">
      <w:pPr>
        <w:spacing w:after="0" w:line="360" w:lineRule="auto"/>
        <w:jc w:val="center"/>
        <w:rPr>
          <w:rFonts w:ascii="Times New Roman" w:hAnsi="Times New Roman" w:cs="Times New Roman"/>
          <w:sz w:val="24"/>
          <w:szCs w:val="24"/>
        </w:rPr>
      </w:pPr>
    </w:p>
    <w:p w14:paraId="6E3D7474" w14:textId="05B39B52" w:rsidR="00023054" w:rsidRPr="00187778" w:rsidRDefault="00187778" w:rsidP="00023054">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Cuadro</w:t>
      </w:r>
      <w:r w:rsidR="00023054" w:rsidRPr="00187778">
        <w:rPr>
          <w:rFonts w:ascii="Times New Roman" w:hAnsi="Times New Roman" w:cs="Times New Roman"/>
          <w:b/>
          <w:sz w:val="20"/>
          <w:szCs w:val="20"/>
        </w:rPr>
        <w:t xml:space="preserve"> 4: fallecidos de accidentes de tránsito registrados por edad  entre el año 2015 y 2016.</w:t>
      </w:r>
    </w:p>
    <w:p w14:paraId="46A97423" w14:textId="77777777" w:rsidR="00023054" w:rsidRPr="00187778" w:rsidRDefault="00023054" w:rsidP="00023054">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Fuente: División de Tránsito Terrestre Policía Nacional Civil PNC</w:t>
      </w:r>
    </w:p>
    <w:p w14:paraId="6DD92F10" w14:textId="77777777" w:rsidR="00EC5901" w:rsidRDefault="00EC5901" w:rsidP="008F4FC1">
      <w:pPr>
        <w:spacing w:after="0" w:line="360" w:lineRule="auto"/>
        <w:jc w:val="center"/>
        <w:rPr>
          <w:rFonts w:ascii="Times New Roman" w:hAnsi="Times New Roman" w:cs="Times New Roman"/>
          <w:b/>
          <w:sz w:val="20"/>
          <w:szCs w:val="20"/>
        </w:rPr>
      </w:pPr>
    </w:p>
    <w:p w14:paraId="27D052D5" w14:textId="77777777" w:rsidR="00CF4C46" w:rsidRPr="00187778" w:rsidRDefault="00CF4C46" w:rsidP="008F4FC1">
      <w:pPr>
        <w:spacing w:after="0" w:line="360" w:lineRule="auto"/>
        <w:jc w:val="center"/>
        <w:rPr>
          <w:rFonts w:ascii="Times New Roman" w:hAnsi="Times New Roman" w:cs="Times New Roman"/>
          <w:b/>
          <w:sz w:val="20"/>
          <w:szCs w:val="20"/>
        </w:rPr>
      </w:pPr>
    </w:p>
    <w:p w14:paraId="3FEF7C89" w14:textId="07BD2B9B" w:rsidR="00023054" w:rsidRPr="00187778" w:rsidRDefault="008776FC" w:rsidP="00023054">
      <w:pPr>
        <w:spacing w:after="0" w:line="360" w:lineRule="auto"/>
        <w:jc w:val="center"/>
        <w:rPr>
          <w:rFonts w:ascii="Times New Roman" w:hAnsi="Times New Roman" w:cs="Times New Roman"/>
          <w:b/>
          <w:sz w:val="20"/>
          <w:szCs w:val="20"/>
        </w:rPr>
      </w:pPr>
      <w:r w:rsidRPr="00AA33EE">
        <w:rPr>
          <w:rFonts w:ascii="Times New Roman" w:hAnsi="Times New Roman" w:cs="Times New Roman"/>
          <w:noProof/>
          <w:sz w:val="24"/>
          <w:szCs w:val="24"/>
        </w:rPr>
        <w:drawing>
          <wp:anchor distT="0" distB="0" distL="114300" distR="114300" simplePos="0" relativeHeight="251668480" behindDoc="0" locked="0" layoutInCell="1" allowOverlap="1" wp14:anchorId="50DC2E73" wp14:editId="29EEE4F2">
            <wp:simplePos x="0" y="0"/>
            <wp:positionH relativeFrom="column">
              <wp:posOffset>407670</wp:posOffset>
            </wp:positionH>
            <wp:positionV relativeFrom="paragraph">
              <wp:posOffset>100965</wp:posOffset>
            </wp:positionV>
            <wp:extent cx="5262245" cy="2820670"/>
            <wp:effectExtent l="0" t="0" r="14605" b="17780"/>
            <wp:wrapTopAndBottom/>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023054" w:rsidRPr="00AA33EE">
        <w:rPr>
          <w:rFonts w:ascii="Times New Roman" w:hAnsi="Times New Roman" w:cs="Times New Roman"/>
          <w:sz w:val="24"/>
          <w:szCs w:val="24"/>
        </w:rPr>
        <w:t xml:space="preserve"> </w:t>
      </w:r>
      <w:r w:rsidR="00187778" w:rsidRPr="00187778">
        <w:rPr>
          <w:rFonts w:ascii="Times New Roman" w:hAnsi="Times New Roman" w:cs="Times New Roman"/>
          <w:b/>
          <w:sz w:val="20"/>
          <w:szCs w:val="20"/>
        </w:rPr>
        <w:t>Gráfico</w:t>
      </w:r>
      <w:r w:rsidR="00023054" w:rsidRPr="00187778">
        <w:rPr>
          <w:rFonts w:ascii="Times New Roman" w:hAnsi="Times New Roman" w:cs="Times New Roman"/>
          <w:b/>
          <w:sz w:val="20"/>
          <w:szCs w:val="20"/>
        </w:rPr>
        <w:t xml:space="preserve"> 5: </w:t>
      </w:r>
      <w:r w:rsidR="00187778" w:rsidRPr="00187778">
        <w:rPr>
          <w:rFonts w:ascii="Times New Roman" w:hAnsi="Times New Roman" w:cs="Times New Roman"/>
          <w:b/>
          <w:sz w:val="20"/>
          <w:szCs w:val="20"/>
        </w:rPr>
        <w:t>F</w:t>
      </w:r>
      <w:r w:rsidR="00023054" w:rsidRPr="00187778">
        <w:rPr>
          <w:rFonts w:ascii="Times New Roman" w:hAnsi="Times New Roman" w:cs="Times New Roman"/>
          <w:b/>
          <w:sz w:val="20"/>
          <w:szCs w:val="20"/>
        </w:rPr>
        <w:t>allecidos de accidentes de tránsito registrados por edad  entre el año 2015 y 2016.</w:t>
      </w:r>
    </w:p>
    <w:p w14:paraId="61897A32" w14:textId="77777777" w:rsidR="00413E3F" w:rsidRPr="00187778" w:rsidRDefault="00023054" w:rsidP="00B458B9">
      <w:pPr>
        <w:spacing w:after="0" w:line="360" w:lineRule="auto"/>
        <w:jc w:val="center"/>
        <w:rPr>
          <w:rFonts w:ascii="Times New Roman" w:hAnsi="Times New Roman" w:cs="Times New Roman"/>
          <w:b/>
          <w:sz w:val="20"/>
          <w:szCs w:val="20"/>
        </w:rPr>
      </w:pPr>
      <w:r w:rsidRPr="00187778">
        <w:rPr>
          <w:rFonts w:ascii="Times New Roman" w:hAnsi="Times New Roman" w:cs="Times New Roman"/>
          <w:b/>
          <w:sz w:val="20"/>
          <w:szCs w:val="20"/>
        </w:rPr>
        <w:t>Fuente: División de Tránsito Terrestre Policía Nacional Civil PNC</w:t>
      </w:r>
    </w:p>
    <w:p w14:paraId="7221B59D" w14:textId="5A52A44D" w:rsidR="00413E3F" w:rsidRDefault="00746552" w:rsidP="00BF4C2E">
      <w:pPr>
        <w:spacing w:after="0" w:line="360" w:lineRule="auto"/>
        <w:jc w:val="both"/>
        <w:rPr>
          <w:rFonts w:ascii="Times New Roman" w:hAnsi="Times New Roman" w:cs="Times New Roman"/>
          <w:sz w:val="24"/>
          <w:szCs w:val="24"/>
        </w:rPr>
      </w:pPr>
      <w:r w:rsidRPr="00AA33EE">
        <w:rPr>
          <w:rFonts w:ascii="Times New Roman" w:hAnsi="Times New Roman" w:cs="Times New Roman"/>
          <w:noProof/>
          <w:sz w:val="24"/>
          <w:szCs w:val="24"/>
        </w:rPr>
        <w:lastRenderedPageBreak/>
        <w:drawing>
          <wp:anchor distT="0" distB="0" distL="114300" distR="114300" simplePos="0" relativeHeight="251673600" behindDoc="0" locked="0" layoutInCell="1" allowOverlap="1" wp14:anchorId="4CD1D25C" wp14:editId="3A86B61F">
            <wp:simplePos x="0" y="0"/>
            <wp:positionH relativeFrom="margin">
              <wp:posOffset>-35560</wp:posOffset>
            </wp:positionH>
            <wp:positionV relativeFrom="paragraph">
              <wp:posOffset>917575</wp:posOffset>
            </wp:positionV>
            <wp:extent cx="6177915" cy="380936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77915" cy="3809365"/>
                    </a:xfrm>
                    <a:prstGeom prst="rect">
                      <a:avLst/>
                    </a:prstGeom>
                    <a:noFill/>
                  </pic:spPr>
                </pic:pic>
              </a:graphicData>
            </a:graphic>
            <wp14:sizeRelH relativeFrom="margin">
              <wp14:pctWidth>0</wp14:pctWidth>
            </wp14:sizeRelH>
            <wp14:sizeRelV relativeFrom="margin">
              <wp14:pctHeight>0</wp14:pctHeight>
            </wp14:sizeRelV>
          </wp:anchor>
        </w:drawing>
      </w:r>
      <w:r w:rsidR="00B74989" w:rsidRPr="00AA33EE">
        <w:rPr>
          <w:rFonts w:ascii="Times New Roman" w:hAnsi="Times New Roman" w:cs="Times New Roman"/>
          <w:sz w:val="24"/>
          <w:szCs w:val="24"/>
        </w:rPr>
        <w:t xml:space="preserve">En el grafico </w:t>
      </w:r>
      <w:r w:rsidRPr="00AA33EE">
        <w:rPr>
          <w:rFonts w:ascii="Times New Roman" w:hAnsi="Times New Roman" w:cs="Times New Roman"/>
          <w:sz w:val="24"/>
          <w:szCs w:val="24"/>
        </w:rPr>
        <w:t>6</w:t>
      </w:r>
      <w:r w:rsidR="00B74989" w:rsidRPr="00AA33EE">
        <w:rPr>
          <w:rFonts w:ascii="Times New Roman" w:hAnsi="Times New Roman" w:cs="Times New Roman"/>
          <w:sz w:val="24"/>
          <w:szCs w:val="24"/>
        </w:rPr>
        <w:t xml:space="preserve"> se presenta descripción</w:t>
      </w:r>
      <w:r w:rsidRPr="00AA33EE">
        <w:rPr>
          <w:rFonts w:ascii="Times New Roman" w:hAnsi="Times New Roman" w:cs="Times New Roman"/>
          <w:sz w:val="24"/>
          <w:szCs w:val="24"/>
        </w:rPr>
        <w:t xml:space="preserve"> de la tasa de mortalidad por accidentes de tránsito desde el año 2004 hasta 2016. Se puede observar que la tasa del 2016 </w:t>
      </w:r>
      <w:r w:rsidR="007805B0" w:rsidRPr="00AA33EE">
        <w:rPr>
          <w:rFonts w:ascii="Times New Roman" w:hAnsi="Times New Roman" w:cs="Times New Roman"/>
          <w:sz w:val="24"/>
          <w:szCs w:val="24"/>
        </w:rPr>
        <w:t>es de</w:t>
      </w:r>
      <w:r w:rsidR="00B74989" w:rsidRPr="00AA33EE">
        <w:rPr>
          <w:rFonts w:ascii="Times New Roman" w:hAnsi="Times New Roman" w:cs="Times New Roman"/>
          <w:sz w:val="24"/>
          <w:szCs w:val="24"/>
        </w:rPr>
        <w:t xml:space="preserve"> 18.7 por cada cien mil </w:t>
      </w:r>
      <w:r w:rsidRPr="00AA33EE">
        <w:rPr>
          <w:rFonts w:ascii="Times New Roman" w:hAnsi="Times New Roman" w:cs="Times New Roman"/>
          <w:sz w:val="24"/>
          <w:szCs w:val="24"/>
        </w:rPr>
        <w:t>habitantes</w:t>
      </w:r>
      <w:r w:rsidR="007805B0" w:rsidRPr="00AA33EE">
        <w:rPr>
          <w:rFonts w:ascii="Times New Roman" w:hAnsi="Times New Roman" w:cs="Times New Roman"/>
          <w:sz w:val="24"/>
          <w:szCs w:val="24"/>
        </w:rPr>
        <w:t xml:space="preserve"> la cual refleja un incremento de </w:t>
      </w:r>
      <w:r w:rsidR="00073CE5" w:rsidRPr="00AA33EE">
        <w:rPr>
          <w:rFonts w:ascii="Times New Roman" w:hAnsi="Times New Roman" w:cs="Times New Roman"/>
          <w:sz w:val="24"/>
          <w:szCs w:val="24"/>
        </w:rPr>
        <w:t>1.1</w:t>
      </w:r>
      <w:r w:rsidR="00CF4C46">
        <w:rPr>
          <w:rFonts w:ascii="Times New Roman" w:hAnsi="Times New Roman" w:cs="Times New Roman"/>
          <w:sz w:val="24"/>
          <w:szCs w:val="24"/>
        </w:rPr>
        <w:t xml:space="preserve"> </w:t>
      </w:r>
      <w:r w:rsidR="007805B0" w:rsidRPr="00AA33EE">
        <w:rPr>
          <w:rFonts w:ascii="Times New Roman" w:hAnsi="Times New Roman" w:cs="Times New Roman"/>
          <w:sz w:val="24"/>
          <w:szCs w:val="24"/>
        </w:rPr>
        <w:t>en relación al año 2015.</w:t>
      </w:r>
    </w:p>
    <w:p w14:paraId="6D26E1C9" w14:textId="7E1D8E16" w:rsidR="00626CEF" w:rsidRPr="00CF4C46" w:rsidRDefault="00CF4C46" w:rsidP="00626CEF">
      <w:pPr>
        <w:spacing w:after="0" w:line="360" w:lineRule="auto"/>
        <w:jc w:val="center"/>
        <w:rPr>
          <w:rFonts w:ascii="Times New Roman" w:hAnsi="Times New Roman" w:cs="Times New Roman"/>
          <w:b/>
          <w:sz w:val="20"/>
          <w:szCs w:val="20"/>
        </w:rPr>
      </w:pPr>
      <w:r w:rsidRPr="00CF4C46">
        <w:rPr>
          <w:rFonts w:ascii="Times New Roman" w:hAnsi="Times New Roman" w:cs="Times New Roman"/>
          <w:b/>
          <w:sz w:val="20"/>
          <w:szCs w:val="20"/>
        </w:rPr>
        <w:t xml:space="preserve">Gráfico </w:t>
      </w:r>
      <w:r>
        <w:rPr>
          <w:rFonts w:ascii="Times New Roman" w:hAnsi="Times New Roman" w:cs="Times New Roman"/>
          <w:b/>
          <w:sz w:val="20"/>
          <w:szCs w:val="20"/>
        </w:rPr>
        <w:t>6: T</w:t>
      </w:r>
      <w:r w:rsidR="00626CEF" w:rsidRPr="00CF4C46">
        <w:rPr>
          <w:rFonts w:ascii="Times New Roman" w:hAnsi="Times New Roman" w:cs="Times New Roman"/>
          <w:b/>
          <w:sz w:val="20"/>
          <w:szCs w:val="20"/>
        </w:rPr>
        <w:t>asa de mortalidad en accidentes de tránsito del año 2004 al año 2016.</w:t>
      </w:r>
    </w:p>
    <w:p w14:paraId="10AED9EC" w14:textId="77777777" w:rsidR="00CF4C46" w:rsidRDefault="00626CEF" w:rsidP="00CF4C46">
      <w:pPr>
        <w:spacing w:after="0" w:line="360" w:lineRule="auto"/>
        <w:jc w:val="center"/>
        <w:rPr>
          <w:rFonts w:ascii="Times New Roman" w:hAnsi="Times New Roman" w:cs="Times New Roman"/>
          <w:b/>
          <w:sz w:val="20"/>
          <w:szCs w:val="20"/>
        </w:rPr>
      </w:pPr>
      <w:r w:rsidRPr="00CF4C46">
        <w:rPr>
          <w:rFonts w:ascii="Times New Roman" w:hAnsi="Times New Roman" w:cs="Times New Roman"/>
          <w:b/>
          <w:sz w:val="20"/>
          <w:szCs w:val="20"/>
        </w:rPr>
        <w:t>Fuente: División de Tránsito Terrestre Policía Nacional Civil PNC</w:t>
      </w:r>
    </w:p>
    <w:p w14:paraId="5D0596CE" w14:textId="77777777" w:rsidR="00CF4C46" w:rsidRDefault="00CF4C46" w:rsidP="00CF4C46">
      <w:pPr>
        <w:spacing w:after="0" w:line="360" w:lineRule="auto"/>
        <w:jc w:val="center"/>
        <w:rPr>
          <w:rFonts w:ascii="Times New Roman" w:hAnsi="Times New Roman" w:cs="Times New Roman"/>
          <w:b/>
          <w:sz w:val="20"/>
          <w:szCs w:val="20"/>
        </w:rPr>
      </w:pPr>
    </w:p>
    <w:p w14:paraId="22A13B38" w14:textId="77777777" w:rsidR="00CF4C46" w:rsidRDefault="00CF4C46" w:rsidP="00CF4C46">
      <w:pPr>
        <w:spacing w:after="0" w:line="360" w:lineRule="auto"/>
        <w:jc w:val="center"/>
        <w:rPr>
          <w:rFonts w:ascii="Times New Roman" w:hAnsi="Times New Roman" w:cs="Times New Roman"/>
          <w:sz w:val="24"/>
          <w:szCs w:val="24"/>
        </w:rPr>
      </w:pPr>
    </w:p>
    <w:p w14:paraId="1E699296" w14:textId="77777777" w:rsidR="00CF4C46" w:rsidRDefault="00CF4C46" w:rsidP="00CF4C46">
      <w:pPr>
        <w:spacing w:after="0" w:line="360" w:lineRule="auto"/>
        <w:jc w:val="center"/>
        <w:rPr>
          <w:rFonts w:ascii="Times New Roman" w:hAnsi="Times New Roman" w:cs="Times New Roman"/>
          <w:sz w:val="24"/>
          <w:szCs w:val="24"/>
        </w:rPr>
      </w:pPr>
    </w:p>
    <w:p w14:paraId="532943A8" w14:textId="77777777" w:rsidR="00CF4C46" w:rsidRDefault="00CF4C46" w:rsidP="00CF4C46">
      <w:pPr>
        <w:spacing w:after="0" w:line="360" w:lineRule="auto"/>
        <w:jc w:val="center"/>
        <w:rPr>
          <w:rFonts w:ascii="Times New Roman" w:hAnsi="Times New Roman" w:cs="Times New Roman"/>
          <w:sz w:val="24"/>
          <w:szCs w:val="24"/>
        </w:rPr>
      </w:pPr>
    </w:p>
    <w:p w14:paraId="71156297" w14:textId="77777777" w:rsidR="00CF4C46" w:rsidRDefault="00CF4C46" w:rsidP="00CF4C46">
      <w:pPr>
        <w:spacing w:after="0" w:line="360" w:lineRule="auto"/>
        <w:jc w:val="center"/>
        <w:rPr>
          <w:rFonts w:ascii="Times New Roman" w:hAnsi="Times New Roman" w:cs="Times New Roman"/>
          <w:sz w:val="24"/>
          <w:szCs w:val="24"/>
        </w:rPr>
      </w:pPr>
    </w:p>
    <w:p w14:paraId="5C741D89" w14:textId="77777777" w:rsidR="00CF4C46" w:rsidRDefault="00CF4C46" w:rsidP="00CF4C46">
      <w:pPr>
        <w:spacing w:after="0" w:line="360" w:lineRule="auto"/>
        <w:jc w:val="center"/>
        <w:rPr>
          <w:rFonts w:ascii="Times New Roman" w:hAnsi="Times New Roman" w:cs="Times New Roman"/>
          <w:sz w:val="24"/>
          <w:szCs w:val="24"/>
        </w:rPr>
      </w:pPr>
    </w:p>
    <w:p w14:paraId="6D9DF326" w14:textId="77777777" w:rsidR="00CF4C46" w:rsidRDefault="00CF4C46" w:rsidP="00CF4C46">
      <w:pPr>
        <w:spacing w:after="0" w:line="360" w:lineRule="auto"/>
        <w:jc w:val="center"/>
        <w:rPr>
          <w:rFonts w:ascii="Times New Roman" w:hAnsi="Times New Roman" w:cs="Times New Roman"/>
          <w:sz w:val="24"/>
          <w:szCs w:val="24"/>
        </w:rPr>
      </w:pPr>
    </w:p>
    <w:p w14:paraId="5F85E599" w14:textId="77777777" w:rsidR="00CF4C46" w:rsidRDefault="00CF4C46" w:rsidP="00CF4C46">
      <w:pPr>
        <w:spacing w:after="0" w:line="360" w:lineRule="auto"/>
        <w:jc w:val="center"/>
        <w:rPr>
          <w:rFonts w:ascii="Times New Roman" w:hAnsi="Times New Roman" w:cs="Times New Roman"/>
          <w:sz w:val="24"/>
          <w:szCs w:val="24"/>
        </w:rPr>
      </w:pPr>
    </w:p>
    <w:p w14:paraId="2EC614E5" w14:textId="77777777" w:rsidR="00CF4C46" w:rsidRDefault="00CF4C46" w:rsidP="00CF4C46">
      <w:pPr>
        <w:spacing w:after="0" w:line="360" w:lineRule="auto"/>
        <w:jc w:val="center"/>
        <w:rPr>
          <w:rFonts w:ascii="Times New Roman" w:hAnsi="Times New Roman" w:cs="Times New Roman"/>
          <w:sz w:val="24"/>
          <w:szCs w:val="24"/>
        </w:rPr>
      </w:pPr>
    </w:p>
    <w:p w14:paraId="001C67C4" w14:textId="77777777" w:rsidR="00CF4C46" w:rsidRDefault="00CF4C46" w:rsidP="00CF4C46">
      <w:pPr>
        <w:spacing w:after="0" w:line="360" w:lineRule="auto"/>
        <w:jc w:val="center"/>
        <w:rPr>
          <w:rFonts w:ascii="Times New Roman" w:hAnsi="Times New Roman" w:cs="Times New Roman"/>
          <w:sz w:val="24"/>
          <w:szCs w:val="24"/>
        </w:rPr>
      </w:pPr>
    </w:p>
    <w:p w14:paraId="5917A3DE" w14:textId="5D83EA10" w:rsidR="0004285F" w:rsidRDefault="00CF4C46" w:rsidP="000428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 cuanto a</w:t>
      </w:r>
      <w:r w:rsidR="0004285F">
        <w:rPr>
          <w:rFonts w:ascii="Times New Roman" w:hAnsi="Times New Roman" w:cs="Times New Roman"/>
          <w:sz w:val="24"/>
          <w:szCs w:val="24"/>
        </w:rPr>
        <w:t xml:space="preserve"> </w:t>
      </w:r>
      <w:r>
        <w:rPr>
          <w:rFonts w:ascii="Times New Roman" w:hAnsi="Times New Roman" w:cs="Times New Roman"/>
          <w:sz w:val="24"/>
          <w:szCs w:val="24"/>
        </w:rPr>
        <w:t>l</w:t>
      </w:r>
      <w:r w:rsidR="0004285F">
        <w:rPr>
          <w:rFonts w:ascii="Times New Roman" w:hAnsi="Times New Roman" w:cs="Times New Roman"/>
          <w:sz w:val="24"/>
          <w:szCs w:val="24"/>
        </w:rPr>
        <w:t>os usuarios de la vía, los motociclistas siguen siendo los más vulnerables, y en su caso se ha observado que frecuentemente tienen un comportamiento temerario en la vía al irrespetar las normas de tránsito, ello es reflejado en los datos proporcionados por el Viceministerio de Transporte</w:t>
      </w:r>
      <w:r>
        <w:rPr>
          <w:rFonts w:ascii="Times New Roman" w:hAnsi="Times New Roman" w:cs="Times New Roman"/>
          <w:sz w:val="24"/>
          <w:szCs w:val="24"/>
        </w:rPr>
        <w:t xml:space="preserve"> </w:t>
      </w:r>
      <w:r w:rsidR="0004285F">
        <w:rPr>
          <w:rFonts w:ascii="Times New Roman" w:hAnsi="Times New Roman" w:cs="Times New Roman"/>
          <w:sz w:val="24"/>
          <w:szCs w:val="24"/>
        </w:rPr>
        <w:t xml:space="preserve">en la cifra del parque vehicular, el cual está en aumento constante, </w:t>
      </w:r>
      <w:r w:rsidR="008F7A2F">
        <w:rPr>
          <w:rFonts w:ascii="Times New Roman" w:hAnsi="Times New Roman" w:cs="Times New Roman"/>
          <w:sz w:val="24"/>
          <w:szCs w:val="24"/>
        </w:rPr>
        <w:t>así para</w:t>
      </w:r>
      <w:r w:rsidR="0004285F">
        <w:rPr>
          <w:rFonts w:ascii="Times New Roman" w:hAnsi="Times New Roman" w:cs="Times New Roman"/>
          <w:sz w:val="24"/>
          <w:szCs w:val="24"/>
        </w:rPr>
        <w:t xml:space="preserve"> el año 2015 era de 925,448</w:t>
      </w:r>
      <w:r w:rsidR="008F7A2F">
        <w:rPr>
          <w:rFonts w:ascii="Times New Roman" w:hAnsi="Times New Roman" w:cs="Times New Roman"/>
          <w:sz w:val="24"/>
          <w:szCs w:val="24"/>
        </w:rPr>
        <w:t xml:space="preserve"> vehículos</w:t>
      </w:r>
      <w:r w:rsidR="0004285F">
        <w:rPr>
          <w:rFonts w:ascii="Times New Roman" w:hAnsi="Times New Roman" w:cs="Times New Roman"/>
          <w:sz w:val="24"/>
          <w:szCs w:val="24"/>
        </w:rPr>
        <w:t xml:space="preserve"> </w:t>
      </w:r>
      <w:r w:rsidR="008F7A2F">
        <w:rPr>
          <w:rFonts w:ascii="Times New Roman" w:hAnsi="Times New Roman" w:cs="Times New Roman"/>
          <w:sz w:val="24"/>
          <w:szCs w:val="24"/>
        </w:rPr>
        <w:t xml:space="preserve">del cual </w:t>
      </w:r>
      <w:r w:rsidR="0004285F">
        <w:rPr>
          <w:rFonts w:ascii="Times New Roman" w:hAnsi="Times New Roman" w:cs="Times New Roman"/>
          <w:sz w:val="24"/>
          <w:szCs w:val="24"/>
        </w:rPr>
        <w:t xml:space="preserve">171, 793 equivalente a </w:t>
      </w:r>
      <w:r w:rsidR="008F7A2F">
        <w:rPr>
          <w:rFonts w:ascii="Times New Roman" w:hAnsi="Times New Roman" w:cs="Times New Roman"/>
          <w:sz w:val="24"/>
          <w:szCs w:val="24"/>
        </w:rPr>
        <w:t xml:space="preserve">motocicletas con un </w:t>
      </w:r>
      <w:r w:rsidR="0004285F">
        <w:rPr>
          <w:rFonts w:ascii="Times New Roman" w:hAnsi="Times New Roman" w:cs="Times New Roman"/>
          <w:sz w:val="24"/>
          <w:szCs w:val="24"/>
        </w:rPr>
        <w:t>1</w:t>
      </w:r>
      <w:r w:rsidR="008F7A2F">
        <w:rPr>
          <w:rFonts w:ascii="Times New Roman" w:hAnsi="Times New Roman" w:cs="Times New Roman"/>
          <w:sz w:val="24"/>
          <w:szCs w:val="24"/>
        </w:rPr>
        <w:t>6%. Para el año 2016, el parque vehicular fue de 1, 008,078, del cual el 17% representa 210,030 motocicletas, tal como lo refleja los gráficos siguientes.</w:t>
      </w:r>
    </w:p>
    <w:p w14:paraId="70B6B76C" w14:textId="77777777" w:rsidR="001336E3" w:rsidRDefault="001336E3" w:rsidP="0004285F">
      <w:pPr>
        <w:spacing w:after="0" w:line="360" w:lineRule="auto"/>
        <w:jc w:val="both"/>
        <w:rPr>
          <w:rFonts w:ascii="Times New Roman" w:hAnsi="Times New Roman" w:cs="Times New Roman"/>
          <w:sz w:val="24"/>
          <w:szCs w:val="24"/>
        </w:rPr>
      </w:pPr>
    </w:p>
    <w:p w14:paraId="25904423" w14:textId="77777777" w:rsidR="0004285F" w:rsidRDefault="0004285F" w:rsidP="0004285F">
      <w:pPr>
        <w:spacing w:after="0" w:line="360" w:lineRule="auto"/>
        <w:jc w:val="both"/>
        <w:rPr>
          <w:rFonts w:ascii="Times New Roman" w:hAnsi="Times New Roman" w:cs="Times New Roman"/>
          <w:sz w:val="24"/>
          <w:szCs w:val="24"/>
        </w:rPr>
      </w:pPr>
    </w:p>
    <w:p w14:paraId="170E10D4" w14:textId="6056CCE8" w:rsidR="0004285F" w:rsidRDefault="0004285F" w:rsidP="00CF4C46">
      <w:pPr>
        <w:spacing w:after="0" w:line="360" w:lineRule="auto"/>
        <w:jc w:val="both"/>
        <w:rPr>
          <w:rFonts w:ascii="Times New Roman" w:hAnsi="Times New Roman" w:cs="Times New Roman"/>
          <w:sz w:val="24"/>
          <w:szCs w:val="24"/>
        </w:rPr>
      </w:pPr>
      <w:r>
        <w:rPr>
          <w:noProof/>
        </w:rPr>
        <w:drawing>
          <wp:inline distT="0" distB="0" distL="0" distR="0" wp14:anchorId="7CFFBD0A" wp14:editId="124B943F">
            <wp:extent cx="5848350" cy="2219325"/>
            <wp:effectExtent l="0" t="0" r="0" b="9525"/>
            <wp:docPr id="23" name="Imagen 23"/>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5"/>
                    <a:srcRect l="20990" t="25966" r="4847" b="24410"/>
                    <a:stretch/>
                  </pic:blipFill>
                  <pic:spPr bwMode="auto">
                    <a:xfrm>
                      <a:off x="0" y="0"/>
                      <a:ext cx="5848350" cy="2219325"/>
                    </a:xfrm>
                    <a:prstGeom prst="rect">
                      <a:avLst/>
                    </a:prstGeom>
                    <a:ln>
                      <a:noFill/>
                    </a:ln>
                    <a:extLst>
                      <a:ext uri="{53640926-AAD7-44D8-BBD7-CCE9431645EC}">
                        <a14:shadowObscured xmlns:a14="http://schemas.microsoft.com/office/drawing/2010/main"/>
                      </a:ext>
                    </a:extLst>
                  </pic:spPr>
                </pic:pic>
              </a:graphicData>
            </a:graphic>
          </wp:inline>
        </w:drawing>
      </w:r>
    </w:p>
    <w:p w14:paraId="11A84DBD" w14:textId="77777777" w:rsidR="0004285F" w:rsidRDefault="0004285F" w:rsidP="00CF4C46">
      <w:pPr>
        <w:spacing w:after="0" w:line="360" w:lineRule="auto"/>
        <w:jc w:val="both"/>
        <w:rPr>
          <w:rFonts w:ascii="Times New Roman" w:hAnsi="Times New Roman" w:cs="Times New Roman"/>
          <w:sz w:val="24"/>
          <w:szCs w:val="24"/>
        </w:rPr>
      </w:pPr>
    </w:p>
    <w:p w14:paraId="3B67E708" w14:textId="77777777" w:rsidR="001336E3" w:rsidRDefault="001336E3" w:rsidP="001336E3">
      <w:pPr>
        <w:spacing w:after="0" w:line="360" w:lineRule="auto"/>
        <w:jc w:val="both"/>
        <w:rPr>
          <w:rFonts w:ascii="Times New Roman" w:hAnsi="Times New Roman" w:cs="Times New Roman"/>
          <w:sz w:val="24"/>
          <w:szCs w:val="24"/>
        </w:rPr>
      </w:pPr>
    </w:p>
    <w:p w14:paraId="3A9E283A" w14:textId="33ED5D49" w:rsidR="00B21E37" w:rsidRDefault="008F7A2F" w:rsidP="00F64C2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 relación al parque vehicular, el </w:t>
      </w:r>
      <w:r w:rsidR="00CF4C46">
        <w:rPr>
          <w:rFonts w:ascii="Times New Roman" w:hAnsi="Times New Roman" w:cs="Times New Roman"/>
          <w:sz w:val="24"/>
          <w:szCs w:val="24"/>
        </w:rPr>
        <w:t>tipo de vehículo involucrado en el siniestro de tránsito</w:t>
      </w:r>
      <w:r w:rsidR="0004285F">
        <w:rPr>
          <w:rFonts w:ascii="Times New Roman" w:hAnsi="Times New Roman" w:cs="Times New Roman"/>
          <w:sz w:val="24"/>
          <w:szCs w:val="24"/>
        </w:rPr>
        <w:t xml:space="preserve">, se </w:t>
      </w:r>
      <w:r w:rsidR="001336E3">
        <w:rPr>
          <w:rFonts w:ascii="Times New Roman" w:hAnsi="Times New Roman" w:cs="Times New Roman"/>
          <w:sz w:val="24"/>
          <w:szCs w:val="24"/>
        </w:rPr>
        <w:t>reflejado</w:t>
      </w:r>
      <w:r>
        <w:rPr>
          <w:rFonts w:ascii="Times New Roman" w:hAnsi="Times New Roman" w:cs="Times New Roman"/>
          <w:sz w:val="24"/>
          <w:szCs w:val="24"/>
        </w:rPr>
        <w:t xml:space="preserve"> en el siguiente gráfico</w:t>
      </w:r>
      <w:r w:rsidR="001336E3">
        <w:rPr>
          <w:rFonts w:ascii="Times New Roman" w:hAnsi="Times New Roman" w:cs="Times New Roman"/>
          <w:sz w:val="24"/>
          <w:szCs w:val="24"/>
        </w:rPr>
        <w:t xml:space="preserve">, del cual se infiere que del total de </w:t>
      </w:r>
      <w:r w:rsidR="0036014E" w:rsidRPr="00B21E37">
        <w:rPr>
          <w:rFonts w:ascii="Times New Roman" w:hAnsi="Times New Roman" w:cs="Times New Roman"/>
          <w:sz w:val="24"/>
          <w:szCs w:val="24"/>
        </w:rPr>
        <w:t xml:space="preserve">accidentes de tránsito </w:t>
      </w:r>
      <w:r w:rsidR="001336E3">
        <w:rPr>
          <w:rFonts w:ascii="Times New Roman" w:hAnsi="Times New Roman" w:cs="Times New Roman"/>
          <w:sz w:val="24"/>
          <w:szCs w:val="24"/>
        </w:rPr>
        <w:t xml:space="preserve">ocurridos </w:t>
      </w:r>
      <w:r w:rsidR="0036014E" w:rsidRPr="00B21E37">
        <w:rPr>
          <w:rFonts w:ascii="Times New Roman" w:hAnsi="Times New Roman" w:cs="Times New Roman"/>
          <w:sz w:val="24"/>
          <w:szCs w:val="24"/>
        </w:rPr>
        <w:t xml:space="preserve">en el año 2015, </w:t>
      </w:r>
      <w:r w:rsidR="001336E3">
        <w:rPr>
          <w:rFonts w:ascii="Times New Roman" w:hAnsi="Times New Roman" w:cs="Times New Roman"/>
          <w:sz w:val="24"/>
          <w:szCs w:val="24"/>
        </w:rPr>
        <w:t xml:space="preserve">intervino una motocicleta en </w:t>
      </w:r>
      <w:r w:rsidR="001336E3" w:rsidRPr="00B21E37">
        <w:rPr>
          <w:rFonts w:ascii="Times New Roman" w:hAnsi="Times New Roman" w:cs="Times New Roman"/>
          <w:sz w:val="24"/>
          <w:szCs w:val="24"/>
        </w:rPr>
        <w:t>1</w:t>
      </w:r>
      <w:r w:rsidR="001336E3">
        <w:rPr>
          <w:rFonts w:ascii="Times New Roman" w:hAnsi="Times New Roman" w:cs="Times New Roman"/>
          <w:sz w:val="24"/>
          <w:szCs w:val="24"/>
        </w:rPr>
        <w:t>,</w:t>
      </w:r>
      <w:r w:rsidR="001336E3" w:rsidRPr="00B21E37">
        <w:rPr>
          <w:rFonts w:ascii="Times New Roman" w:hAnsi="Times New Roman" w:cs="Times New Roman"/>
          <w:sz w:val="24"/>
          <w:szCs w:val="24"/>
        </w:rPr>
        <w:t>713 accidentes</w:t>
      </w:r>
      <w:r w:rsidR="001336E3">
        <w:rPr>
          <w:rFonts w:ascii="Times New Roman" w:hAnsi="Times New Roman" w:cs="Times New Roman"/>
          <w:sz w:val="24"/>
          <w:szCs w:val="24"/>
        </w:rPr>
        <w:t xml:space="preserve"> lo cual</w:t>
      </w:r>
      <w:r w:rsidR="0036014E" w:rsidRPr="00B21E37">
        <w:rPr>
          <w:rFonts w:ascii="Times New Roman" w:hAnsi="Times New Roman" w:cs="Times New Roman"/>
          <w:sz w:val="24"/>
          <w:szCs w:val="24"/>
        </w:rPr>
        <w:t xml:space="preserve"> equivalente a</w:t>
      </w:r>
      <w:r w:rsidR="001336E3">
        <w:rPr>
          <w:rFonts w:ascii="Times New Roman" w:hAnsi="Times New Roman" w:cs="Times New Roman"/>
          <w:sz w:val="24"/>
          <w:szCs w:val="24"/>
        </w:rPr>
        <w:t xml:space="preserve">l 8%; en el año </w:t>
      </w:r>
      <w:r w:rsidR="00B21E37" w:rsidRPr="00B21E37">
        <w:rPr>
          <w:rFonts w:ascii="Times New Roman" w:hAnsi="Times New Roman" w:cs="Times New Roman"/>
          <w:sz w:val="24"/>
          <w:szCs w:val="24"/>
        </w:rPr>
        <w:t xml:space="preserve">2016, </w:t>
      </w:r>
      <w:r w:rsidR="001336E3">
        <w:rPr>
          <w:rFonts w:ascii="Times New Roman" w:hAnsi="Times New Roman" w:cs="Times New Roman"/>
          <w:sz w:val="24"/>
          <w:szCs w:val="24"/>
        </w:rPr>
        <w:t xml:space="preserve">del total de accidentes ocurridos el 9% estuvo relacionado a una motociclista lo cual representa </w:t>
      </w:r>
      <w:r w:rsidR="00B21E37" w:rsidRPr="00B21E37">
        <w:rPr>
          <w:rFonts w:ascii="Times New Roman" w:hAnsi="Times New Roman" w:cs="Times New Roman"/>
          <w:sz w:val="24"/>
          <w:szCs w:val="24"/>
        </w:rPr>
        <w:t>2</w:t>
      </w:r>
      <w:r w:rsidR="001336E3">
        <w:rPr>
          <w:rFonts w:ascii="Times New Roman" w:hAnsi="Times New Roman" w:cs="Times New Roman"/>
          <w:sz w:val="24"/>
          <w:szCs w:val="24"/>
        </w:rPr>
        <w:t>,</w:t>
      </w:r>
      <w:r w:rsidR="00B21E37" w:rsidRPr="00B21E37">
        <w:rPr>
          <w:rFonts w:ascii="Times New Roman" w:hAnsi="Times New Roman" w:cs="Times New Roman"/>
          <w:sz w:val="24"/>
          <w:szCs w:val="24"/>
        </w:rPr>
        <w:t>031 accidentes</w:t>
      </w:r>
      <w:r w:rsidR="001336E3">
        <w:rPr>
          <w:rFonts w:ascii="Times New Roman" w:hAnsi="Times New Roman" w:cs="Times New Roman"/>
          <w:sz w:val="24"/>
          <w:szCs w:val="24"/>
        </w:rPr>
        <w:t>.</w:t>
      </w:r>
    </w:p>
    <w:p w14:paraId="21F90DB4" w14:textId="77777777" w:rsidR="00BB3218" w:rsidRDefault="00BB3218" w:rsidP="001336E3">
      <w:pPr>
        <w:spacing w:after="0" w:line="360" w:lineRule="auto"/>
        <w:jc w:val="both"/>
        <w:rPr>
          <w:rFonts w:ascii="Times New Roman" w:hAnsi="Times New Roman" w:cs="Times New Roman"/>
          <w:sz w:val="24"/>
          <w:szCs w:val="24"/>
        </w:rPr>
      </w:pPr>
    </w:p>
    <w:p w14:paraId="6A8F89AE" w14:textId="430404AE" w:rsidR="00BB3218" w:rsidRDefault="00BB3218" w:rsidP="001336E3">
      <w:pPr>
        <w:spacing w:after="0" w:line="360" w:lineRule="auto"/>
        <w:jc w:val="both"/>
        <w:rPr>
          <w:rFonts w:ascii="Times New Roman" w:hAnsi="Times New Roman" w:cs="Times New Roman"/>
          <w:sz w:val="24"/>
          <w:szCs w:val="24"/>
        </w:rPr>
      </w:pPr>
      <w:r>
        <w:rPr>
          <w:noProof/>
        </w:rPr>
        <w:lastRenderedPageBreak/>
        <w:drawing>
          <wp:inline distT="0" distB="0" distL="0" distR="0" wp14:anchorId="0C346579" wp14:editId="2AED6630">
            <wp:extent cx="6357668" cy="2070339"/>
            <wp:effectExtent l="0" t="0" r="5080" b="6350"/>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rotWithShape="1">
                    <a:blip r:embed="rId16" cstate="print">
                      <a:extLst>
                        <a:ext uri="{28A0092B-C50C-407E-A947-70E740481C1C}">
                          <a14:useLocalDpi xmlns:a14="http://schemas.microsoft.com/office/drawing/2010/main" val="0"/>
                        </a:ext>
                      </a:extLst>
                    </a:blip>
                    <a:srcRect l="25119" t="36828" r="7784" b="19903"/>
                    <a:stretch/>
                  </pic:blipFill>
                  <pic:spPr bwMode="auto">
                    <a:xfrm>
                      <a:off x="0" y="0"/>
                      <a:ext cx="6392231" cy="2081594"/>
                    </a:xfrm>
                    <a:prstGeom prst="rect">
                      <a:avLst/>
                    </a:prstGeom>
                    <a:ln>
                      <a:noFill/>
                    </a:ln>
                    <a:extLst>
                      <a:ext uri="{53640926-AAD7-44D8-BBD7-CCE9431645EC}">
                        <a14:shadowObscured xmlns:a14="http://schemas.microsoft.com/office/drawing/2010/main"/>
                      </a:ext>
                    </a:extLst>
                  </pic:spPr>
                </pic:pic>
              </a:graphicData>
            </a:graphic>
          </wp:inline>
        </w:drawing>
      </w:r>
    </w:p>
    <w:p w14:paraId="1BFB5A23" w14:textId="77777777" w:rsidR="00B21E37" w:rsidRDefault="00B21E37" w:rsidP="000A1193">
      <w:pPr>
        <w:spacing w:after="0" w:line="360" w:lineRule="auto"/>
        <w:jc w:val="center"/>
        <w:rPr>
          <w:rFonts w:ascii="Times New Roman" w:hAnsi="Times New Roman" w:cs="Times New Roman"/>
          <w:sz w:val="20"/>
          <w:szCs w:val="20"/>
        </w:rPr>
      </w:pPr>
    </w:p>
    <w:p w14:paraId="59F8B608" w14:textId="5CBBFCB1" w:rsidR="00763FAD" w:rsidRPr="0037215D" w:rsidRDefault="006F093F" w:rsidP="00F64C2A">
      <w:pPr>
        <w:spacing w:line="360" w:lineRule="auto"/>
        <w:jc w:val="both"/>
        <w:rPr>
          <w:rFonts w:ascii="Times New Roman" w:hAnsi="Times New Roman" w:cs="Times New Roman"/>
          <w:sz w:val="24"/>
          <w:szCs w:val="24"/>
        </w:rPr>
      </w:pPr>
      <w:bookmarkStart w:id="0" w:name="_Toc472343170"/>
      <w:r w:rsidRPr="0037215D">
        <w:rPr>
          <w:rFonts w:ascii="Times New Roman" w:hAnsi="Times New Roman" w:cs="Times New Roman"/>
          <w:sz w:val="24"/>
          <w:szCs w:val="24"/>
        </w:rPr>
        <w:t xml:space="preserve">En el grafico </w:t>
      </w:r>
      <w:r w:rsidR="00BB3218">
        <w:rPr>
          <w:rFonts w:ascii="Times New Roman" w:hAnsi="Times New Roman" w:cs="Times New Roman"/>
          <w:sz w:val="24"/>
          <w:szCs w:val="24"/>
        </w:rPr>
        <w:t>siguiente</w:t>
      </w:r>
      <w:r w:rsidRPr="0037215D">
        <w:rPr>
          <w:rFonts w:ascii="Times New Roman" w:hAnsi="Times New Roman" w:cs="Times New Roman"/>
          <w:sz w:val="24"/>
          <w:szCs w:val="24"/>
        </w:rPr>
        <w:t xml:space="preserve"> se muestra un comparativo </w:t>
      </w:r>
      <w:r w:rsidR="00BB3218">
        <w:rPr>
          <w:rFonts w:ascii="Times New Roman" w:hAnsi="Times New Roman" w:cs="Times New Roman"/>
          <w:sz w:val="24"/>
          <w:szCs w:val="24"/>
        </w:rPr>
        <w:t xml:space="preserve">entre número de accidentes, </w:t>
      </w:r>
      <w:r w:rsidR="0037215D" w:rsidRPr="0037215D">
        <w:rPr>
          <w:rFonts w:ascii="Times New Roman" w:hAnsi="Times New Roman" w:cs="Times New Roman"/>
          <w:sz w:val="24"/>
          <w:szCs w:val="24"/>
        </w:rPr>
        <w:t>lesionados y fallecidos</w:t>
      </w:r>
      <w:r w:rsidR="00BB3218">
        <w:rPr>
          <w:rFonts w:ascii="Times New Roman" w:hAnsi="Times New Roman" w:cs="Times New Roman"/>
          <w:sz w:val="24"/>
          <w:szCs w:val="24"/>
        </w:rPr>
        <w:t xml:space="preserve">, en específico aquellos en los que intervinieron </w:t>
      </w:r>
      <w:r w:rsidRPr="0037215D">
        <w:rPr>
          <w:rFonts w:ascii="Times New Roman" w:hAnsi="Times New Roman" w:cs="Times New Roman"/>
          <w:sz w:val="24"/>
          <w:szCs w:val="24"/>
        </w:rPr>
        <w:t>motocicletas en</w:t>
      </w:r>
      <w:r w:rsidR="00BB3218">
        <w:rPr>
          <w:rFonts w:ascii="Times New Roman" w:hAnsi="Times New Roman" w:cs="Times New Roman"/>
          <w:sz w:val="24"/>
          <w:szCs w:val="24"/>
        </w:rPr>
        <w:t>tre</w:t>
      </w:r>
      <w:r w:rsidRPr="0037215D">
        <w:rPr>
          <w:rFonts w:ascii="Times New Roman" w:hAnsi="Times New Roman" w:cs="Times New Roman"/>
          <w:sz w:val="24"/>
          <w:szCs w:val="24"/>
        </w:rPr>
        <w:t xml:space="preserve"> los años 2015 y 2016</w:t>
      </w:r>
      <w:r w:rsidR="0037215D" w:rsidRPr="0037215D">
        <w:rPr>
          <w:rFonts w:ascii="Times New Roman" w:hAnsi="Times New Roman" w:cs="Times New Roman"/>
          <w:sz w:val="24"/>
          <w:szCs w:val="24"/>
        </w:rPr>
        <w:t>; e</w:t>
      </w:r>
      <w:r w:rsidR="00F64C2A">
        <w:rPr>
          <w:rFonts w:ascii="Times New Roman" w:hAnsi="Times New Roman" w:cs="Times New Roman"/>
          <w:sz w:val="24"/>
          <w:szCs w:val="24"/>
        </w:rPr>
        <w:t>n el cual se observan aumentos porcentuales que alertan a este Consejo para destinar mayores campañas dirigidas a estos usuarios, tanto en la parte formativa y educativa como en la prevención a través del uso de factores de protección al momento de conducir.</w:t>
      </w:r>
    </w:p>
    <w:p w14:paraId="7362ABDC" w14:textId="2D32A478" w:rsidR="00365103" w:rsidRDefault="00365103" w:rsidP="00763FAD">
      <w:pPr>
        <w:tabs>
          <w:tab w:val="left" w:pos="5040"/>
        </w:tabs>
        <w:spacing w:after="0"/>
        <w:jc w:val="center"/>
        <w:rPr>
          <w:rFonts w:ascii="Times New Roman" w:hAnsi="Times New Roman" w:cs="Times New Roman"/>
          <w:sz w:val="20"/>
          <w:szCs w:val="24"/>
        </w:rPr>
      </w:pPr>
      <w:r w:rsidRPr="0037215D">
        <w:rPr>
          <w:rFonts w:ascii="Times New Roman" w:hAnsi="Times New Roman" w:cs="Times New Roman"/>
          <w:noProof/>
          <w:sz w:val="24"/>
          <w:szCs w:val="24"/>
        </w:rPr>
        <w:drawing>
          <wp:anchor distT="0" distB="0" distL="114300" distR="114300" simplePos="0" relativeHeight="251683840" behindDoc="1" locked="0" layoutInCell="1" allowOverlap="1" wp14:anchorId="7F57EA3E" wp14:editId="42EE4198">
            <wp:simplePos x="0" y="0"/>
            <wp:positionH relativeFrom="margin">
              <wp:posOffset>-346710</wp:posOffset>
            </wp:positionH>
            <wp:positionV relativeFrom="paragraph">
              <wp:posOffset>207869</wp:posOffset>
            </wp:positionV>
            <wp:extent cx="6289040" cy="3394710"/>
            <wp:effectExtent l="0" t="0" r="16510" b="15240"/>
            <wp:wrapNone/>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2B67F961" w14:textId="77777777" w:rsidR="00365103" w:rsidRDefault="00365103" w:rsidP="00763FAD">
      <w:pPr>
        <w:tabs>
          <w:tab w:val="left" w:pos="5040"/>
        </w:tabs>
        <w:spacing w:after="0"/>
        <w:jc w:val="center"/>
        <w:rPr>
          <w:rFonts w:ascii="Times New Roman" w:hAnsi="Times New Roman" w:cs="Times New Roman"/>
          <w:sz w:val="20"/>
          <w:szCs w:val="24"/>
        </w:rPr>
      </w:pPr>
    </w:p>
    <w:p w14:paraId="4ED6CBCA" w14:textId="77777777" w:rsidR="00365103" w:rsidRDefault="00365103" w:rsidP="00763FAD">
      <w:pPr>
        <w:tabs>
          <w:tab w:val="left" w:pos="5040"/>
        </w:tabs>
        <w:spacing w:after="0"/>
        <w:jc w:val="center"/>
        <w:rPr>
          <w:rFonts w:ascii="Times New Roman" w:hAnsi="Times New Roman" w:cs="Times New Roman"/>
          <w:sz w:val="20"/>
          <w:szCs w:val="24"/>
        </w:rPr>
      </w:pPr>
    </w:p>
    <w:p w14:paraId="2154DE26" w14:textId="77777777" w:rsidR="00365103" w:rsidRDefault="00365103" w:rsidP="00763FAD">
      <w:pPr>
        <w:tabs>
          <w:tab w:val="left" w:pos="5040"/>
        </w:tabs>
        <w:spacing w:after="0"/>
        <w:jc w:val="center"/>
        <w:rPr>
          <w:rFonts w:ascii="Times New Roman" w:hAnsi="Times New Roman" w:cs="Times New Roman"/>
          <w:sz w:val="20"/>
          <w:szCs w:val="24"/>
        </w:rPr>
      </w:pPr>
    </w:p>
    <w:p w14:paraId="4FDB2282" w14:textId="77777777" w:rsidR="00365103" w:rsidRDefault="00365103" w:rsidP="00763FAD">
      <w:pPr>
        <w:tabs>
          <w:tab w:val="left" w:pos="5040"/>
        </w:tabs>
        <w:spacing w:after="0"/>
        <w:jc w:val="center"/>
        <w:rPr>
          <w:rFonts w:ascii="Times New Roman" w:hAnsi="Times New Roman" w:cs="Times New Roman"/>
          <w:sz w:val="20"/>
          <w:szCs w:val="24"/>
        </w:rPr>
      </w:pPr>
    </w:p>
    <w:p w14:paraId="24C7B2BD" w14:textId="77777777" w:rsidR="00365103" w:rsidRDefault="00365103" w:rsidP="00763FAD">
      <w:pPr>
        <w:tabs>
          <w:tab w:val="left" w:pos="5040"/>
        </w:tabs>
        <w:spacing w:after="0"/>
        <w:jc w:val="center"/>
        <w:rPr>
          <w:rFonts w:ascii="Times New Roman" w:hAnsi="Times New Roman" w:cs="Times New Roman"/>
          <w:sz w:val="20"/>
          <w:szCs w:val="24"/>
        </w:rPr>
      </w:pPr>
    </w:p>
    <w:p w14:paraId="1C20CA83" w14:textId="77777777" w:rsidR="00365103" w:rsidRDefault="00365103" w:rsidP="00763FAD">
      <w:pPr>
        <w:tabs>
          <w:tab w:val="left" w:pos="5040"/>
        </w:tabs>
        <w:spacing w:after="0"/>
        <w:jc w:val="center"/>
        <w:rPr>
          <w:rFonts w:ascii="Times New Roman" w:hAnsi="Times New Roman" w:cs="Times New Roman"/>
          <w:sz w:val="20"/>
          <w:szCs w:val="24"/>
        </w:rPr>
      </w:pPr>
    </w:p>
    <w:p w14:paraId="3105D2DD" w14:textId="77777777" w:rsidR="00365103" w:rsidRDefault="00365103" w:rsidP="00763FAD">
      <w:pPr>
        <w:tabs>
          <w:tab w:val="left" w:pos="5040"/>
        </w:tabs>
        <w:spacing w:after="0"/>
        <w:jc w:val="center"/>
        <w:rPr>
          <w:rFonts w:ascii="Times New Roman" w:hAnsi="Times New Roman" w:cs="Times New Roman"/>
          <w:sz w:val="20"/>
          <w:szCs w:val="24"/>
        </w:rPr>
      </w:pPr>
    </w:p>
    <w:p w14:paraId="477748DE" w14:textId="77777777" w:rsidR="00365103" w:rsidRDefault="00365103" w:rsidP="00763FAD">
      <w:pPr>
        <w:tabs>
          <w:tab w:val="left" w:pos="5040"/>
        </w:tabs>
        <w:spacing w:after="0"/>
        <w:jc w:val="center"/>
        <w:rPr>
          <w:rFonts w:ascii="Times New Roman" w:hAnsi="Times New Roman" w:cs="Times New Roman"/>
          <w:sz w:val="20"/>
          <w:szCs w:val="24"/>
        </w:rPr>
      </w:pPr>
    </w:p>
    <w:p w14:paraId="46334BA8" w14:textId="77777777" w:rsidR="00365103" w:rsidRDefault="00365103" w:rsidP="00763FAD">
      <w:pPr>
        <w:tabs>
          <w:tab w:val="left" w:pos="5040"/>
        </w:tabs>
        <w:spacing w:after="0"/>
        <w:jc w:val="center"/>
        <w:rPr>
          <w:rFonts w:ascii="Times New Roman" w:hAnsi="Times New Roman" w:cs="Times New Roman"/>
          <w:sz w:val="20"/>
          <w:szCs w:val="24"/>
        </w:rPr>
      </w:pPr>
    </w:p>
    <w:p w14:paraId="38EA5229" w14:textId="77777777" w:rsidR="00365103" w:rsidRDefault="00365103" w:rsidP="00763FAD">
      <w:pPr>
        <w:tabs>
          <w:tab w:val="left" w:pos="5040"/>
        </w:tabs>
        <w:spacing w:after="0"/>
        <w:jc w:val="center"/>
        <w:rPr>
          <w:rFonts w:ascii="Times New Roman" w:hAnsi="Times New Roman" w:cs="Times New Roman"/>
          <w:sz w:val="20"/>
          <w:szCs w:val="24"/>
        </w:rPr>
      </w:pPr>
    </w:p>
    <w:p w14:paraId="105EB87A" w14:textId="77777777" w:rsidR="00365103" w:rsidRDefault="00365103" w:rsidP="00763FAD">
      <w:pPr>
        <w:tabs>
          <w:tab w:val="left" w:pos="5040"/>
        </w:tabs>
        <w:spacing w:after="0"/>
        <w:jc w:val="center"/>
        <w:rPr>
          <w:rFonts w:ascii="Times New Roman" w:hAnsi="Times New Roman" w:cs="Times New Roman"/>
          <w:sz w:val="20"/>
          <w:szCs w:val="24"/>
        </w:rPr>
      </w:pPr>
    </w:p>
    <w:p w14:paraId="1CD7E209" w14:textId="77777777" w:rsidR="00365103" w:rsidRDefault="00365103" w:rsidP="00763FAD">
      <w:pPr>
        <w:tabs>
          <w:tab w:val="left" w:pos="5040"/>
        </w:tabs>
        <w:spacing w:after="0"/>
        <w:jc w:val="center"/>
        <w:rPr>
          <w:rFonts w:ascii="Times New Roman" w:hAnsi="Times New Roman" w:cs="Times New Roman"/>
          <w:sz w:val="20"/>
          <w:szCs w:val="24"/>
        </w:rPr>
      </w:pPr>
    </w:p>
    <w:p w14:paraId="21073236" w14:textId="77777777" w:rsidR="00365103" w:rsidRDefault="00365103" w:rsidP="00763FAD">
      <w:pPr>
        <w:tabs>
          <w:tab w:val="left" w:pos="5040"/>
        </w:tabs>
        <w:spacing w:after="0"/>
        <w:jc w:val="center"/>
        <w:rPr>
          <w:rFonts w:ascii="Times New Roman" w:hAnsi="Times New Roman" w:cs="Times New Roman"/>
          <w:sz w:val="20"/>
          <w:szCs w:val="24"/>
        </w:rPr>
      </w:pPr>
    </w:p>
    <w:p w14:paraId="2C1E0B46" w14:textId="77777777" w:rsidR="00365103" w:rsidRDefault="00365103" w:rsidP="00763FAD">
      <w:pPr>
        <w:tabs>
          <w:tab w:val="left" w:pos="5040"/>
        </w:tabs>
        <w:spacing w:after="0"/>
        <w:jc w:val="center"/>
        <w:rPr>
          <w:rFonts w:ascii="Times New Roman" w:hAnsi="Times New Roman" w:cs="Times New Roman"/>
          <w:sz w:val="20"/>
          <w:szCs w:val="24"/>
        </w:rPr>
      </w:pPr>
    </w:p>
    <w:p w14:paraId="17A3451D" w14:textId="77777777" w:rsidR="00365103" w:rsidRDefault="00365103" w:rsidP="00763FAD">
      <w:pPr>
        <w:tabs>
          <w:tab w:val="left" w:pos="5040"/>
        </w:tabs>
        <w:spacing w:after="0"/>
        <w:jc w:val="center"/>
        <w:rPr>
          <w:rFonts w:ascii="Times New Roman" w:hAnsi="Times New Roman" w:cs="Times New Roman"/>
          <w:sz w:val="20"/>
          <w:szCs w:val="24"/>
        </w:rPr>
      </w:pPr>
    </w:p>
    <w:p w14:paraId="6D9F245A" w14:textId="77777777" w:rsidR="00365103" w:rsidRDefault="00365103" w:rsidP="00763FAD">
      <w:pPr>
        <w:tabs>
          <w:tab w:val="left" w:pos="5040"/>
        </w:tabs>
        <w:spacing w:after="0"/>
        <w:jc w:val="center"/>
        <w:rPr>
          <w:rFonts w:ascii="Times New Roman" w:hAnsi="Times New Roman" w:cs="Times New Roman"/>
          <w:sz w:val="20"/>
          <w:szCs w:val="24"/>
        </w:rPr>
      </w:pPr>
    </w:p>
    <w:p w14:paraId="0D428117" w14:textId="77777777" w:rsidR="00365103" w:rsidRDefault="00365103" w:rsidP="00763FAD">
      <w:pPr>
        <w:tabs>
          <w:tab w:val="left" w:pos="5040"/>
        </w:tabs>
        <w:spacing w:after="0"/>
        <w:jc w:val="center"/>
        <w:rPr>
          <w:rFonts w:ascii="Times New Roman" w:hAnsi="Times New Roman" w:cs="Times New Roman"/>
          <w:sz w:val="20"/>
          <w:szCs w:val="24"/>
        </w:rPr>
      </w:pPr>
    </w:p>
    <w:p w14:paraId="4B5F1484" w14:textId="77777777" w:rsidR="00365103" w:rsidRDefault="00365103" w:rsidP="00763FAD">
      <w:pPr>
        <w:tabs>
          <w:tab w:val="left" w:pos="5040"/>
        </w:tabs>
        <w:spacing w:after="0"/>
        <w:jc w:val="center"/>
        <w:rPr>
          <w:rFonts w:ascii="Times New Roman" w:hAnsi="Times New Roman" w:cs="Times New Roman"/>
          <w:sz w:val="20"/>
          <w:szCs w:val="24"/>
        </w:rPr>
      </w:pPr>
    </w:p>
    <w:p w14:paraId="19A2D888" w14:textId="77777777" w:rsidR="00365103" w:rsidRDefault="00365103" w:rsidP="00763FAD">
      <w:pPr>
        <w:tabs>
          <w:tab w:val="left" w:pos="5040"/>
        </w:tabs>
        <w:spacing w:after="0"/>
        <w:jc w:val="center"/>
        <w:rPr>
          <w:rFonts w:ascii="Times New Roman" w:hAnsi="Times New Roman" w:cs="Times New Roman"/>
          <w:sz w:val="20"/>
          <w:szCs w:val="24"/>
        </w:rPr>
      </w:pPr>
    </w:p>
    <w:p w14:paraId="1759A550" w14:textId="77777777" w:rsidR="00365103" w:rsidRDefault="00365103" w:rsidP="00763FAD">
      <w:pPr>
        <w:tabs>
          <w:tab w:val="left" w:pos="5040"/>
        </w:tabs>
        <w:spacing w:after="0"/>
        <w:jc w:val="center"/>
        <w:rPr>
          <w:rFonts w:ascii="Times New Roman" w:hAnsi="Times New Roman" w:cs="Times New Roman"/>
          <w:sz w:val="20"/>
          <w:szCs w:val="24"/>
        </w:rPr>
      </w:pPr>
    </w:p>
    <w:p w14:paraId="72877A45" w14:textId="77777777" w:rsidR="00365103" w:rsidRDefault="00365103" w:rsidP="00763FAD">
      <w:pPr>
        <w:tabs>
          <w:tab w:val="left" w:pos="5040"/>
        </w:tabs>
        <w:spacing w:after="0"/>
        <w:jc w:val="center"/>
        <w:rPr>
          <w:rFonts w:ascii="Times New Roman" w:hAnsi="Times New Roman" w:cs="Times New Roman"/>
          <w:sz w:val="20"/>
          <w:szCs w:val="24"/>
        </w:rPr>
      </w:pPr>
    </w:p>
    <w:p w14:paraId="356C2461" w14:textId="0A7E20DF" w:rsidR="00763FAD" w:rsidRPr="001336E3" w:rsidRDefault="00763FAD" w:rsidP="00763FAD">
      <w:pPr>
        <w:tabs>
          <w:tab w:val="left" w:pos="5040"/>
        </w:tabs>
        <w:spacing w:after="0"/>
        <w:jc w:val="center"/>
        <w:rPr>
          <w:rFonts w:ascii="Times New Roman" w:hAnsi="Times New Roman" w:cs="Times New Roman"/>
          <w:b/>
          <w:sz w:val="20"/>
          <w:szCs w:val="24"/>
        </w:rPr>
      </w:pPr>
      <w:r w:rsidRPr="001336E3">
        <w:rPr>
          <w:rFonts w:ascii="Times New Roman" w:hAnsi="Times New Roman" w:cs="Times New Roman"/>
          <w:b/>
          <w:sz w:val="20"/>
          <w:szCs w:val="24"/>
        </w:rPr>
        <w:t>Gr</w:t>
      </w:r>
      <w:r w:rsidR="001336E3" w:rsidRPr="001336E3">
        <w:rPr>
          <w:rFonts w:ascii="Times New Roman" w:hAnsi="Times New Roman" w:cs="Times New Roman"/>
          <w:b/>
          <w:sz w:val="20"/>
          <w:szCs w:val="24"/>
        </w:rPr>
        <w:t>á</w:t>
      </w:r>
      <w:r w:rsidRPr="001336E3">
        <w:rPr>
          <w:rFonts w:ascii="Times New Roman" w:hAnsi="Times New Roman" w:cs="Times New Roman"/>
          <w:b/>
          <w:sz w:val="20"/>
          <w:szCs w:val="24"/>
        </w:rPr>
        <w:t xml:space="preserve">fico 11: </w:t>
      </w:r>
      <w:r w:rsidR="001336E3" w:rsidRPr="001336E3">
        <w:rPr>
          <w:rFonts w:ascii="Times New Roman" w:hAnsi="Times New Roman" w:cs="Times New Roman"/>
          <w:b/>
          <w:sz w:val="20"/>
          <w:szCs w:val="24"/>
        </w:rPr>
        <w:t>A</w:t>
      </w:r>
      <w:r w:rsidRPr="001336E3">
        <w:rPr>
          <w:rFonts w:ascii="Times New Roman" w:hAnsi="Times New Roman" w:cs="Times New Roman"/>
          <w:b/>
          <w:sz w:val="20"/>
          <w:szCs w:val="24"/>
        </w:rPr>
        <w:t>ccidentabilidad en motocicletas, lesionados y fallecidos en los años 2015 y 2016.</w:t>
      </w:r>
    </w:p>
    <w:p w14:paraId="70037E4B" w14:textId="6E79F5EE" w:rsidR="00763FAD" w:rsidRPr="001336E3" w:rsidRDefault="00763FAD" w:rsidP="00365103">
      <w:pPr>
        <w:tabs>
          <w:tab w:val="left" w:pos="5040"/>
        </w:tabs>
        <w:spacing w:after="0"/>
        <w:jc w:val="center"/>
        <w:rPr>
          <w:rFonts w:ascii="Times New Roman" w:hAnsi="Times New Roman" w:cs="Times New Roman"/>
          <w:b/>
          <w:sz w:val="20"/>
          <w:szCs w:val="24"/>
        </w:rPr>
      </w:pPr>
      <w:r w:rsidRPr="001336E3">
        <w:rPr>
          <w:rFonts w:ascii="Times New Roman" w:hAnsi="Times New Roman" w:cs="Times New Roman"/>
          <w:b/>
          <w:sz w:val="20"/>
          <w:szCs w:val="24"/>
        </w:rPr>
        <w:t>Fuente: Viceministerio de Transporte VMT</w:t>
      </w:r>
    </w:p>
    <w:p w14:paraId="6335B1F3" w14:textId="007BC0D6" w:rsidR="00365103" w:rsidRDefault="00AF74CF" w:rsidP="00F64C2A">
      <w:pPr>
        <w:spacing w:line="360" w:lineRule="auto"/>
        <w:jc w:val="both"/>
        <w:rPr>
          <w:rFonts w:ascii="Times New Roman" w:hAnsi="Times New Roman" w:cs="Times New Roman"/>
          <w:sz w:val="24"/>
          <w:szCs w:val="20"/>
        </w:rPr>
      </w:pPr>
      <w:r w:rsidRPr="00926A63">
        <w:rPr>
          <w:rFonts w:ascii="Times New Roman" w:hAnsi="Times New Roman" w:cs="Times New Roman"/>
          <w:sz w:val="24"/>
          <w:szCs w:val="20"/>
        </w:rPr>
        <w:lastRenderedPageBreak/>
        <w:t>En el gráfico</w:t>
      </w:r>
      <w:r w:rsidR="00BB3218">
        <w:rPr>
          <w:rFonts w:ascii="Times New Roman" w:hAnsi="Times New Roman" w:cs="Times New Roman"/>
          <w:sz w:val="24"/>
          <w:szCs w:val="20"/>
        </w:rPr>
        <w:t xml:space="preserve"> </w:t>
      </w:r>
      <w:r w:rsidR="00F64C2A">
        <w:rPr>
          <w:rFonts w:ascii="Times New Roman" w:hAnsi="Times New Roman" w:cs="Times New Roman"/>
          <w:sz w:val="24"/>
          <w:szCs w:val="20"/>
        </w:rPr>
        <w:t>siguiente se presenta de igual forma un comparativo entre número de accidentes,</w:t>
      </w:r>
      <w:r w:rsidRPr="00926A63">
        <w:rPr>
          <w:rFonts w:ascii="Times New Roman" w:hAnsi="Times New Roman" w:cs="Times New Roman"/>
          <w:sz w:val="24"/>
          <w:szCs w:val="20"/>
        </w:rPr>
        <w:t xml:space="preserve"> lesionados y fallecidos,</w:t>
      </w:r>
      <w:r w:rsidR="00F64C2A">
        <w:rPr>
          <w:rFonts w:ascii="Times New Roman" w:hAnsi="Times New Roman" w:cs="Times New Roman"/>
          <w:sz w:val="24"/>
          <w:szCs w:val="20"/>
        </w:rPr>
        <w:t xml:space="preserve"> excluyendo aquellos en los que intervino una motocicleta, del cual se observan leves incrementos porcentuales entre los años 2015 y 2016, así, se tiene</w:t>
      </w:r>
      <w:r w:rsidRPr="00926A63">
        <w:rPr>
          <w:rFonts w:ascii="Times New Roman" w:hAnsi="Times New Roman" w:cs="Times New Roman"/>
          <w:sz w:val="24"/>
          <w:szCs w:val="20"/>
        </w:rPr>
        <w:t xml:space="preserve"> un incremento del 0.98% equivalente a 328 accidentes de tránsito más en relación al 2015; 0.97%  de incremento en lesionados equivalentes a 216  en relación al año 2015; y 0.99% equivalentes a 2 fallecidos en relación al 2015.</w:t>
      </w:r>
    </w:p>
    <w:p w14:paraId="5EDE3856" w14:textId="77777777" w:rsidR="0013712C" w:rsidRPr="00926A63" w:rsidRDefault="0013712C" w:rsidP="00926A63">
      <w:pPr>
        <w:jc w:val="both"/>
        <w:rPr>
          <w:rFonts w:ascii="Times New Roman" w:hAnsi="Times New Roman" w:cs="Times New Roman"/>
          <w:sz w:val="24"/>
          <w:szCs w:val="20"/>
        </w:rPr>
      </w:pPr>
    </w:p>
    <w:p w14:paraId="79036DCE" w14:textId="18F35497" w:rsidR="00AF74CF" w:rsidRDefault="00763FAD" w:rsidP="00763FAD">
      <w:pPr>
        <w:jc w:val="center"/>
        <w:rPr>
          <w:b/>
          <w:sz w:val="32"/>
          <w:szCs w:val="32"/>
        </w:rPr>
      </w:pPr>
      <w:r>
        <w:rPr>
          <w:noProof/>
        </w:rPr>
        <w:drawing>
          <wp:inline distT="0" distB="0" distL="0" distR="0" wp14:anchorId="6F75E741" wp14:editId="0B23DC64">
            <wp:extent cx="5895975" cy="3876675"/>
            <wp:effectExtent l="0" t="0" r="9525" b="9525"/>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13268E" w14:textId="2A3D4649" w:rsidR="00AF74CF" w:rsidRPr="00F64C2A" w:rsidRDefault="00F64C2A" w:rsidP="00AF74CF">
      <w:pPr>
        <w:spacing w:after="0"/>
        <w:jc w:val="center"/>
        <w:rPr>
          <w:rFonts w:ascii="Times New Roman" w:hAnsi="Times New Roman" w:cs="Times New Roman"/>
          <w:b/>
          <w:sz w:val="20"/>
          <w:szCs w:val="20"/>
        </w:rPr>
      </w:pPr>
      <w:r>
        <w:rPr>
          <w:rFonts w:ascii="Times New Roman" w:hAnsi="Times New Roman" w:cs="Times New Roman"/>
          <w:b/>
          <w:sz w:val="20"/>
          <w:szCs w:val="20"/>
        </w:rPr>
        <w:t>Gráfico 12: L</w:t>
      </w:r>
      <w:r w:rsidR="00AF74CF" w:rsidRPr="00F64C2A">
        <w:rPr>
          <w:rFonts w:ascii="Times New Roman" w:hAnsi="Times New Roman" w:cs="Times New Roman"/>
          <w:b/>
          <w:sz w:val="20"/>
          <w:szCs w:val="20"/>
        </w:rPr>
        <w:t>esionados y fallecidos por accidentes de tránsito sin incluir accidentes d</w:t>
      </w:r>
      <w:r>
        <w:rPr>
          <w:rFonts w:ascii="Times New Roman" w:hAnsi="Times New Roman" w:cs="Times New Roman"/>
          <w:b/>
          <w:sz w:val="20"/>
          <w:szCs w:val="20"/>
        </w:rPr>
        <w:t>onde intervinieron</w:t>
      </w:r>
      <w:r w:rsidR="00AF74CF" w:rsidRPr="00F64C2A">
        <w:rPr>
          <w:rFonts w:ascii="Times New Roman" w:hAnsi="Times New Roman" w:cs="Times New Roman"/>
          <w:b/>
          <w:sz w:val="20"/>
          <w:szCs w:val="20"/>
        </w:rPr>
        <w:t xml:space="preserve"> motocicleta</w:t>
      </w:r>
      <w:r>
        <w:rPr>
          <w:rFonts w:ascii="Times New Roman" w:hAnsi="Times New Roman" w:cs="Times New Roman"/>
          <w:b/>
          <w:sz w:val="20"/>
          <w:szCs w:val="20"/>
        </w:rPr>
        <w:t>s</w:t>
      </w:r>
      <w:r w:rsidR="00AF74CF" w:rsidRPr="00F64C2A">
        <w:rPr>
          <w:rFonts w:ascii="Times New Roman" w:hAnsi="Times New Roman" w:cs="Times New Roman"/>
          <w:b/>
          <w:sz w:val="20"/>
          <w:szCs w:val="20"/>
        </w:rPr>
        <w:t>.</w:t>
      </w:r>
    </w:p>
    <w:p w14:paraId="78DA7DBE" w14:textId="55A27996" w:rsidR="00AF74CF" w:rsidRPr="00F64C2A" w:rsidRDefault="00AF74CF" w:rsidP="00AF74CF">
      <w:pPr>
        <w:spacing w:after="0"/>
        <w:jc w:val="center"/>
        <w:rPr>
          <w:rFonts w:ascii="Times New Roman" w:hAnsi="Times New Roman" w:cs="Times New Roman"/>
          <w:b/>
          <w:sz w:val="20"/>
          <w:szCs w:val="20"/>
        </w:rPr>
      </w:pPr>
      <w:r w:rsidRPr="00F64C2A">
        <w:rPr>
          <w:rFonts w:ascii="Times New Roman" w:hAnsi="Times New Roman" w:cs="Times New Roman"/>
          <w:b/>
          <w:sz w:val="20"/>
          <w:szCs w:val="20"/>
        </w:rPr>
        <w:t>Fuente: Viceministerio de Transporte VMT</w:t>
      </w:r>
    </w:p>
    <w:p w14:paraId="4A00D0EA" w14:textId="23FAAEDD" w:rsidR="00365103" w:rsidRPr="00AF74CF" w:rsidRDefault="00365103" w:rsidP="00AF74CF">
      <w:pPr>
        <w:ind w:firstLine="708"/>
        <w:rPr>
          <w:sz w:val="32"/>
          <w:szCs w:val="32"/>
        </w:rPr>
      </w:pPr>
    </w:p>
    <w:p w14:paraId="13987EC9" w14:textId="632C1C81" w:rsidR="00763FAD" w:rsidRDefault="00763FAD" w:rsidP="00763FAD">
      <w:pPr>
        <w:jc w:val="center"/>
        <w:rPr>
          <w:b/>
          <w:sz w:val="32"/>
          <w:szCs w:val="32"/>
        </w:rPr>
      </w:pPr>
    </w:p>
    <w:p w14:paraId="520377CC" w14:textId="77777777" w:rsidR="00570C84" w:rsidRDefault="00570C84" w:rsidP="001930FB">
      <w:pPr>
        <w:spacing w:after="0"/>
        <w:jc w:val="both"/>
        <w:rPr>
          <w:rFonts w:ascii="Times New Roman" w:hAnsi="Times New Roman" w:cs="Times New Roman"/>
          <w:sz w:val="24"/>
          <w:szCs w:val="24"/>
        </w:rPr>
      </w:pPr>
    </w:p>
    <w:p w14:paraId="6A17A513" w14:textId="77777777" w:rsidR="00570C84" w:rsidRDefault="00570C84" w:rsidP="001930FB">
      <w:pPr>
        <w:spacing w:after="0"/>
        <w:jc w:val="both"/>
        <w:rPr>
          <w:rFonts w:ascii="Times New Roman" w:hAnsi="Times New Roman" w:cs="Times New Roman"/>
          <w:sz w:val="24"/>
          <w:szCs w:val="24"/>
        </w:rPr>
      </w:pPr>
    </w:p>
    <w:p w14:paraId="0E241FE0" w14:textId="77777777" w:rsidR="0013712C" w:rsidRDefault="0013712C" w:rsidP="001930FB">
      <w:pPr>
        <w:spacing w:after="0"/>
        <w:jc w:val="both"/>
        <w:rPr>
          <w:rFonts w:ascii="Times New Roman" w:hAnsi="Times New Roman" w:cs="Times New Roman"/>
          <w:sz w:val="24"/>
          <w:szCs w:val="24"/>
        </w:rPr>
      </w:pPr>
    </w:p>
    <w:p w14:paraId="1AE785AE" w14:textId="77777777" w:rsidR="0013712C" w:rsidRDefault="0013712C" w:rsidP="001930FB">
      <w:pPr>
        <w:spacing w:after="0"/>
        <w:jc w:val="both"/>
        <w:rPr>
          <w:rFonts w:ascii="Times New Roman" w:hAnsi="Times New Roman" w:cs="Times New Roman"/>
          <w:sz w:val="24"/>
          <w:szCs w:val="24"/>
        </w:rPr>
      </w:pPr>
    </w:p>
    <w:p w14:paraId="565CAFEB" w14:textId="1BDD7BB8" w:rsidR="001930FB" w:rsidRPr="00570C84" w:rsidRDefault="00F02D6B" w:rsidP="00F64C2A">
      <w:pPr>
        <w:spacing w:after="0" w:line="360" w:lineRule="auto"/>
        <w:jc w:val="both"/>
        <w:rPr>
          <w:rFonts w:ascii="Times New Roman" w:hAnsi="Times New Roman" w:cs="Times New Roman"/>
          <w:sz w:val="24"/>
          <w:szCs w:val="24"/>
        </w:rPr>
      </w:pPr>
      <w:r>
        <w:rPr>
          <w:noProof/>
        </w:rPr>
        <w:drawing>
          <wp:anchor distT="0" distB="0" distL="114300" distR="114300" simplePos="0" relativeHeight="251691008" behindDoc="1" locked="0" layoutInCell="1" allowOverlap="1" wp14:anchorId="6B6D9A75" wp14:editId="1C08A9F9">
            <wp:simplePos x="0" y="0"/>
            <wp:positionH relativeFrom="margin">
              <wp:align>center</wp:align>
            </wp:positionH>
            <wp:positionV relativeFrom="paragraph">
              <wp:posOffset>1437640</wp:posOffset>
            </wp:positionV>
            <wp:extent cx="6353175" cy="3895725"/>
            <wp:effectExtent l="0" t="0" r="9525" b="9525"/>
            <wp:wrapTight wrapText="bothSides">
              <wp:wrapPolygon edited="0">
                <wp:start x="0" y="0"/>
                <wp:lineTo x="0" y="21547"/>
                <wp:lineTo x="21568" y="21547"/>
                <wp:lineTo x="21568" y="0"/>
                <wp:lineTo x="0" y="0"/>
              </wp:wrapPolygon>
            </wp:wrapTight>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52B6C" w:rsidRPr="00570C84">
        <w:rPr>
          <w:rFonts w:ascii="Times New Roman" w:hAnsi="Times New Roman" w:cs="Times New Roman"/>
          <w:sz w:val="24"/>
          <w:szCs w:val="24"/>
        </w:rPr>
        <w:t xml:space="preserve">En el siguiente gráfico se muestra </w:t>
      </w:r>
      <w:r w:rsidR="00F64C2A">
        <w:rPr>
          <w:rFonts w:ascii="Times New Roman" w:hAnsi="Times New Roman" w:cs="Times New Roman"/>
          <w:sz w:val="24"/>
          <w:szCs w:val="24"/>
        </w:rPr>
        <w:t xml:space="preserve"> un comparativo entre </w:t>
      </w:r>
      <w:r w:rsidR="00E52B6C" w:rsidRPr="00570C84">
        <w:rPr>
          <w:rFonts w:ascii="Times New Roman" w:hAnsi="Times New Roman" w:cs="Times New Roman"/>
          <w:sz w:val="24"/>
          <w:szCs w:val="24"/>
        </w:rPr>
        <w:t xml:space="preserve">el parque vehicular </w:t>
      </w:r>
      <w:r w:rsidR="00F64C2A">
        <w:rPr>
          <w:rFonts w:ascii="Times New Roman" w:hAnsi="Times New Roman" w:cs="Times New Roman"/>
          <w:sz w:val="24"/>
          <w:szCs w:val="24"/>
        </w:rPr>
        <w:t xml:space="preserve">de motocicletas con el resto de vehicular que conforma el parque vehicular a nivel nacional </w:t>
      </w:r>
      <w:r w:rsidR="00E52B6C" w:rsidRPr="00570C84">
        <w:rPr>
          <w:rFonts w:ascii="Times New Roman" w:hAnsi="Times New Roman" w:cs="Times New Roman"/>
          <w:sz w:val="24"/>
          <w:szCs w:val="24"/>
        </w:rPr>
        <w:t xml:space="preserve">desde el </w:t>
      </w:r>
      <w:r w:rsidR="003B3F32">
        <w:rPr>
          <w:rFonts w:ascii="Times New Roman" w:hAnsi="Times New Roman" w:cs="Times New Roman"/>
          <w:sz w:val="24"/>
          <w:szCs w:val="24"/>
        </w:rPr>
        <w:t xml:space="preserve">año </w:t>
      </w:r>
      <w:r w:rsidR="00E52B6C" w:rsidRPr="00570C84">
        <w:rPr>
          <w:rFonts w:ascii="Times New Roman" w:hAnsi="Times New Roman" w:cs="Times New Roman"/>
          <w:sz w:val="24"/>
          <w:szCs w:val="24"/>
        </w:rPr>
        <w:t>201</w:t>
      </w:r>
      <w:r w:rsidR="003B3F32">
        <w:rPr>
          <w:rFonts w:ascii="Times New Roman" w:hAnsi="Times New Roman" w:cs="Times New Roman"/>
          <w:sz w:val="24"/>
          <w:szCs w:val="24"/>
        </w:rPr>
        <w:t>1</w:t>
      </w:r>
      <w:r w:rsidR="00E52B6C" w:rsidRPr="00570C84">
        <w:rPr>
          <w:rFonts w:ascii="Times New Roman" w:hAnsi="Times New Roman" w:cs="Times New Roman"/>
          <w:sz w:val="24"/>
          <w:szCs w:val="24"/>
        </w:rPr>
        <w:t xml:space="preserve"> hasta el</w:t>
      </w:r>
      <w:r w:rsidR="003B3F32">
        <w:rPr>
          <w:rFonts w:ascii="Times New Roman" w:hAnsi="Times New Roman" w:cs="Times New Roman"/>
          <w:sz w:val="24"/>
          <w:szCs w:val="24"/>
        </w:rPr>
        <w:t xml:space="preserve"> año</w:t>
      </w:r>
      <w:r w:rsidR="00E52B6C" w:rsidRPr="00570C84">
        <w:rPr>
          <w:rFonts w:ascii="Times New Roman" w:hAnsi="Times New Roman" w:cs="Times New Roman"/>
          <w:sz w:val="24"/>
          <w:szCs w:val="24"/>
        </w:rPr>
        <w:t xml:space="preserve"> 2016, con un incremento del </w:t>
      </w:r>
      <w:r w:rsidR="00F72291">
        <w:rPr>
          <w:rFonts w:ascii="Times New Roman" w:hAnsi="Times New Roman" w:cs="Times New Roman"/>
          <w:sz w:val="24"/>
          <w:szCs w:val="24"/>
        </w:rPr>
        <w:t>18.21</w:t>
      </w:r>
      <w:r w:rsidR="003B3F32" w:rsidRPr="00570C84">
        <w:rPr>
          <w:rFonts w:ascii="Times New Roman" w:hAnsi="Times New Roman" w:cs="Times New Roman"/>
          <w:sz w:val="24"/>
          <w:szCs w:val="24"/>
        </w:rPr>
        <w:t>%  del parque de motocicletas equivalente a</w:t>
      </w:r>
      <w:r w:rsidR="003B3F32">
        <w:rPr>
          <w:rFonts w:ascii="Times New Roman" w:hAnsi="Times New Roman" w:cs="Times New Roman"/>
          <w:sz w:val="24"/>
          <w:szCs w:val="24"/>
        </w:rPr>
        <w:t xml:space="preserve"> 38,237 en relación al año 2015 y de un </w:t>
      </w:r>
      <w:r w:rsidR="00F72291">
        <w:rPr>
          <w:rFonts w:ascii="Times New Roman" w:hAnsi="Times New Roman" w:cs="Times New Roman"/>
          <w:sz w:val="24"/>
          <w:szCs w:val="24"/>
        </w:rPr>
        <w:t>8.20</w:t>
      </w:r>
      <w:r w:rsidR="00E52B6C" w:rsidRPr="00570C84">
        <w:rPr>
          <w:rFonts w:ascii="Times New Roman" w:hAnsi="Times New Roman" w:cs="Times New Roman"/>
          <w:sz w:val="24"/>
          <w:szCs w:val="24"/>
        </w:rPr>
        <w:t>% del</w:t>
      </w:r>
      <w:r w:rsidR="003B3F32">
        <w:rPr>
          <w:rFonts w:ascii="Times New Roman" w:hAnsi="Times New Roman" w:cs="Times New Roman"/>
          <w:sz w:val="24"/>
          <w:szCs w:val="24"/>
        </w:rPr>
        <w:t xml:space="preserve"> resto de vehículos del</w:t>
      </w:r>
      <w:r w:rsidR="00E52B6C" w:rsidRPr="00570C84">
        <w:rPr>
          <w:rFonts w:ascii="Times New Roman" w:hAnsi="Times New Roman" w:cs="Times New Roman"/>
          <w:sz w:val="24"/>
          <w:szCs w:val="24"/>
        </w:rPr>
        <w:t xml:space="preserve"> parque vehicular, equivalente a 826</w:t>
      </w:r>
      <w:r w:rsidR="003B3F32">
        <w:rPr>
          <w:rFonts w:ascii="Times New Roman" w:hAnsi="Times New Roman" w:cs="Times New Roman"/>
          <w:sz w:val="24"/>
          <w:szCs w:val="24"/>
        </w:rPr>
        <w:t>30 en relación al año 2015.</w:t>
      </w:r>
    </w:p>
    <w:p w14:paraId="3CD5B6CB" w14:textId="153EFD2C" w:rsidR="001930FB" w:rsidRDefault="001930FB" w:rsidP="00AF74CF">
      <w:pPr>
        <w:spacing w:after="0"/>
        <w:jc w:val="center"/>
        <w:rPr>
          <w:rFonts w:ascii="Times New Roman" w:hAnsi="Times New Roman" w:cs="Times New Roman"/>
          <w:sz w:val="20"/>
          <w:szCs w:val="20"/>
        </w:rPr>
      </w:pPr>
    </w:p>
    <w:p w14:paraId="6DD25D37" w14:textId="77777777" w:rsidR="001930FB" w:rsidRDefault="001930FB" w:rsidP="00AF74CF">
      <w:pPr>
        <w:spacing w:after="0"/>
        <w:jc w:val="center"/>
        <w:rPr>
          <w:rFonts w:ascii="Times New Roman" w:hAnsi="Times New Roman" w:cs="Times New Roman"/>
          <w:sz w:val="20"/>
          <w:szCs w:val="20"/>
        </w:rPr>
      </w:pPr>
    </w:p>
    <w:p w14:paraId="6AECDC66" w14:textId="24A69111" w:rsidR="00AF74CF" w:rsidRPr="003B3F32" w:rsidRDefault="00AF74CF" w:rsidP="00AF74CF">
      <w:pPr>
        <w:spacing w:after="0"/>
        <w:jc w:val="center"/>
        <w:rPr>
          <w:rFonts w:ascii="Times New Roman" w:hAnsi="Times New Roman" w:cs="Times New Roman"/>
          <w:b/>
          <w:sz w:val="20"/>
          <w:szCs w:val="20"/>
        </w:rPr>
      </w:pPr>
      <w:r w:rsidRPr="003B3F32">
        <w:rPr>
          <w:rFonts w:ascii="Times New Roman" w:hAnsi="Times New Roman" w:cs="Times New Roman"/>
          <w:b/>
          <w:sz w:val="20"/>
          <w:szCs w:val="20"/>
        </w:rPr>
        <w:t xml:space="preserve">Grafico 13: </w:t>
      </w:r>
      <w:r w:rsidR="003B3F32">
        <w:rPr>
          <w:rFonts w:ascii="Times New Roman" w:hAnsi="Times New Roman" w:cs="Times New Roman"/>
          <w:b/>
          <w:sz w:val="20"/>
          <w:szCs w:val="20"/>
        </w:rPr>
        <w:t>C</w:t>
      </w:r>
      <w:r w:rsidRPr="003B3F32">
        <w:rPr>
          <w:rFonts w:ascii="Times New Roman" w:hAnsi="Times New Roman" w:cs="Times New Roman"/>
          <w:b/>
          <w:sz w:val="20"/>
          <w:szCs w:val="20"/>
        </w:rPr>
        <w:t xml:space="preserve">omparativos de parque </w:t>
      </w:r>
      <w:r w:rsidR="003B3F32">
        <w:rPr>
          <w:rFonts w:ascii="Times New Roman" w:hAnsi="Times New Roman" w:cs="Times New Roman"/>
          <w:b/>
          <w:sz w:val="20"/>
          <w:szCs w:val="20"/>
        </w:rPr>
        <w:t xml:space="preserve">vehicular entre </w:t>
      </w:r>
      <w:r w:rsidRPr="003B3F32">
        <w:rPr>
          <w:rFonts w:ascii="Times New Roman" w:hAnsi="Times New Roman" w:cs="Times New Roman"/>
          <w:b/>
          <w:sz w:val="20"/>
          <w:szCs w:val="20"/>
        </w:rPr>
        <w:t xml:space="preserve">motocicletas y </w:t>
      </w:r>
      <w:r w:rsidR="003B3F32">
        <w:rPr>
          <w:rFonts w:ascii="Times New Roman" w:hAnsi="Times New Roman" w:cs="Times New Roman"/>
          <w:b/>
          <w:sz w:val="20"/>
          <w:szCs w:val="20"/>
        </w:rPr>
        <w:t xml:space="preserve">resto de </w:t>
      </w:r>
      <w:r w:rsidRPr="003B3F32">
        <w:rPr>
          <w:rFonts w:ascii="Times New Roman" w:hAnsi="Times New Roman" w:cs="Times New Roman"/>
          <w:b/>
          <w:sz w:val="20"/>
          <w:szCs w:val="20"/>
        </w:rPr>
        <w:t>vehículos desde el 201</w:t>
      </w:r>
      <w:r w:rsidR="003B3F32">
        <w:rPr>
          <w:rFonts w:ascii="Times New Roman" w:hAnsi="Times New Roman" w:cs="Times New Roman"/>
          <w:b/>
          <w:sz w:val="20"/>
          <w:szCs w:val="20"/>
        </w:rPr>
        <w:t>1</w:t>
      </w:r>
      <w:r w:rsidRPr="003B3F32">
        <w:rPr>
          <w:rFonts w:ascii="Times New Roman" w:hAnsi="Times New Roman" w:cs="Times New Roman"/>
          <w:b/>
          <w:sz w:val="20"/>
          <w:szCs w:val="20"/>
        </w:rPr>
        <w:t xml:space="preserve"> al 2016.</w:t>
      </w:r>
    </w:p>
    <w:p w14:paraId="1BD01723" w14:textId="77777777" w:rsidR="00AF74CF" w:rsidRPr="003B3F32" w:rsidRDefault="00AF74CF" w:rsidP="00AF74CF">
      <w:pPr>
        <w:spacing w:after="0"/>
        <w:jc w:val="center"/>
        <w:rPr>
          <w:b/>
          <w:sz w:val="32"/>
          <w:szCs w:val="32"/>
        </w:rPr>
      </w:pPr>
      <w:r w:rsidRPr="003B3F32">
        <w:rPr>
          <w:rFonts w:ascii="Times New Roman" w:hAnsi="Times New Roman" w:cs="Times New Roman"/>
          <w:b/>
          <w:sz w:val="20"/>
          <w:szCs w:val="20"/>
        </w:rPr>
        <w:t>Fuente: Viceministerio de Transporte VMT</w:t>
      </w:r>
    </w:p>
    <w:p w14:paraId="5E768DBA" w14:textId="77777777" w:rsidR="00AF74CF" w:rsidRDefault="00AF74CF" w:rsidP="00763FAD">
      <w:pPr>
        <w:jc w:val="center"/>
        <w:rPr>
          <w:b/>
          <w:sz w:val="32"/>
          <w:szCs w:val="32"/>
        </w:rPr>
      </w:pPr>
    </w:p>
    <w:p w14:paraId="0528024C" w14:textId="77777777" w:rsidR="00AF74CF" w:rsidRDefault="00AF74CF" w:rsidP="00763FAD">
      <w:pPr>
        <w:jc w:val="center"/>
        <w:rPr>
          <w:b/>
          <w:sz w:val="32"/>
          <w:szCs w:val="32"/>
        </w:rPr>
      </w:pPr>
    </w:p>
    <w:p w14:paraId="35E51313" w14:textId="77777777" w:rsidR="00F02D6B" w:rsidRDefault="00F02D6B" w:rsidP="00763FAD">
      <w:pPr>
        <w:jc w:val="center"/>
        <w:rPr>
          <w:b/>
          <w:sz w:val="32"/>
          <w:szCs w:val="32"/>
        </w:rPr>
      </w:pPr>
    </w:p>
    <w:p w14:paraId="570A87F9" w14:textId="7F3313AB" w:rsidR="0013712C" w:rsidRDefault="00F02D6B" w:rsidP="00F02D6B">
      <w:pPr>
        <w:jc w:val="both"/>
        <w:rPr>
          <w:rFonts w:ascii="Times New Roman" w:hAnsi="Times New Roman" w:cs="Times New Roman"/>
          <w:sz w:val="24"/>
          <w:szCs w:val="24"/>
        </w:rPr>
      </w:pPr>
      <w:r>
        <w:rPr>
          <w:noProof/>
        </w:rPr>
        <w:lastRenderedPageBreak/>
        <w:drawing>
          <wp:anchor distT="0" distB="0" distL="114300" distR="114300" simplePos="0" relativeHeight="251693056" behindDoc="1" locked="0" layoutInCell="1" allowOverlap="1" wp14:anchorId="643EB26F" wp14:editId="4D735EA7">
            <wp:simplePos x="0" y="0"/>
            <wp:positionH relativeFrom="margin">
              <wp:align>center</wp:align>
            </wp:positionH>
            <wp:positionV relativeFrom="paragraph">
              <wp:posOffset>777240</wp:posOffset>
            </wp:positionV>
            <wp:extent cx="6219825" cy="4038600"/>
            <wp:effectExtent l="0" t="0" r="9525" b="0"/>
            <wp:wrapTight wrapText="bothSides">
              <wp:wrapPolygon edited="0">
                <wp:start x="0" y="0"/>
                <wp:lineTo x="0" y="21498"/>
                <wp:lineTo x="21567" y="21498"/>
                <wp:lineTo x="21567" y="0"/>
                <wp:lineTo x="0" y="0"/>
              </wp:wrapPolygon>
            </wp:wrapTight>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3712C" w:rsidRPr="009A2115">
        <w:rPr>
          <w:rFonts w:ascii="Times New Roman" w:hAnsi="Times New Roman" w:cs="Times New Roman"/>
          <w:sz w:val="24"/>
          <w:szCs w:val="24"/>
        </w:rPr>
        <w:t xml:space="preserve">El siguiente gráfico muestra </w:t>
      </w:r>
      <w:r w:rsidR="003B3F32">
        <w:rPr>
          <w:rFonts w:ascii="Times New Roman" w:hAnsi="Times New Roman" w:cs="Times New Roman"/>
          <w:sz w:val="24"/>
          <w:szCs w:val="24"/>
        </w:rPr>
        <w:t xml:space="preserve">un comparativo entre </w:t>
      </w:r>
      <w:r w:rsidR="0013712C" w:rsidRPr="009A2115">
        <w:rPr>
          <w:rFonts w:ascii="Times New Roman" w:hAnsi="Times New Roman" w:cs="Times New Roman"/>
          <w:sz w:val="24"/>
          <w:szCs w:val="24"/>
        </w:rPr>
        <w:t xml:space="preserve">la cantidad de </w:t>
      </w:r>
      <w:r w:rsidR="009A2115" w:rsidRPr="009A2115">
        <w:rPr>
          <w:rFonts w:ascii="Times New Roman" w:hAnsi="Times New Roman" w:cs="Times New Roman"/>
          <w:sz w:val="24"/>
          <w:szCs w:val="24"/>
        </w:rPr>
        <w:t>vehículos</w:t>
      </w:r>
      <w:r w:rsidR="003B3F32">
        <w:rPr>
          <w:rFonts w:ascii="Times New Roman" w:hAnsi="Times New Roman" w:cs="Times New Roman"/>
          <w:sz w:val="24"/>
          <w:szCs w:val="24"/>
        </w:rPr>
        <w:t xml:space="preserve"> en el país </w:t>
      </w:r>
      <w:r w:rsidR="0013712C" w:rsidRPr="009A2115">
        <w:rPr>
          <w:rFonts w:ascii="Times New Roman" w:hAnsi="Times New Roman" w:cs="Times New Roman"/>
          <w:sz w:val="24"/>
          <w:szCs w:val="24"/>
        </w:rPr>
        <w:t xml:space="preserve">y </w:t>
      </w:r>
      <w:r w:rsidR="003B3F32">
        <w:rPr>
          <w:rFonts w:ascii="Times New Roman" w:hAnsi="Times New Roman" w:cs="Times New Roman"/>
          <w:sz w:val="24"/>
          <w:szCs w:val="24"/>
        </w:rPr>
        <w:t xml:space="preserve">el número de </w:t>
      </w:r>
      <w:r w:rsidR="0013712C" w:rsidRPr="009A2115">
        <w:rPr>
          <w:rFonts w:ascii="Times New Roman" w:hAnsi="Times New Roman" w:cs="Times New Roman"/>
          <w:sz w:val="24"/>
          <w:szCs w:val="24"/>
        </w:rPr>
        <w:t xml:space="preserve">accidentes </w:t>
      </w:r>
      <w:r w:rsidR="009A2115" w:rsidRPr="009A2115">
        <w:rPr>
          <w:rFonts w:ascii="Times New Roman" w:hAnsi="Times New Roman" w:cs="Times New Roman"/>
          <w:sz w:val="24"/>
          <w:szCs w:val="24"/>
        </w:rPr>
        <w:t xml:space="preserve"> </w:t>
      </w:r>
      <w:r w:rsidR="0013712C" w:rsidRPr="009A2115">
        <w:rPr>
          <w:rFonts w:ascii="Times New Roman" w:hAnsi="Times New Roman" w:cs="Times New Roman"/>
          <w:sz w:val="24"/>
          <w:szCs w:val="24"/>
        </w:rPr>
        <w:t>de tránsito d</w:t>
      </w:r>
      <w:r w:rsidR="009A2115">
        <w:rPr>
          <w:rFonts w:ascii="Times New Roman" w:hAnsi="Times New Roman" w:cs="Times New Roman"/>
          <w:sz w:val="24"/>
          <w:szCs w:val="24"/>
        </w:rPr>
        <w:t>esde el año 2010 hasta el 2016.</w:t>
      </w:r>
    </w:p>
    <w:p w14:paraId="65867F74" w14:textId="77777777" w:rsidR="00F02D6B" w:rsidRDefault="00F02D6B" w:rsidP="00F02D6B">
      <w:pPr>
        <w:jc w:val="both"/>
        <w:rPr>
          <w:rFonts w:ascii="Times New Roman" w:hAnsi="Times New Roman" w:cs="Times New Roman"/>
          <w:sz w:val="24"/>
          <w:szCs w:val="24"/>
        </w:rPr>
      </w:pPr>
    </w:p>
    <w:p w14:paraId="73D47A8D" w14:textId="77777777" w:rsidR="00F02D6B" w:rsidRDefault="00F02D6B" w:rsidP="00F02D6B">
      <w:pPr>
        <w:jc w:val="both"/>
        <w:rPr>
          <w:rFonts w:ascii="Times New Roman" w:hAnsi="Times New Roman" w:cs="Times New Roman"/>
          <w:sz w:val="24"/>
          <w:szCs w:val="24"/>
        </w:rPr>
      </w:pPr>
    </w:p>
    <w:p w14:paraId="55D3D7F1" w14:textId="32E9E6EC" w:rsidR="009A2115" w:rsidRPr="003B3F32" w:rsidRDefault="009A2115" w:rsidP="009A2115">
      <w:pPr>
        <w:spacing w:after="0"/>
        <w:jc w:val="center"/>
        <w:rPr>
          <w:rFonts w:ascii="Times New Roman" w:hAnsi="Times New Roman" w:cs="Times New Roman"/>
          <w:b/>
          <w:sz w:val="20"/>
          <w:szCs w:val="20"/>
        </w:rPr>
      </w:pPr>
      <w:r w:rsidRPr="003B3F32">
        <w:rPr>
          <w:rFonts w:ascii="Times New Roman" w:hAnsi="Times New Roman" w:cs="Times New Roman"/>
          <w:b/>
          <w:sz w:val="20"/>
          <w:szCs w:val="20"/>
        </w:rPr>
        <w:t>Grafico 14: Cantidad de vehículos y accidentes de tránsito desde el 2010 al 2016.</w:t>
      </w:r>
    </w:p>
    <w:p w14:paraId="66038DA8" w14:textId="524CB23E" w:rsidR="0013712C" w:rsidRPr="003B3F32" w:rsidRDefault="009A2115" w:rsidP="009A2115">
      <w:pPr>
        <w:spacing w:after="0"/>
        <w:jc w:val="center"/>
        <w:rPr>
          <w:rFonts w:ascii="Times New Roman" w:hAnsi="Times New Roman" w:cs="Times New Roman"/>
          <w:b/>
          <w:sz w:val="20"/>
          <w:szCs w:val="20"/>
        </w:rPr>
      </w:pPr>
      <w:r w:rsidRPr="003B3F32">
        <w:rPr>
          <w:rFonts w:ascii="Times New Roman" w:hAnsi="Times New Roman" w:cs="Times New Roman"/>
          <w:b/>
          <w:sz w:val="20"/>
          <w:szCs w:val="20"/>
        </w:rPr>
        <w:t>Fuente: Viceministerio de Transporte VMT</w:t>
      </w:r>
    </w:p>
    <w:p w14:paraId="635EE271" w14:textId="77777777" w:rsidR="009A2115" w:rsidRDefault="009A2115" w:rsidP="009A2115">
      <w:pPr>
        <w:spacing w:after="0"/>
        <w:jc w:val="center"/>
        <w:rPr>
          <w:rFonts w:ascii="Times New Roman" w:hAnsi="Times New Roman" w:cs="Times New Roman"/>
          <w:sz w:val="20"/>
          <w:szCs w:val="20"/>
        </w:rPr>
      </w:pPr>
    </w:p>
    <w:p w14:paraId="4A21F4CC" w14:textId="77777777" w:rsidR="009A2115" w:rsidRDefault="009A2115" w:rsidP="009A2115">
      <w:pPr>
        <w:spacing w:after="0"/>
        <w:jc w:val="center"/>
        <w:rPr>
          <w:rFonts w:ascii="Times New Roman" w:hAnsi="Times New Roman" w:cs="Times New Roman"/>
          <w:sz w:val="20"/>
          <w:szCs w:val="20"/>
        </w:rPr>
      </w:pPr>
    </w:p>
    <w:p w14:paraId="13B91798" w14:textId="77777777" w:rsidR="009A2115" w:rsidRDefault="009A2115" w:rsidP="009A2115">
      <w:pPr>
        <w:spacing w:after="0"/>
        <w:jc w:val="center"/>
        <w:rPr>
          <w:rFonts w:ascii="Times New Roman" w:hAnsi="Times New Roman" w:cs="Times New Roman"/>
          <w:sz w:val="20"/>
          <w:szCs w:val="20"/>
        </w:rPr>
      </w:pPr>
    </w:p>
    <w:p w14:paraId="3ECAE1C2" w14:textId="77777777" w:rsidR="009A2115" w:rsidRDefault="009A2115" w:rsidP="009A2115">
      <w:pPr>
        <w:spacing w:after="0"/>
        <w:jc w:val="center"/>
        <w:rPr>
          <w:rFonts w:ascii="Times New Roman" w:hAnsi="Times New Roman" w:cs="Times New Roman"/>
          <w:sz w:val="20"/>
          <w:szCs w:val="20"/>
        </w:rPr>
      </w:pPr>
    </w:p>
    <w:p w14:paraId="5B6C2FA7" w14:textId="77777777" w:rsidR="00187778" w:rsidRDefault="00187778" w:rsidP="0018777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Así mismo, se tiene claro que los siniestros de tránsito representan para el Estado una carga para el Ministerio de Salud, pues se debe atender los traumatismos a nivel nacional, es así que según informe de este Ministerio, del periodo del 01 de enero al 21 de diciembre de 2016 se tiene las siguientes atenciones:</w:t>
      </w:r>
    </w:p>
    <w:p w14:paraId="606D0F3B" w14:textId="77777777" w:rsidR="00187778" w:rsidRDefault="00187778" w:rsidP="00187778">
      <w:pPr>
        <w:spacing w:after="0" w:line="360" w:lineRule="auto"/>
        <w:jc w:val="both"/>
        <w:rPr>
          <w:rFonts w:ascii="Times New Roman" w:hAnsi="Times New Roman" w:cs="Times New Roman"/>
          <w:sz w:val="24"/>
          <w:szCs w:val="24"/>
        </w:rPr>
      </w:pPr>
    </w:p>
    <w:p w14:paraId="52EE240C" w14:textId="71AD329E" w:rsidR="00187778" w:rsidRDefault="00187778" w:rsidP="00187778">
      <w:pPr>
        <w:spacing w:after="0" w:line="360" w:lineRule="auto"/>
        <w:jc w:val="both"/>
        <w:rPr>
          <w:rFonts w:ascii="Times New Roman" w:hAnsi="Times New Roman" w:cs="Times New Roman"/>
          <w:sz w:val="24"/>
          <w:szCs w:val="24"/>
        </w:rPr>
      </w:pPr>
      <w:r>
        <w:rPr>
          <w:noProof/>
        </w:rPr>
        <w:lastRenderedPageBreak/>
        <w:drawing>
          <wp:anchor distT="0" distB="0" distL="114300" distR="114300" simplePos="0" relativeHeight="251686912" behindDoc="0" locked="0" layoutInCell="1" allowOverlap="1" wp14:anchorId="73F4C0A0" wp14:editId="6C627FDD">
            <wp:simplePos x="0" y="0"/>
            <wp:positionH relativeFrom="margin">
              <wp:align>center</wp:align>
            </wp:positionH>
            <wp:positionV relativeFrom="paragraph">
              <wp:posOffset>9525</wp:posOffset>
            </wp:positionV>
            <wp:extent cx="4572635" cy="2527935"/>
            <wp:effectExtent l="0" t="0" r="0" b="5715"/>
            <wp:wrapSquare wrapText="bothSides"/>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rotWithShape="1">
                    <a:blip r:embed="rId21">
                      <a:extLst>
                        <a:ext uri="{28A0092B-C50C-407E-A947-70E740481C1C}">
                          <a14:useLocalDpi xmlns:a14="http://schemas.microsoft.com/office/drawing/2010/main" val="0"/>
                        </a:ext>
                      </a:extLst>
                    </a:blip>
                    <a:srcRect l="-174" t="16929" r="174" b="9334"/>
                    <a:stretch/>
                  </pic:blipFill>
                  <pic:spPr bwMode="auto">
                    <a:xfrm>
                      <a:off x="0" y="0"/>
                      <a:ext cx="457263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3AA85" w14:textId="77777777" w:rsidR="009A2115" w:rsidRDefault="009A2115" w:rsidP="009A2115">
      <w:pPr>
        <w:spacing w:after="0"/>
        <w:jc w:val="center"/>
        <w:rPr>
          <w:rFonts w:ascii="Times New Roman" w:hAnsi="Times New Roman" w:cs="Times New Roman"/>
          <w:sz w:val="20"/>
          <w:szCs w:val="20"/>
        </w:rPr>
      </w:pPr>
    </w:p>
    <w:p w14:paraId="26F15808" w14:textId="77777777" w:rsidR="009A2115" w:rsidRDefault="009A2115" w:rsidP="009A2115">
      <w:pPr>
        <w:spacing w:after="0"/>
        <w:jc w:val="center"/>
        <w:rPr>
          <w:rFonts w:ascii="Times New Roman" w:hAnsi="Times New Roman" w:cs="Times New Roman"/>
          <w:sz w:val="20"/>
          <w:szCs w:val="20"/>
        </w:rPr>
      </w:pPr>
    </w:p>
    <w:p w14:paraId="13CAE8BA" w14:textId="77777777" w:rsidR="009A2115" w:rsidRDefault="009A2115" w:rsidP="009A2115">
      <w:pPr>
        <w:spacing w:after="0"/>
        <w:jc w:val="center"/>
        <w:rPr>
          <w:rFonts w:ascii="Times New Roman" w:hAnsi="Times New Roman" w:cs="Times New Roman"/>
          <w:sz w:val="20"/>
          <w:szCs w:val="20"/>
        </w:rPr>
      </w:pPr>
    </w:p>
    <w:p w14:paraId="6A4ED56D" w14:textId="77777777" w:rsidR="009A2115" w:rsidRDefault="009A2115" w:rsidP="009A2115">
      <w:pPr>
        <w:spacing w:after="0"/>
        <w:jc w:val="center"/>
        <w:rPr>
          <w:rFonts w:ascii="Times New Roman" w:hAnsi="Times New Roman" w:cs="Times New Roman"/>
          <w:sz w:val="20"/>
          <w:szCs w:val="20"/>
        </w:rPr>
      </w:pPr>
    </w:p>
    <w:p w14:paraId="6D5E96BA" w14:textId="77777777" w:rsidR="009A2115" w:rsidRPr="009A2115" w:rsidRDefault="009A2115" w:rsidP="009A2115">
      <w:pPr>
        <w:spacing w:after="0"/>
        <w:jc w:val="center"/>
        <w:rPr>
          <w:sz w:val="32"/>
          <w:szCs w:val="32"/>
        </w:rPr>
      </w:pPr>
    </w:p>
    <w:p w14:paraId="30CFF445" w14:textId="77777777" w:rsidR="00187778" w:rsidRDefault="00187778" w:rsidP="00B458B9">
      <w:pPr>
        <w:pStyle w:val="Ttulo1"/>
        <w:numPr>
          <w:ilvl w:val="0"/>
          <w:numId w:val="0"/>
        </w:numPr>
        <w:jc w:val="center"/>
        <w:rPr>
          <w:rFonts w:ascii="Times New Roman" w:hAnsi="Times New Roman" w:cs="Times New Roman"/>
          <w:sz w:val="24"/>
          <w:szCs w:val="24"/>
        </w:rPr>
      </w:pPr>
    </w:p>
    <w:p w14:paraId="34DAB7D6" w14:textId="77777777" w:rsidR="00187778" w:rsidRDefault="00187778" w:rsidP="00B458B9">
      <w:pPr>
        <w:pStyle w:val="Ttulo1"/>
        <w:numPr>
          <w:ilvl w:val="0"/>
          <w:numId w:val="0"/>
        </w:numPr>
        <w:jc w:val="center"/>
        <w:rPr>
          <w:rFonts w:ascii="Times New Roman" w:hAnsi="Times New Roman" w:cs="Times New Roman"/>
          <w:sz w:val="24"/>
          <w:szCs w:val="24"/>
        </w:rPr>
      </w:pPr>
    </w:p>
    <w:p w14:paraId="60CECF54" w14:textId="77777777" w:rsidR="00187778" w:rsidRDefault="00187778" w:rsidP="00187778">
      <w:pPr>
        <w:spacing w:after="0" w:line="240" w:lineRule="auto"/>
        <w:jc w:val="center"/>
        <w:rPr>
          <w:rFonts w:ascii="Times New Roman" w:hAnsi="Times New Roman" w:cs="Times New Roman"/>
          <w:b/>
        </w:rPr>
      </w:pPr>
      <w:r>
        <w:rPr>
          <w:rFonts w:ascii="Times New Roman" w:hAnsi="Times New Roman" w:cs="Times New Roman"/>
          <w:b/>
        </w:rPr>
        <w:t>Ilustración 1: Pirámide de lesionados por accidentes de transporte del 1 de enero al 21 de diciembre de 2016.</w:t>
      </w:r>
    </w:p>
    <w:p w14:paraId="78F4AB38" w14:textId="77777777" w:rsidR="00187778" w:rsidRDefault="00187778" w:rsidP="00187778">
      <w:pPr>
        <w:spacing w:after="0" w:line="240" w:lineRule="auto"/>
        <w:jc w:val="center"/>
        <w:rPr>
          <w:rFonts w:ascii="Times New Roman" w:hAnsi="Times New Roman" w:cs="Times New Roman"/>
          <w:b/>
        </w:rPr>
      </w:pPr>
      <w:r>
        <w:rPr>
          <w:rFonts w:ascii="Times New Roman" w:hAnsi="Times New Roman" w:cs="Times New Roman"/>
          <w:b/>
        </w:rPr>
        <w:t>Fuente: Ministerio de Salud.</w:t>
      </w:r>
    </w:p>
    <w:p w14:paraId="5D597E26" w14:textId="77777777" w:rsidR="00187778" w:rsidRDefault="00187778" w:rsidP="00187778">
      <w:pPr>
        <w:spacing w:after="0" w:line="360" w:lineRule="auto"/>
        <w:jc w:val="both"/>
        <w:rPr>
          <w:rFonts w:ascii="Times New Roman" w:hAnsi="Times New Roman" w:cs="Times New Roman"/>
          <w:color w:val="FF0000"/>
          <w:sz w:val="20"/>
          <w:szCs w:val="20"/>
        </w:rPr>
      </w:pPr>
    </w:p>
    <w:p w14:paraId="23348174" w14:textId="5B279554" w:rsidR="00187778" w:rsidRDefault="00CF4C46" w:rsidP="00CF4C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Según datos del Ministerio de Salud, y tal como lo expresa </w:t>
      </w:r>
      <w:r w:rsidR="00187778">
        <w:rPr>
          <w:rFonts w:ascii="Times New Roman" w:hAnsi="Times New Roman" w:cs="Times New Roman"/>
          <w:sz w:val="24"/>
          <w:szCs w:val="24"/>
        </w:rPr>
        <w:t>la ilustración anterior se tiene que del total de consultas ambulatoria por  primera vez (6</w:t>
      </w:r>
      <w:r>
        <w:rPr>
          <w:rFonts w:ascii="Times New Roman" w:hAnsi="Times New Roman" w:cs="Times New Roman"/>
          <w:sz w:val="24"/>
          <w:szCs w:val="24"/>
        </w:rPr>
        <w:t>, 324,162</w:t>
      </w:r>
      <w:r w:rsidR="00187778">
        <w:rPr>
          <w:rFonts w:ascii="Times New Roman" w:hAnsi="Times New Roman" w:cs="Times New Roman"/>
          <w:sz w:val="24"/>
          <w:szCs w:val="24"/>
        </w:rPr>
        <w:t>), 19,835 (0.31%) fu</w:t>
      </w:r>
      <w:r>
        <w:rPr>
          <w:rFonts w:ascii="Times New Roman" w:hAnsi="Times New Roman" w:cs="Times New Roman"/>
          <w:sz w:val="24"/>
          <w:szCs w:val="24"/>
        </w:rPr>
        <w:t>eron por accidentes de tránsito;</w:t>
      </w:r>
      <w:r w:rsidR="00187778">
        <w:rPr>
          <w:rFonts w:ascii="Times New Roman" w:hAnsi="Times New Roman" w:cs="Times New Roman"/>
          <w:sz w:val="24"/>
          <w:szCs w:val="24"/>
        </w:rPr>
        <w:t xml:space="preserve"> del total de egresos por todas las causas (363,824), 4456 (1.2%) fueron por accidentes de tránsito y del total de muertes por todas las causas (10,843), 436 (4%) fuer</w:t>
      </w:r>
      <w:r>
        <w:rPr>
          <w:rFonts w:ascii="Times New Roman" w:hAnsi="Times New Roman" w:cs="Times New Roman"/>
          <w:sz w:val="24"/>
          <w:szCs w:val="24"/>
        </w:rPr>
        <w:t xml:space="preserve">on por accidentes de tránsito. </w:t>
      </w:r>
    </w:p>
    <w:p w14:paraId="5148CD0C" w14:textId="4740FA0B" w:rsidR="00B67A8B" w:rsidRPr="00AA33EE" w:rsidRDefault="00B67A8B" w:rsidP="00F24CBD">
      <w:pPr>
        <w:rPr>
          <w:rFonts w:ascii="Times New Roman" w:hAnsi="Times New Roman" w:cs="Times New Roman"/>
          <w:b/>
          <w:sz w:val="24"/>
          <w:szCs w:val="24"/>
        </w:rPr>
      </w:pPr>
      <w:bookmarkStart w:id="1" w:name="_GoBack"/>
      <w:bookmarkEnd w:id="0"/>
      <w:bookmarkEnd w:id="1"/>
    </w:p>
    <w:sectPr w:rsidR="00B67A8B" w:rsidRPr="00AA33EE" w:rsidSect="002A589D">
      <w:type w:val="continuous"/>
      <w:pgSz w:w="12240" w:h="15840"/>
      <w:pgMar w:top="1985" w:right="1701" w:bottom="1417"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7B6AA5" w14:textId="77777777" w:rsidR="00007D1D" w:rsidRDefault="00007D1D" w:rsidP="00E92131">
      <w:pPr>
        <w:spacing w:after="0" w:line="240" w:lineRule="auto"/>
      </w:pPr>
      <w:r>
        <w:separator/>
      </w:r>
    </w:p>
  </w:endnote>
  <w:endnote w:type="continuationSeparator" w:id="0">
    <w:p w14:paraId="4BB33BF1" w14:textId="77777777" w:rsidR="00007D1D" w:rsidRDefault="00007D1D" w:rsidP="00E92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D0F94D" w14:textId="77777777" w:rsidR="00007D1D" w:rsidRDefault="00007D1D" w:rsidP="00E92131">
      <w:pPr>
        <w:spacing w:after="0" w:line="240" w:lineRule="auto"/>
      </w:pPr>
      <w:r>
        <w:separator/>
      </w:r>
    </w:p>
  </w:footnote>
  <w:footnote w:type="continuationSeparator" w:id="0">
    <w:p w14:paraId="7397FACF" w14:textId="77777777" w:rsidR="00007D1D" w:rsidRDefault="00007D1D" w:rsidP="00E921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BA6EC7A6"/>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25649"/>
    <w:multiLevelType w:val="hybridMultilevel"/>
    <w:tmpl w:val="EF841F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B52389"/>
    <w:multiLevelType w:val="hybridMultilevel"/>
    <w:tmpl w:val="A06E39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6451A"/>
    <w:multiLevelType w:val="hybridMultilevel"/>
    <w:tmpl w:val="9E3A834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10CF0230"/>
    <w:multiLevelType w:val="hybridMultilevel"/>
    <w:tmpl w:val="10C82776"/>
    <w:lvl w:ilvl="0" w:tplc="61E8642E">
      <w:start w:val="1"/>
      <w:numFmt w:val="lowerLetter"/>
      <w:lvlText w:val="%1)"/>
      <w:lvlJc w:val="left"/>
      <w:pPr>
        <w:tabs>
          <w:tab w:val="num" w:pos="360"/>
        </w:tabs>
        <w:ind w:left="360" w:hanging="360"/>
      </w:pPr>
      <w:rPr>
        <w:rFonts w:hint="default"/>
        <w:b/>
      </w:rPr>
    </w:lvl>
    <w:lvl w:ilvl="1" w:tplc="81AAD356" w:tentative="1">
      <w:start w:val="1"/>
      <w:numFmt w:val="bullet"/>
      <w:lvlText w:val=""/>
      <w:lvlJc w:val="left"/>
      <w:pPr>
        <w:tabs>
          <w:tab w:val="num" w:pos="1440"/>
        </w:tabs>
        <w:ind w:left="1440" w:hanging="360"/>
      </w:pPr>
      <w:rPr>
        <w:rFonts w:ascii="Wingdings" w:hAnsi="Wingdings" w:hint="default"/>
      </w:rPr>
    </w:lvl>
    <w:lvl w:ilvl="2" w:tplc="153AA4E8" w:tentative="1">
      <w:start w:val="1"/>
      <w:numFmt w:val="bullet"/>
      <w:lvlText w:val=""/>
      <w:lvlJc w:val="left"/>
      <w:pPr>
        <w:tabs>
          <w:tab w:val="num" w:pos="2160"/>
        </w:tabs>
        <w:ind w:left="2160" w:hanging="360"/>
      </w:pPr>
      <w:rPr>
        <w:rFonts w:ascii="Wingdings" w:hAnsi="Wingdings" w:hint="default"/>
      </w:rPr>
    </w:lvl>
    <w:lvl w:ilvl="3" w:tplc="DD3010C4" w:tentative="1">
      <w:start w:val="1"/>
      <w:numFmt w:val="bullet"/>
      <w:lvlText w:val=""/>
      <w:lvlJc w:val="left"/>
      <w:pPr>
        <w:tabs>
          <w:tab w:val="num" w:pos="2880"/>
        </w:tabs>
        <w:ind w:left="2880" w:hanging="360"/>
      </w:pPr>
      <w:rPr>
        <w:rFonts w:ascii="Wingdings" w:hAnsi="Wingdings" w:hint="default"/>
      </w:rPr>
    </w:lvl>
    <w:lvl w:ilvl="4" w:tplc="6BB448C2" w:tentative="1">
      <w:start w:val="1"/>
      <w:numFmt w:val="bullet"/>
      <w:lvlText w:val=""/>
      <w:lvlJc w:val="left"/>
      <w:pPr>
        <w:tabs>
          <w:tab w:val="num" w:pos="3600"/>
        </w:tabs>
        <w:ind w:left="3600" w:hanging="360"/>
      </w:pPr>
      <w:rPr>
        <w:rFonts w:ascii="Wingdings" w:hAnsi="Wingdings" w:hint="default"/>
      </w:rPr>
    </w:lvl>
    <w:lvl w:ilvl="5" w:tplc="CD8C03FA" w:tentative="1">
      <w:start w:val="1"/>
      <w:numFmt w:val="bullet"/>
      <w:lvlText w:val=""/>
      <w:lvlJc w:val="left"/>
      <w:pPr>
        <w:tabs>
          <w:tab w:val="num" w:pos="4320"/>
        </w:tabs>
        <w:ind w:left="4320" w:hanging="360"/>
      </w:pPr>
      <w:rPr>
        <w:rFonts w:ascii="Wingdings" w:hAnsi="Wingdings" w:hint="default"/>
      </w:rPr>
    </w:lvl>
    <w:lvl w:ilvl="6" w:tplc="E9C85790" w:tentative="1">
      <w:start w:val="1"/>
      <w:numFmt w:val="bullet"/>
      <w:lvlText w:val=""/>
      <w:lvlJc w:val="left"/>
      <w:pPr>
        <w:tabs>
          <w:tab w:val="num" w:pos="5040"/>
        </w:tabs>
        <w:ind w:left="5040" w:hanging="360"/>
      </w:pPr>
      <w:rPr>
        <w:rFonts w:ascii="Wingdings" w:hAnsi="Wingdings" w:hint="default"/>
      </w:rPr>
    </w:lvl>
    <w:lvl w:ilvl="7" w:tplc="89D085EA" w:tentative="1">
      <w:start w:val="1"/>
      <w:numFmt w:val="bullet"/>
      <w:lvlText w:val=""/>
      <w:lvlJc w:val="left"/>
      <w:pPr>
        <w:tabs>
          <w:tab w:val="num" w:pos="5760"/>
        </w:tabs>
        <w:ind w:left="5760" w:hanging="360"/>
      </w:pPr>
      <w:rPr>
        <w:rFonts w:ascii="Wingdings" w:hAnsi="Wingdings" w:hint="default"/>
      </w:rPr>
    </w:lvl>
    <w:lvl w:ilvl="8" w:tplc="C2E8E2D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783EC1"/>
    <w:multiLevelType w:val="hybridMultilevel"/>
    <w:tmpl w:val="4E22EF4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129F05DA"/>
    <w:multiLevelType w:val="hybridMultilevel"/>
    <w:tmpl w:val="428204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FF1A42"/>
    <w:multiLevelType w:val="hybridMultilevel"/>
    <w:tmpl w:val="38881F1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1962027C"/>
    <w:multiLevelType w:val="multilevel"/>
    <w:tmpl w:val="6C6A93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C9E1E53"/>
    <w:multiLevelType w:val="multilevel"/>
    <w:tmpl w:val="FA5A16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20552A1"/>
    <w:multiLevelType w:val="multilevel"/>
    <w:tmpl w:val="6C6A93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5B313D"/>
    <w:multiLevelType w:val="hybridMultilevel"/>
    <w:tmpl w:val="C9D2FD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7110A9"/>
    <w:multiLevelType w:val="hybridMultilevel"/>
    <w:tmpl w:val="D2465E7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26BD58CD"/>
    <w:multiLevelType w:val="hybridMultilevel"/>
    <w:tmpl w:val="A5AA1D1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B8292F"/>
    <w:multiLevelType w:val="hybridMultilevel"/>
    <w:tmpl w:val="7A1C0DA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C142C5F"/>
    <w:multiLevelType w:val="hybridMultilevel"/>
    <w:tmpl w:val="D25E0CD0"/>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6" w15:restartNumberingAfterBreak="0">
    <w:nsid w:val="334F2205"/>
    <w:multiLevelType w:val="hybridMultilevel"/>
    <w:tmpl w:val="9648C8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F34FB2"/>
    <w:multiLevelType w:val="hybridMultilevel"/>
    <w:tmpl w:val="5D88A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A2C6835"/>
    <w:multiLevelType w:val="hybridMultilevel"/>
    <w:tmpl w:val="470E5B3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3EF467D4"/>
    <w:multiLevelType w:val="multilevel"/>
    <w:tmpl w:val="6C6A931E"/>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49237614"/>
    <w:multiLevelType w:val="hybridMultilevel"/>
    <w:tmpl w:val="A04E5412"/>
    <w:lvl w:ilvl="0" w:tplc="6F60222A">
      <w:start w:val="1"/>
      <w:numFmt w:val="decimal"/>
      <w:pStyle w:val="Ttulo1"/>
      <w:lvlText w:val="%1."/>
      <w:lvlJc w:val="left"/>
      <w:pPr>
        <w:ind w:left="720" w:hanging="360"/>
      </w:pPr>
      <w:rPr>
        <w:rFonts w:hint="default"/>
        <w:b/>
        <w:i w:val="0"/>
      </w:rPr>
    </w:lvl>
    <w:lvl w:ilvl="1" w:tplc="17BCE3D6">
      <w:start w:val="1"/>
      <w:numFmt w:val="lowerLetter"/>
      <w:lvlText w:val="%2."/>
      <w:lvlJc w:val="left"/>
      <w:pPr>
        <w:ind w:left="1440" w:hanging="360"/>
      </w:pPr>
    </w:lvl>
    <w:lvl w:ilvl="2" w:tplc="3BFED41A" w:tentative="1">
      <w:start w:val="1"/>
      <w:numFmt w:val="lowerRoman"/>
      <w:lvlText w:val="%3."/>
      <w:lvlJc w:val="right"/>
      <w:pPr>
        <w:ind w:left="2160" w:hanging="180"/>
      </w:pPr>
    </w:lvl>
    <w:lvl w:ilvl="3" w:tplc="85709B0E" w:tentative="1">
      <w:start w:val="1"/>
      <w:numFmt w:val="decimal"/>
      <w:lvlText w:val="%4."/>
      <w:lvlJc w:val="left"/>
      <w:pPr>
        <w:ind w:left="2880" w:hanging="360"/>
      </w:pPr>
    </w:lvl>
    <w:lvl w:ilvl="4" w:tplc="F3A0D36E" w:tentative="1">
      <w:start w:val="1"/>
      <w:numFmt w:val="lowerLetter"/>
      <w:lvlText w:val="%5."/>
      <w:lvlJc w:val="left"/>
      <w:pPr>
        <w:ind w:left="3600" w:hanging="360"/>
      </w:pPr>
    </w:lvl>
    <w:lvl w:ilvl="5" w:tplc="C6AC59E0" w:tentative="1">
      <w:start w:val="1"/>
      <w:numFmt w:val="lowerRoman"/>
      <w:lvlText w:val="%6."/>
      <w:lvlJc w:val="right"/>
      <w:pPr>
        <w:ind w:left="4320" w:hanging="180"/>
      </w:pPr>
    </w:lvl>
    <w:lvl w:ilvl="6" w:tplc="3AC87A82" w:tentative="1">
      <w:start w:val="1"/>
      <w:numFmt w:val="decimal"/>
      <w:lvlText w:val="%7."/>
      <w:lvlJc w:val="left"/>
      <w:pPr>
        <w:ind w:left="5040" w:hanging="360"/>
      </w:pPr>
    </w:lvl>
    <w:lvl w:ilvl="7" w:tplc="4A82D2F0" w:tentative="1">
      <w:start w:val="1"/>
      <w:numFmt w:val="lowerLetter"/>
      <w:lvlText w:val="%8."/>
      <w:lvlJc w:val="left"/>
      <w:pPr>
        <w:ind w:left="5760" w:hanging="360"/>
      </w:pPr>
    </w:lvl>
    <w:lvl w:ilvl="8" w:tplc="CEA08A1E" w:tentative="1">
      <w:start w:val="1"/>
      <w:numFmt w:val="lowerRoman"/>
      <w:lvlText w:val="%9."/>
      <w:lvlJc w:val="right"/>
      <w:pPr>
        <w:ind w:left="6480" w:hanging="180"/>
      </w:pPr>
    </w:lvl>
  </w:abstractNum>
  <w:abstractNum w:abstractNumId="21" w15:restartNumberingAfterBreak="0">
    <w:nsid w:val="4EE85026"/>
    <w:multiLevelType w:val="hybridMultilevel"/>
    <w:tmpl w:val="13D638A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53D31DF7"/>
    <w:multiLevelType w:val="hybridMultilevel"/>
    <w:tmpl w:val="99F6143A"/>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575F0DAB"/>
    <w:multiLevelType w:val="hybridMultilevel"/>
    <w:tmpl w:val="153ABB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850B26"/>
    <w:multiLevelType w:val="hybridMultilevel"/>
    <w:tmpl w:val="B95A24D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15:restartNumberingAfterBreak="0">
    <w:nsid w:val="59B06EBC"/>
    <w:multiLevelType w:val="hybridMultilevel"/>
    <w:tmpl w:val="08726C48"/>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5AD13F3E"/>
    <w:multiLevelType w:val="multilevel"/>
    <w:tmpl w:val="C77A497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C480630"/>
    <w:multiLevelType w:val="multilevel"/>
    <w:tmpl w:val="6C6A931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5F53A00"/>
    <w:multiLevelType w:val="hybridMultilevel"/>
    <w:tmpl w:val="FF2A9096"/>
    <w:lvl w:ilvl="0" w:tplc="727EAEF6">
      <w:start w:val="1"/>
      <w:numFmt w:val="lowerLetter"/>
      <w:lvlText w:val="%1)"/>
      <w:lvlJc w:val="left"/>
      <w:pPr>
        <w:ind w:left="720" w:hanging="360"/>
      </w:pPr>
      <w:rPr>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68066BFE"/>
    <w:multiLevelType w:val="hybridMultilevel"/>
    <w:tmpl w:val="8F2CF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B4209F6"/>
    <w:multiLevelType w:val="hybridMultilevel"/>
    <w:tmpl w:val="03AE9A12"/>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31" w15:restartNumberingAfterBreak="0">
    <w:nsid w:val="7411136B"/>
    <w:multiLevelType w:val="hybridMultilevel"/>
    <w:tmpl w:val="A61039DA"/>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6C82EE6"/>
    <w:multiLevelType w:val="hybridMultilevel"/>
    <w:tmpl w:val="CE1EF9DE"/>
    <w:lvl w:ilvl="0" w:tplc="440A0017">
      <w:start w:val="1"/>
      <w:numFmt w:val="lowerLetter"/>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 w15:restartNumberingAfterBreak="0">
    <w:nsid w:val="78FE6EA4"/>
    <w:multiLevelType w:val="hybridMultilevel"/>
    <w:tmpl w:val="B820512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CF519C5"/>
    <w:multiLevelType w:val="hybridMultilevel"/>
    <w:tmpl w:val="98B4CB34"/>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7EA97378"/>
    <w:multiLevelType w:val="hybridMultilevel"/>
    <w:tmpl w:val="B9905BCE"/>
    <w:lvl w:ilvl="0" w:tplc="440A0017">
      <w:start w:val="1"/>
      <w:numFmt w:val="lowerLetter"/>
      <w:lvlText w:val="%1)"/>
      <w:lvlJc w:val="left"/>
      <w:pPr>
        <w:ind w:left="720" w:hanging="360"/>
      </w:pPr>
      <w:rPr>
        <w:rFonts w:hint="default"/>
      </w:rPr>
    </w:lvl>
    <w:lvl w:ilvl="1" w:tplc="EA4C0A24">
      <w:start w:val="1"/>
      <w:numFmt w:val="lowerLetter"/>
      <w:lvlText w:val="%2."/>
      <w:lvlJc w:val="left"/>
      <w:pPr>
        <w:ind w:left="1440" w:hanging="360"/>
      </w:pPr>
    </w:lvl>
    <w:lvl w:ilvl="2" w:tplc="77BCE860" w:tentative="1">
      <w:start w:val="1"/>
      <w:numFmt w:val="lowerRoman"/>
      <w:lvlText w:val="%3."/>
      <w:lvlJc w:val="right"/>
      <w:pPr>
        <w:ind w:left="2160" w:hanging="180"/>
      </w:pPr>
    </w:lvl>
    <w:lvl w:ilvl="3" w:tplc="34B2EB64" w:tentative="1">
      <w:start w:val="1"/>
      <w:numFmt w:val="decimal"/>
      <w:lvlText w:val="%4."/>
      <w:lvlJc w:val="left"/>
      <w:pPr>
        <w:ind w:left="2880" w:hanging="360"/>
      </w:pPr>
    </w:lvl>
    <w:lvl w:ilvl="4" w:tplc="F31C31A4" w:tentative="1">
      <w:start w:val="1"/>
      <w:numFmt w:val="lowerLetter"/>
      <w:lvlText w:val="%5."/>
      <w:lvlJc w:val="left"/>
      <w:pPr>
        <w:ind w:left="3600" w:hanging="360"/>
      </w:pPr>
    </w:lvl>
    <w:lvl w:ilvl="5" w:tplc="DE74C972" w:tentative="1">
      <w:start w:val="1"/>
      <w:numFmt w:val="lowerRoman"/>
      <w:lvlText w:val="%6."/>
      <w:lvlJc w:val="right"/>
      <w:pPr>
        <w:ind w:left="4320" w:hanging="180"/>
      </w:pPr>
    </w:lvl>
    <w:lvl w:ilvl="6" w:tplc="D7B60396" w:tentative="1">
      <w:start w:val="1"/>
      <w:numFmt w:val="decimal"/>
      <w:lvlText w:val="%7."/>
      <w:lvlJc w:val="left"/>
      <w:pPr>
        <w:ind w:left="5040" w:hanging="360"/>
      </w:pPr>
    </w:lvl>
    <w:lvl w:ilvl="7" w:tplc="E09C3B68" w:tentative="1">
      <w:start w:val="1"/>
      <w:numFmt w:val="lowerLetter"/>
      <w:lvlText w:val="%8."/>
      <w:lvlJc w:val="left"/>
      <w:pPr>
        <w:ind w:left="5760" w:hanging="360"/>
      </w:pPr>
    </w:lvl>
    <w:lvl w:ilvl="8" w:tplc="5C047250" w:tentative="1">
      <w:start w:val="1"/>
      <w:numFmt w:val="lowerRoman"/>
      <w:lvlText w:val="%9."/>
      <w:lvlJc w:val="right"/>
      <w:pPr>
        <w:ind w:left="6480" w:hanging="180"/>
      </w:pPr>
    </w:lvl>
  </w:abstractNum>
  <w:num w:numId="1">
    <w:abstractNumId w:val="20"/>
  </w:num>
  <w:num w:numId="2">
    <w:abstractNumId w:val="35"/>
  </w:num>
  <w:num w:numId="3">
    <w:abstractNumId w:val="4"/>
  </w:num>
  <w:num w:numId="4">
    <w:abstractNumId w:val="3"/>
  </w:num>
  <w:num w:numId="5">
    <w:abstractNumId w:val="15"/>
  </w:num>
  <w:num w:numId="6">
    <w:abstractNumId w:val="25"/>
  </w:num>
  <w:num w:numId="7">
    <w:abstractNumId w:val="22"/>
  </w:num>
  <w:num w:numId="8">
    <w:abstractNumId w:val="24"/>
  </w:num>
  <w:num w:numId="9">
    <w:abstractNumId w:val="5"/>
  </w:num>
  <w:num w:numId="10">
    <w:abstractNumId w:val="34"/>
  </w:num>
  <w:num w:numId="11">
    <w:abstractNumId w:val="28"/>
  </w:num>
  <w:num w:numId="12">
    <w:abstractNumId w:val="32"/>
  </w:num>
  <w:num w:numId="13">
    <w:abstractNumId w:val="33"/>
  </w:num>
  <w:num w:numId="14">
    <w:abstractNumId w:val="12"/>
  </w:num>
  <w:num w:numId="15">
    <w:abstractNumId w:val="7"/>
  </w:num>
  <w:num w:numId="16">
    <w:abstractNumId w:val="30"/>
  </w:num>
  <w:num w:numId="17">
    <w:abstractNumId w:val="17"/>
  </w:num>
  <w:num w:numId="18">
    <w:abstractNumId w:val="31"/>
  </w:num>
  <w:num w:numId="19">
    <w:abstractNumId w:val="18"/>
  </w:num>
  <w:num w:numId="20">
    <w:abstractNumId w:val="14"/>
  </w:num>
  <w:num w:numId="21">
    <w:abstractNumId w:val="6"/>
  </w:num>
  <w:num w:numId="22">
    <w:abstractNumId w:val="2"/>
  </w:num>
  <w:num w:numId="23">
    <w:abstractNumId w:val="21"/>
  </w:num>
  <w:num w:numId="24">
    <w:abstractNumId w:val="11"/>
  </w:num>
  <w:num w:numId="25">
    <w:abstractNumId w:val="0"/>
  </w:num>
  <w:num w:numId="26">
    <w:abstractNumId w:val="16"/>
  </w:num>
  <w:num w:numId="27">
    <w:abstractNumId w:val="23"/>
  </w:num>
  <w:num w:numId="28">
    <w:abstractNumId w:val="29"/>
  </w:num>
  <w:num w:numId="29">
    <w:abstractNumId w:val="1"/>
  </w:num>
  <w:num w:numId="30">
    <w:abstractNumId w:val="10"/>
  </w:num>
  <w:num w:numId="31">
    <w:abstractNumId w:val="9"/>
  </w:num>
  <w:num w:numId="32">
    <w:abstractNumId w:val="13"/>
  </w:num>
  <w:num w:numId="33">
    <w:abstractNumId w:val="26"/>
  </w:num>
  <w:num w:numId="34">
    <w:abstractNumId w:val="27"/>
  </w:num>
  <w:num w:numId="35">
    <w:abstractNumId w:val="19"/>
  </w:num>
  <w:num w:numId="36">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SV" w:vendorID="64" w:dllVersion="131078" w:nlCheck="1" w:checkStyle="1"/>
  <w:activeWritingStyle w:appName="MSWord" w:lang="es-ES" w:vendorID="64" w:dllVersion="131078" w:nlCheck="1" w:checkStyle="1"/>
  <w:activeWritingStyle w:appName="MSWord" w:lang="es-MX" w:vendorID="64" w:dllVersion="131078" w:nlCheck="1" w:checkStyle="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888"/>
    <w:rsid w:val="00000DF6"/>
    <w:rsid w:val="00001D92"/>
    <w:rsid w:val="000036FF"/>
    <w:rsid w:val="00004AEA"/>
    <w:rsid w:val="000055C2"/>
    <w:rsid w:val="00007D1D"/>
    <w:rsid w:val="00007F82"/>
    <w:rsid w:val="00010BAA"/>
    <w:rsid w:val="00011AAB"/>
    <w:rsid w:val="00012CDC"/>
    <w:rsid w:val="00014504"/>
    <w:rsid w:val="0001750C"/>
    <w:rsid w:val="00017720"/>
    <w:rsid w:val="0002072A"/>
    <w:rsid w:val="00021FA9"/>
    <w:rsid w:val="00022FD2"/>
    <w:rsid w:val="00023054"/>
    <w:rsid w:val="0002373F"/>
    <w:rsid w:val="00024015"/>
    <w:rsid w:val="00024665"/>
    <w:rsid w:val="00026166"/>
    <w:rsid w:val="0003107D"/>
    <w:rsid w:val="000331C3"/>
    <w:rsid w:val="0003334F"/>
    <w:rsid w:val="000338C1"/>
    <w:rsid w:val="000346E4"/>
    <w:rsid w:val="000358FE"/>
    <w:rsid w:val="0003616D"/>
    <w:rsid w:val="000369C7"/>
    <w:rsid w:val="000425B1"/>
    <w:rsid w:val="0004285F"/>
    <w:rsid w:val="000428F9"/>
    <w:rsid w:val="000451B7"/>
    <w:rsid w:val="000473D0"/>
    <w:rsid w:val="00047F0F"/>
    <w:rsid w:val="00050206"/>
    <w:rsid w:val="00051137"/>
    <w:rsid w:val="00051B5A"/>
    <w:rsid w:val="00053D15"/>
    <w:rsid w:val="00055AD9"/>
    <w:rsid w:val="00056114"/>
    <w:rsid w:val="00061B80"/>
    <w:rsid w:val="00061ECA"/>
    <w:rsid w:val="0006377E"/>
    <w:rsid w:val="000643E4"/>
    <w:rsid w:val="00064FD5"/>
    <w:rsid w:val="00065782"/>
    <w:rsid w:val="00066D85"/>
    <w:rsid w:val="000739E0"/>
    <w:rsid w:val="00073CE5"/>
    <w:rsid w:val="0007426D"/>
    <w:rsid w:val="00076134"/>
    <w:rsid w:val="00076F3A"/>
    <w:rsid w:val="00077CD6"/>
    <w:rsid w:val="00081499"/>
    <w:rsid w:val="00081824"/>
    <w:rsid w:val="0008554E"/>
    <w:rsid w:val="000868AF"/>
    <w:rsid w:val="00090E17"/>
    <w:rsid w:val="00090F37"/>
    <w:rsid w:val="00091CFB"/>
    <w:rsid w:val="00094666"/>
    <w:rsid w:val="00094FBB"/>
    <w:rsid w:val="0009584D"/>
    <w:rsid w:val="00096616"/>
    <w:rsid w:val="00097351"/>
    <w:rsid w:val="00097E72"/>
    <w:rsid w:val="000A1193"/>
    <w:rsid w:val="000A4888"/>
    <w:rsid w:val="000B111C"/>
    <w:rsid w:val="000B1718"/>
    <w:rsid w:val="000B2B65"/>
    <w:rsid w:val="000B4440"/>
    <w:rsid w:val="000C00B5"/>
    <w:rsid w:val="000C1A82"/>
    <w:rsid w:val="000C372C"/>
    <w:rsid w:val="000C4AC8"/>
    <w:rsid w:val="000C6182"/>
    <w:rsid w:val="000C68D5"/>
    <w:rsid w:val="000C69E4"/>
    <w:rsid w:val="000D292C"/>
    <w:rsid w:val="000D4C83"/>
    <w:rsid w:val="000D53CA"/>
    <w:rsid w:val="000D6E86"/>
    <w:rsid w:val="000E03CA"/>
    <w:rsid w:val="000E0B16"/>
    <w:rsid w:val="000E0BC4"/>
    <w:rsid w:val="000E0D1A"/>
    <w:rsid w:val="000E1E1B"/>
    <w:rsid w:val="000E2348"/>
    <w:rsid w:val="000E2C06"/>
    <w:rsid w:val="000E2C7C"/>
    <w:rsid w:val="000E2DE6"/>
    <w:rsid w:val="000E38A0"/>
    <w:rsid w:val="000E3B2A"/>
    <w:rsid w:val="000E5540"/>
    <w:rsid w:val="000F48B1"/>
    <w:rsid w:val="000F6048"/>
    <w:rsid w:val="000F65C6"/>
    <w:rsid w:val="000F7398"/>
    <w:rsid w:val="000F74D6"/>
    <w:rsid w:val="000F7D08"/>
    <w:rsid w:val="0010106A"/>
    <w:rsid w:val="00101815"/>
    <w:rsid w:val="001049B7"/>
    <w:rsid w:val="00106437"/>
    <w:rsid w:val="00107583"/>
    <w:rsid w:val="00113368"/>
    <w:rsid w:val="00122D01"/>
    <w:rsid w:val="00123620"/>
    <w:rsid w:val="00126449"/>
    <w:rsid w:val="00127EF7"/>
    <w:rsid w:val="00130AD7"/>
    <w:rsid w:val="00131169"/>
    <w:rsid w:val="0013232C"/>
    <w:rsid w:val="00132E2E"/>
    <w:rsid w:val="001336E3"/>
    <w:rsid w:val="0013623B"/>
    <w:rsid w:val="00136FC5"/>
    <w:rsid w:val="0013712C"/>
    <w:rsid w:val="00141176"/>
    <w:rsid w:val="001426D5"/>
    <w:rsid w:val="00143031"/>
    <w:rsid w:val="00143843"/>
    <w:rsid w:val="00145C92"/>
    <w:rsid w:val="00147536"/>
    <w:rsid w:val="00150613"/>
    <w:rsid w:val="00154AAB"/>
    <w:rsid w:val="001556F6"/>
    <w:rsid w:val="001572E4"/>
    <w:rsid w:val="0016004A"/>
    <w:rsid w:val="00164CA3"/>
    <w:rsid w:val="001654A8"/>
    <w:rsid w:val="0016644D"/>
    <w:rsid w:val="00172AF2"/>
    <w:rsid w:val="001747C4"/>
    <w:rsid w:val="00176A31"/>
    <w:rsid w:val="00177B20"/>
    <w:rsid w:val="0018131A"/>
    <w:rsid w:val="00181587"/>
    <w:rsid w:val="00181DC7"/>
    <w:rsid w:val="00181E14"/>
    <w:rsid w:val="00184256"/>
    <w:rsid w:val="0018488D"/>
    <w:rsid w:val="001852E5"/>
    <w:rsid w:val="001855EC"/>
    <w:rsid w:val="001862F9"/>
    <w:rsid w:val="00186EF9"/>
    <w:rsid w:val="00187778"/>
    <w:rsid w:val="001910D3"/>
    <w:rsid w:val="001911A7"/>
    <w:rsid w:val="00192F6C"/>
    <w:rsid w:val="00192FCA"/>
    <w:rsid w:val="001930FB"/>
    <w:rsid w:val="00193303"/>
    <w:rsid w:val="00193EA1"/>
    <w:rsid w:val="001949CC"/>
    <w:rsid w:val="001957A5"/>
    <w:rsid w:val="001965D2"/>
    <w:rsid w:val="00197DF6"/>
    <w:rsid w:val="001A062B"/>
    <w:rsid w:val="001A0CD4"/>
    <w:rsid w:val="001A4ED5"/>
    <w:rsid w:val="001A6197"/>
    <w:rsid w:val="001A6526"/>
    <w:rsid w:val="001A7739"/>
    <w:rsid w:val="001B05AE"/>
    <w:rsid w:val="001B11E9"/>
    <w:rsid w:val="001B1A71"/>
    <w:rsid w:val="001B3723"/>
    <w:rsid w:val="001B5072"/>
    <w:rsid w:val="001B551C"/>
    <w:rsid w:val="001B6931"/>
    <w:rsid w:val="001C07C5"/>
    <w:rsid w:val="001C22DC"/>
    <w:rsid w:val="001C27D2"/>
    <w:rsid w:val="001C4252"/>
    <w:rsid w:val="001C4579"/>
    <w:rsid w:val="001C5A3B"/>
    <w:rsid w:val="001C60F3"/>
    <w:rsid w:val="001C6B08"/>
    <w:rsid w:val="001C6B2C"/>
    <w:rsid w:val="001D2659"/>
    <w:rsid w:val="001D2E85"/>
    <w:rsid w:val="001D412F"/>
    <w:rsid w:val="001D4C2A"/>
    <w:rsid w:val="001D4EDA"/>
    <w:rsid w:val="001D545F"/>
    <w:rsid w:val="001D6548"/>
    <w:rsid w:val="001D77A1"/>
    <w:rsid w:val="001D7C2B"/>
    <w:rsid w:val="001E34B7"/>
    <w:rsid w:val="001E4121"/>
    <w:rsid w:val="001E5DEA"/>
    <w:rsid w:val="001E6C5D"/>
    <w:rsid w:val="001F4163"/>
    <w:rsid w:val="001F4651"/>
    <w:rsid w:val="002032BB"/>
    <w:rsid w:val="002035B6"/>
    <w:rsid w:val="00203D00"/>
    <w:rsid w:val="00206094"/>
    <w:rsid w:val="00206850"/>
    <w:rsid w:val="00207B04"/>
    <w:rsid w:val="00207C5F"/>
    <w:rsid w:val="00210463"/>
    <w:rsid w:val="00210F5F"/>
    <w:rsid w:val="002130F7"/>
    <w:rsid w:val="00213611"/>
    <w:rsid w:val="00214199"/>
    <w:rsid w:val="002174E6"/>
    <w:rsid w:val="0022074C"/>
    <w:rsid w:val="00222A31"/>
    <w:rsid w:val="00223F8C"/>
    <w:rsid w:val="00226E3F"/>
    <w:rsid w:val="00226F78"/>
    <w:rsid w:val="00230FEB"/>
    <w:rsid w:val="00233AC4"/>
    <w:rsid w:val="00235130"/>
    <w:rsid w:val="002363E8"/>
    <w:rsid w:val="0024029F"/>
    <w:rsid w:val="00241081"/>
    <w:rsid w:val="002450FA"/>
    <w:rsid w:val="002459AC"/>
    <w:rsid w:val="002460C0"/>
    <w:rsid w:val="00251662"/>
    <w:rsid w:val="00252CF1"/>
    <w:rsid w:val="002537B7"/>
    <w:rsid w:val="00256FF8"/>
    <w:rsid w:val="002626A4"/>
    <w:rsid w:val="00264317"/>
    <w:rsid w:val="00266D9C"/>
    <w:rsid w:val="00267891"/>
    <w:rsid w:val="0027045F"/>
    <w:rsid w:val="00270637"/>
    <w:rsid w:val="00270828"/>
    <w:rsid w:val="00272344"/>
    <w:rsid w:val="00273120"/>
    <w:rsid w:val="0027320D"/>
    <w:rsid w:val="002733B1"/>
    <w:rsid w:val="00276F3F"/>
    <w:rsid w:val="00277248"/>
    <w:rsid w:val="00277F96"/>
    <w:rsid w:val="0028082D"/>
    <w:rsid w:val="00281BAC"/>
    <w:rsid w:val="00281E3B"/>
    <w:rsid w:val="0028368E"/>
    <w:rsid w:val="00284B82"/>
    <w:rsid w:val="00285710"/>
    <w:rsid w:val="0028641B"/>
    <w:rsid w:val="00291D4B"/>
    <w:rsid w:val="00292669"/>
    <w:rsid w:val="00293913"/>
    <w:rsid w:val="002941A9"/>
    <w:rsid w:val="002949FE"/>
    <w:rsid w:val="00295553"/>
    <w:rsid w:val="00295F2E"/>
    <w:rsid w:val="002A010A"/>
    <w:rsid w:val="002A03BC"/>
    <w:rsid w:val="002A0F12"/>
    <w:rsid w:val="002A29B6"/>
    <w:rsid w:val="002A2C66"/>
    <w:rsid w:val="002A3179"/>
    <w:rsid w:val="002A4CF7"/>
    <w:rsid w:val="002A589D"/>
    <w:rsid w:val="002A61BC"/>
    <w:rsid w:val="002A6ACD"/>
    <w:rsid w:val="002B07CF"/>
    <w:rsid w:val="002B2505"/>
    <w:rsid w:val="002B4709"/>
    <w:rsid w:val="002B4E8A"/>
    <w:rsid w:val="002B53E4"/>
    <w:rsid w:val="002C0F73"/>
    <w:rsid w:val="002C1CA4"/>
    <w:rsid w:val="002C1F32"/>
    <w:rsid w:val="002C2559"/>
    <w:rsid w:val="002C31B4"/>
    <w:rsid w:val="002C3C49"/>
    <w:rsid w:val="002C68D3"/>
    <w:rsid w:val="002C72D3"/>
    <w:rsid w:val="002D130F"/>
    <w:rsid w:val="002D2A25"/>
    <w:rsid w:val="002D53F2"/>
    <w:rsid w:val="002D5F21"/>
    <w:rsid w:val="002D7663"/>
    <w:rsid w:val="002E191C"/>
    <w:rsid w:val="002E2363"/>
    <w:rsid w:val="002E59A9"/>
    <w:rsid w:val="002E630F"/>
    <w:rsid w:val="002F1F8A"/>
    <w:rsid w:val="002F2552"/>
    <w:rsid w:val="002F2B4E"/>
    <w:rsid w:val="002F3D71"/>
    <w:rsid w:val="002F4C76"/>
    <w:rsid w:val="002F5C3A"/>
    <w:rsid w:val="002F5D13"/>
    <w:rsid w:val="002F66C5"/>
    <w:rsid w:val="0030026D"/>
    <w:rsid w:val="00302E42"/>
    <w:rsid w:val="00303FC0"/>
    <w:rsid w:val="0030420F"/>
    <w:rsid w:val="003047C6"/>
    <w:rsid w:val="003065EE"/>
    <w:rsid w:val="003067F3"/>
    <w:rsid w:val="00307258"/>
    <w:rsid w:val="0030729B"/>
    <w:rsid w:val="00310F1B"/>
    <w:rsid w:val="00313EF8"/>
    <w:rsid w:val="00317F6B"/>
    <w:rsid w:val="003205F2"/>
    <w:rsid w:val="00320C62"/>
    <w:rsid w:val="003217DB"/>
    <w:rsid w:val="003225A2"/>
    <w:rsid w:val="00322EB7"/>
    <w:rsid w:val="00325539"/>
    <w:rsid w:val="00330F54"/>
    <w:rsid w:val="003323BD"/>
    <w:rsid w:val="00332AEA"/>
    <w:rsid w:val="00332E92"/>
    <w:rsid w:val="0033426E"/>
    <w:rsid w:val="00334303"/>
    <w:rsid w:val="00337922"/>
    <w:rsid w:val="00345C3E"/>
    <w:rsid w:val="00347B82"/>
    <w:rsid w:val="00350049"/>
    <w:rsid w:val="003537CF"/>
    <w:rsid w:val="00355556"/>
    <w:rsid w:val="003567CD"/>
    <w:rsid w:val="00356D38"/>
    <w:rsid w:val="00360109"/>
    <w:rsid w:val="0036014E"/>
    <w:rsid w:val="003603A5"/>
    <w:rsid w:val="00360B93"/>
    <w:rsid w:val="00363305"/>
    <w:rsid w:val="00365103"/>
    <w:rsid w:val="0036641D"/>
    <w:rsid w:val="0036729C"/>
    <w:rsid w:val="0036787C"/>
    <w:rsid w:val="0037077D"/>
    <w:rsid w:val="00371B87"/>
    <w:rsid w:val="0037215D"/>
    <w:rsid w:val="00374289"/>
    <w:rsid w:val="003757EC"/>
    <w:rsid w:val="0037684D"/>
    <w:rsid w:val="003778BE"/>
    <w:rsid w:val="00380AA8"/>
    <w:rsid w:val="00381722"/>
    <w:rsid w:val="0038604A"/>
    <w:rsid w:val="00390D46"/>
    <w:rsid w:val="00391627"/>
    <w:rsid w:val="00393F7D"/>
    <w:rsid w:val="00394610"/>
    <w:rsid w:val="003959E2"/>
    <w:rsid w:val="0039642F"/>
    <w:rsid w:val="003A3A2C"/>
    <w:rsid w:val="003A40F5"/>
    <w:rsid w:val="003B270C"/>
    <w:rsid w:val="003B3F32"/>
    <w:rsid w:val="003B4844"/>
    <w:rsid w:val="003B565A"/>
    <w:rsid w:val="003C105E"/>
    <w:rsid w:val="003C1E99"/>
    <w:rsid w:val="003C371B"/>
    <w:rsid w:val="003C3A97"/>
    <w:rsid w:val="003C4F41"/>
    <w:rsid w:val="003C52C9"/>
    <w:rsid w:val="003C6DF7"/>
    <w:rsid w:val="003C7A49"/>
    <w:rsid w:val="003D2FA6"/>
    <w:rsid w:val="003D648C"/>
    <w:rsid w:val="003D6F7C"/>
    <w:rsid w:val="003D79B8"/>
    <w:rsid w:val="003E104D"/>
    <w:rsid w:val="003E1237"/>
    <w:rsid w:val="003E2648"/>
    <w:rsid w:val="003E321B"/>
    <w:rsid w:val="003E34C6"/>
    <w:rsid w:val="003E3E81"/>
    <w:rsid w:val="003E45B5"/>
    <w:rsid w:val="003E5447"/>
    <w:rsid w:val="003F1540"/>
    <w:rsid w:val="003F1A23"/>
    <w:rsid w:val="003F219A"/>
    <w:rsid w:val="003F37EA"/>
    <w:rsid w:val="003F397A"/>
    <w:rsid w:val="003F62BF"/>
    <w:rsid w:val="003F6EA2"/>
    <w:rsid w:val="003F7B41"/>
    <w:rsid w:val="00400EFD"/>
    <w:rsid w:val="00403069"/>
    <w:rsid w:val="00404210"/>
    <w:rsid w:val="004049EC"/>
    <w:rsid w:val="00406EE7"/>
    <w:rsid w:val="00410FD0"/>
    <w:rsid w:val="004118A3"/>
    <w:rsid w:val="00411D49"/>
    <w:rsid w:val="00412851"/>
    <w:rsid w:val="00413E3F"/>
    <w:rsid w:val="00414B13"/>
    <w:rsid w:val="00421BB4"/>
    <w:rsid w:val="00422465"/>
    <w:rsid w:val="00422535"/>
    <w:rsid w:val="0042319F"/>
    <w:rsid w:val="00426F2D"/>
    <w:rsid w:val="004304A9"/>
    <w:rsid w:val="00430555"/>
    <w:rsid w:val="004315B6"/>
    <w:rsid w:val="00431C67"/>
    <w:rsid w:val="00434F3C"/>
    <w:rsid w:val="004370B6"/>
    <w:rsid w:val="00437401"/>
    <w:rsid w:val="004412C6"/>
    <w:rsid w:val="0044163C"/>
    <w:rsid w:val="0044327F"/>
    <w:rsid w:val="00447388"/>
    <w:rsid w:val="0045333C"/>
    <w:rsid w:val="004552DA"/>
    <w:rsid w:val="00457173"/>
    <w:rsid w:val="0045751A"/>
    <w:rsid w:val="00460246"/>
    <w:rsid w:val="004609AF"/>
    <w:rsid w:val="004618ED"/>
    <w:rsid w:val="00464747"/>
    <w:rsid w:val="00467956"/>
    <w:rsid w:val="00467B02"/>
    <w:rsid w:val="00470426"/>
    <w:rsid w:val="0047310D"/>
    <w:rsid w:val="00480CFF"/>
    <w:rsid w:val="00482EB6"/>
    <w:rsid w:val="00484680"/>
    <w:rsid w:val="00484F36"/>
    <w:rsid w:val="00487437"/>
    <w:rsid w:val="0049045E"/>
    <w:rsid w:val="00494FEF"/>
    <w:rsid w:val="004A2DE7"/>
    <w:rsid w:val="004A4EC4"/>
    <w:rsid w:val="004A5977"/>
    <w:rsid w:val="004B0392"/>
    <w:rsid w:val="004B1AC3"/>
    <w:rsid w:val="004B35F9"/>
    <w:rsid w:val="004B564C"/>
    <w:rsid w:val="004C32C4"/>
    <w:rsid w:val="004C7E77"/>
    <w:rsid w:val="004D0918"/>
    <w:rsid w:val="004D3A2F"/>
    <w:rsid w:val="004D792E"/>
    <w:rsid w:val="004D7BB7"/>
    <w:rsid w:val="004E2159"/>
    <w:rsid w:val="004E3612"/>
    <w:rsid w:val="004E654C"/>
    <w:rsid w:val="004E6CDF"/>
    <w:rsid w:val="004F36F1"/>
    <w:rsid w:val="004F5578"/>
    <w:rsid w:val="00500267"/>
    <w:rsid w:val="005005AE"/>
    <w:rsid w:val="005020AA"/>
    <w:rsid w:val="00502D23"/>
    <w:rsid w:val="00503BDC"/>
    <w:rsid w:val="00503C56"/>
    <w:rsid w:val="005045BA"/>
    <w:rsid w:val="00510613"/>
    <w:rsid w:val="00510D18"/>
    <w:rsid w:val="00510D9A"/>
    <w:rsid w:val="005126DF"/>
    <w:rsid w:val="00514F81"/>
    <w:rsid w:val="005159DE"/>
    <w:rsid w:val="0052000E"/>
    <w:rsid w:val="005213D5"/>
    <w:rsid w:val="0052276D"/>
    <w:rsid w:val="005230FC"/>
    <w:rsid w:val="0052457F"/>
    <w:rsid w:val="00524AF6"/>
    <w:rsid w:val="005278F1"/>
    <w:rsid w:val="00527A8E"/>
    <w:rsid w:val="00531292"/>
    <w:rsid w:val="005348E2"/>
    <w:rsid w:val="005362B0"/>
    <w:rsid w:val="00536A6F"/>
    <w:rsid w:val="00537C4B"/>
    <w:rsid w:val="0054114A"/>
    <w:rsid w:val="005455B5"/>
    <w:rsid w:val="00546CF9"/>
    <w:rsid w:val="00551934"/>
    <w:rsid w:val="005547A0"/>
    <w:rsid w:val="00554E76"/>
    <w:rsid w:val="0055636C"/>
    <w:rsid w:val="005570EC"/>
    <w:rsid w:val="00557BFE"/>
    <w:rsid w:val="00560106"/>
    <w:rsid w:val="00560532"/>
    <w:rsid w:val="00566201"/>
    <w:rsid w:val="00566A0B"/>
    <w:rsid w:val="00566FFA"/>
    <w:rsid w:val="00567BE3"/>
    <w:rsid w:val="00570C84"/>
    <w:rsid w:val="005710D1"/>
    <w:rsid w:val="005718CA"/>
    <w:rsid w:val="00572193"/>
    <w:rsid w:val="00574B89"/>
    <w:rsid w:val="005776CC"/>
    <w:rsid w:val="00581516"/>
    <w:rsid w:val="00582866"/>
    <w:rsid w:val="005837F1"/>
    <w:rsid w:val="00583C10"/>
    <w:rsid w:val="00583C74"/>
    <w:rsid w:val="005844E2"/>
    <w:rsid w:val="0059034A"/>
    <w:rsid w:val="00590AB4"/>
    <w:rsid w:val="0059209B"/>
    <w:rsid w:val="00594050"/>
    <w:rsid w:val="00594384"/>
    <w:rsid w:val="005A0418"/>
    <w:rsid w:val="005A168D"/>
    <w:rsid w:val="005A2CFE"/>
    <w:rsid w:val="005A3654"/>
    <w:rsid w:val="005A5191"/>
    <w:rsid w:val="005A5AEA"/>
    <w:rsid w:val="005B0EA2"/>
    <w:rsid w:val="005B1D68"/>
    <w:rsid w:val="005B22AD"/>
    <w:rsid w:val="005B4EDC"/>
    <w:rsid w:val="005B52B5"/>
    <w:rsid w:val="005B52D6"/>
    <w:rsid w:val="005B5902"/>
    <w:rsid w:val="005B59F2"/>
    <w:rsid w:val="005B6491"/>
    <w:rsid w:val="005B7F26"/>
    <w:rsid w:val="005C0C4B"/>
    <w:rsid w:val="005C0F49"/>
    <w:rsid w:val="005C198E"/>
    <w:rsid w:val="005C2E79"/>
    <w:rsid w:val="005C499E"/>
    <w:rsid w:val="005C574A"/>
    <w:rsid w:val="005C7CD1"/>
    <w:rsid w:val="005D06F2"/>
    <w:rsid w:val="005D0D00"/>
    <w:rsid w:val="005D1A20"/>
    <w:rsid w:val="005D3106"/>
    <w:rsid w:val="005D3B28"/>
    <w:rsid w:val="005D4692"/>
    <w:rsid w:val="005D63C1"/>
    <w:rsid w:val="005D767D"/>
    <w:rsid w:val="005D7F58"/>
    <w:rsid w:val="005E0E0D"/>
    <w:rsid w:val="005E1595"/>
    <w:rsid w:val="005E6672"/>
    <w:rsid w:val="005E6808"/>
    <w:rsid w:val="005E6AB0"/>
    <w:rsid w:val="005F1A6D"/>
    <w:rsid w:val="005F1B8A"/>
    <w:rsid w:val="005F4050"/>
    <w:rsid w:val="005F6D48"/>
    <w:rsid w:val="005F7B72"/>
    <w:rsid w:val="00605201"/>
    <w:rsid w:val="006057DB"/>
    <w:rsid w:val="00606B50"/>
    <w:rsid w:val="00610194"/>
    <w:rsid w:val="00610479"/>
    <w:rsid w:val="00613730"/>
    <w:rsid w:val="00615218"/>
    <w:rsid w:val="006160E0"/>
    <w:rsid w:val="00620994"/>
    <w:rsid w:val="00626CEF"/>
    <w:rsid w:val="00630BBA"/>
    <w:rsid w:val="00632359"/>
    <w:rsid w:val="006356A1"/>
    <w:rsid w:val="00636CFE"/>
    <w:rsid w:val="00636EDF"/>
    <w:rsid w:val="006374E2"/>
    <w:rsid w:val="006411A3"/>
    <w:rsid w:val="00642B41"/>
    <w:rsid w:val="00642D8A"/>
    <w:rsid w:val="00643FD8"/>
    <w:rsid w:val="00645947"/>
    <w:rsid w:val="00647FA9"/>
    <w:rsid w:val="006511A7"/>
    <w:rsid w:val="00652C5A"/>
    <w:rsid w:val="006552E0"/>
    <w:rsid w:val="0065539B"/>
    <w:rsid w:val="006619B6"/>
    <w:rsid w:val="00661DCB"/>
    <w:rsid w:val="00661F37"/>
    <w:rsid w:val="00663706"/>
    <w:rsid w:val="0066436F"/>
    <w:rsid w:val="006710BE"/>
    <w:rsid w:val="00671C3E"/>
    <w:rsid w:val="00671E5B"/>
    <w:rsid w:val="00672CDA"/>
    <w:rsid w:val="006730C2"/>
    <w:rsid w:val="00676AEB"/>
    <w:rsid w:val="00677F7E"/>
    <w:rsid w:val="00680431"/>
    <w:rsid w:val="006811B3"/>
    <w:rsid w:val="00681A7E"/>
    <w:rsid w:val="00681CD8"/>
    <w:rsid w:val="00684D64"/>
    <w:rsid w:val="00690205"/>
    <w:rsid w:val="00691054"/>
    <w:rsid w:val="00691A4C"/>
    <w:rsid w:val="006925E8"/>
    <w:rsid w:val="00692732"/>
    <w:rsid w:val="006959CA"/>
    <w:rsid w:val="00697A7C"/>
    <w:rsid w:val="006A2A11"/>
    <w:rsid w:val="006B0481"/>
    <w:rsid w:val="006B3484"/>
    <w:rsid w:val="006C20D8"/>
    <w:rsid w:val="006C21D8"/>
    <w:rsid w:val="006C3452"/>
    <w:rsid w:val="006C3800"/>
    <w:rsid w:val="006C4C00"/>
    <w:rsid w:val="006C53D2"/>
    <w:rsid w:val="006C792D"/>
    <w:rsid w:val="006D2240"/>
    <w:rsid w:val="006D2396"/>
    <w:rsid w:val="006D272A"/>
    <w:rsid w:val="006D4330"/>
    <w:rsid w:val="006D608C"/>
    <w:rsid w:val="006E016F"/>
    <w:rsid w:val="006E1B28"/>
    <w:rsid w:val="006E263D"/>
    <w:rsid w:val="006E269E"/>
    <w:rsid w:val="006E33C1"/>
    <w:rsid w:val="006E4BB7"/>
    <w:rsid w:val="006E6443"/>
    <w:rsid w:val="006F093F"/>
    <w:rsid w:val="006F1147"/>
    <w:rsid w:val="006F2B8D"/>
    <w:rsid w:val="00701B5A"/>
    <w:rsid w:val="00703165"/>
    <w:rsid w:val="007032FB"/>
    <w:rsid w:val="00705824"/>
    <w:rsid w:val="007121B3"/>
    <w:rsid w:val="00713B0F"/>
    <w:rsid w:val="00713F4B"/>
    <w:rsid w:val="00717109"/>
    <w:rsid w:val="00720E0B"/>
    <w:rsid w:val="0072160F"/>
    <w:rsid w:val="00725E78"/>
    <w:rsid w:val="00727418"/>
    <w:rsid w:val="00731363"/>
    <w:rsid w:val="00732FB5"/>
    <w:rsid w:val="00734236"/>
    <w:rsid w:val="007363DE"/>
    <w:rsid w:val="00736F28"/>
    <w:rsid w:val="007401E1"/>
    <w:rsid w:val="00741A04"/>
    <w:rsid w:val="007429A1"/>
    <w:rsid w:val="00742D93"/>
    <w:rsid w:val="007460A6"/>
    <w:rsid w:val="00746552"/>
    <w:rsid w:val="00750022"/>
    <w:rsid w:val="00752E04"/>
    <w:rsid w:val="007548B1"/>
    <w:rsid w:val="007552C2"/>
    <w:rsid w:val="00755C66"/>
    <w:rsid w:val="00756130"/>
    <w:rsid w:val="007565F3"/>
    <w:rsid w:val="00757B1A"/>
    <w:rsid w:val="0076059C"/>
    <w:rsid w:val="00761F74"/>
    <w:rsid w:val="00763FAD"/>
    <w:rsid w:val="00765F0A"/>
    <w:rsid w:val="007666BA"/>
    <w:rsid w:val="007701D9"/>
    <w:rsid w:val="007728D2"/>
    <w:rsid w:val="00774A85"/>
    <w:rsid w:val="00774B20"/>
    <w:rsid w:val="007756D8"/>
    <w:rsid w:val="00776CB3"/>
    <w:rsid w:val="007779BF"/>
    <w:rsid w:val="007805B0"/>
    <w:rsid w:val="00781F2B"/>
    <w:rsid w:val="00783292"/>
    <w:rsid w:val="007846AD"/>
    <w:rsid w:val="00786BA0"/>
    <w:rsid w:val="0078784F"/>
    <w:rsid w:val="00791B4B"/>
    <w:rsid w:val="007A0836"/>
    <w:rsid w:val="007A25EC"/>
    <w:rsid w:val="007A551F"/>
    <w:rsid w:val="007A5DB5"/>
    <w:rsid w:val="007A6E3E"/>
    <w:rsid w:val="007B0041"/>
    <w:rsid w:val="007B01A6"/>
    <w:rsid w:val="007B1E91"/>
    <w:rsid w:val="007B2926"/>
    <w:rsid w:val="007B3E2B"/>
    <w:rsid w:val="007B60DB"/>
    <w:rsid w:val="007C1D8F"/>
    <w:rsid w:val="007C2286"/>
    <w:rsid w:val="007C2A3B"/>
    <w:rsid w:val="007C2B94"/>
    <w:rsid w:val="007C7197"/>
    <w:rsid w:val="007D01C6"/>
    <w:rsid w:val="007D03DB"/>
    <w:rsid w:val="007D0420"/>
    <w:rsid w:val="007D0E63"/>
    <w:rsid w:val="007D14BE"/>
    <w:rsid w:val="007D2723"/>
    <w:rsid w:val="007D2E81"/>
    <w:rsid w:val="007E05F1"/>
    <w:rsid w:val="007E0CAD"/>
    <w:rsid w:val="007E40C0"/>
    <w:rsid w:val="007E450A"/>
    <w:rsid w:val="007F3284"/>
    <w:rsid w:val="007F38AB"/>
    <w:rsid w:val="007F7047"/>
    <w:rsid w:val="007F7572"/>
    <w:rsid w:val="00800433"/>
    <w:rsid w:val="00800671"/>
    <w:rsid w:val="00801618"/>
    <w:rsid w:val="008017F0"/>
    <w:rsid w:val="0080394B"/>
    <w:rsid w:val="00803970"/>
    <w:rsid w:val="008055EF"/>
    <w:rsid w:val="0080675E"/>
    <w:rsid w:val="00806A99"/>
    <w:rsid w:val="00810898"/>
    <w:rsid w:val="008119C6"/>
    <w:rsid w:val="00811B90"/>
    <w:rsid w:val="00812646"/>
    <w:rsid w:val="008165B6"/>
    <w:rsid w:val="00816811"/>
    <w:rsid w:val="00816C57"/>
    <w:rsid w:val="008172AB"/>
    <w:rsid w:val="00817FC5"/>
    <w:rsid w:val="0082368C"/>
    <w:rsid w:val="00825701"/>
    <w:rsid w:val="008310F1"/>
    <w:rsid w:val="008337E9"/>
    <w:rsid w:val="0083404B"/>
    <w:rsid w:val="00834BF3"/>
    <w:rsid w:val="00835291"/>
    <w:rsid w:val="008365A0"/>
    <w:rsid w:val="008408D6"/>
    <w:rsid w:val="00842222"/>
    <w:rsid w:val="00843685"/>
    <w:rsid w:val="0084446E"/>
    <w:rsid w:val="00850B6B"/>
    <w:rsid w:val="00851A3E"/>
    <w:rsid w:val="00852C5A"/>
    <w:rsid w:val="0085421F"/>
    <w:rsid w:val="0085535E"/>
    <w:rsid w:val="008567C3"/>
    <w:rsid w:val="00857BE4"/>
    <w:rsid w:val="00857C0F"/>
    <w:rsid w:val="00861197"/>
    <w:rsid w:val="00863CD5"/>
    <w:rsid w:val="008647E9"/>
    <w:rsid w:val="008656CC"/>
    <w:rsid w:val="00867BEB"/>
    <w:rsid w:val="00870273"/>
    <w:rsid w:val="008738FF"/>
    <w:rsid w:val="00874293"/>
    <w:rsid w:val="0087451A"/>
    <w:rsid w:val="0087505A"/>
    <w:rsid w:val="00875980"/>
    <w:rsid w:val="008776FC"/>
    <w:rsid w:val="00882274"/>
    <w:rsid w:val="008823AC"/>
    <w:rsid w:val="0088639E"/>
    <w:rsid w:val="00887D3E"/>
    <w:rsid w:val="0089002F"/>
    <w:rsid w:val="008924CD"/>
    <w:rsid w:val="00893ABC"/>
    <w:rsid w:val="00893B35"/>
    <w:rsid w:val="00896DFA"/>
    <w:rsid w:val="008A0224"/>
    <w:rsid w:val="008A1481"/>
    <w:rsid w:val="008A3B8E"/>
    <w:rsid w:val="008A4B02"/>
    <w:rsid w:val="008A539D"/>
    <w:rsid w:val="008A5D37"/>
    <w:rsid w:val="008B1A35"/>
    <w:rsid w:val="008B29A2"/>
    <w:rsid w:val="008B6EB7"/>
    <w:rsid w:val="008B7142"/>
    <w:rsid w:val="008B794A"/>
    <w:rsid w:val="008B7F41"/>
    <w:rsid w:val="008C05C4"/>
    <w:rsid w:val="008C0B23"/>
    <w:rsid w:val="008C1A21"/>
    <w:rsid w:val="008C26DA"/>
    <w:rsid w:val="008C30FB"/>
    <w:rsid w:val="008C34E8"/>
    <w:rsid w:val="008C5B95"/>
    <w:rsid w:val="008D2D3E"/>
    <w:rsid w:val="008D4087"/>
    <w:rsid w:val="008D433D"/>
    <w:rsid w:val="008D4A38"/>
    <w:rsid w:val="008D6D50"/>
    <w:rsid w:val="008E0D6F"/>
    <w:rsid w:val="008E1468"/>
    <w:rsid w:val="008E1CE1"/>
    <w:rsid w:val="008E2FAA"/>
    <w:rsid w:val="008E3055"/>
    <w:rsid w:val="008E30F9"/>
    <w:rsid w:val="008E758C"/>
    <w:rsid w:val="008F18D6"/>
    <w:rsid w:val="008F2BE3"/>
    <w:rsid w:val="008F4FC1"/>
    <w:rsid w:val="008F7117"/>
    <w:rsid w:val="008F7A2F"/>
    <w:rsid w:val="008F7F61"/>
    <w:rsid w:val="00901E6E"/>
    <w:rsid w:val="00902212"/>
    <w:rsid w:val="00902A8A"/>
    <w:rsid w:val="00904B81"/>
    <w:rsid w:val="00906FCB"/>
    <w:rsid w:val="00907FA8"/>
    <w:rsid w:val="00910842"/>
    <w:rsid w:val="00910BCA"/>
    <w:rsid w:val="00912965"/>
    <w:rsid w:val="00912B3F"/>
    <w:rsid w:val="00912BFD"/>
    <w:rsid w:val="00915247"/>
    <w:rsid w:val="0091796D"/>
    <w:rsid w:val="009179EC"/>
    <w:rsid w:val="00921C10"/>
    <w:rsid w:val="009233F0"/>
    <w:rsid w:val="009238B6"/>
    <w:rsid w:val="00924503"/>
    <w:rsid w:val="00924568"/>
    <w:rsid w:val="00926A63"/>
    <w:rsid w:val="009303F1"/>
    <w:rsid w:val="00933381"/>
    <w:rsid w:val="00933DCB"/>
    <w:rsid w:val="00935CF3"/>
    <w:rsid w:val="00935E12"/>
    <w:rsid w:val="0093644F"/>
    <w:rsid w:val="009365C9"/>
    <w:rsid w:val="00936640"/>
    <w:rsid w:val="00940783"/>
    <w:rsid w:val="00942A57"/>
    <w:rsid w:val="0094302C"/>
    <w:rsid w:val="00943CC9"/>
    <w:rsid w:val="00945F55"/>
    <w:rsid w:val="00946A36"/>
    <w:rsid w:val="00946CCE"/>
    <w:rsid w:val="00952139"/>
    <w:rsid w:val="00956758"/>
    <w:rsid w:val="00956A5F"/>
    <w:rsid w:val="00960997"/>
    <w:rsid w:val="00963A1F"/>
    <w:rsid w:val="00963DD5"/>
    <w:rsid w:val="00965195"/>
    <w:rsid w:val="00966B5E"/>
    <w:rsid w:val="009674A5"/>
    <w:rsid w:val="009702A0"/>
    <w:rsid w:val="00970375"/>
    <w:rsid w:val="00971708"/>
    <w:rsid w:val="00975F04"/>
    <w:rsid w:val="009762A1"/>
    <w:rsid w:val="00976EE9"/>
    <w:rsid w:val="00983D6B"/>
    <w:rsid w:val="009849DF"/>
    <w:rsid w:val="00984E0C"/>
    <w:rsid w:val="00985DC7"/>
    <w:rsid w:val="00986BE3"/>
    <w:rsid w:val="009876D8"/>
    <w:rsid w:val="0098793F"/>
    <w:rsid w:val="00991300"/>
    <w:rsid w:val="0099283E"/>
    <w:rsid w:val="00994374"/>
    <w:rsid w:val="00994913"/>
    <w:rsid w:val="00994BD3"/>
    <w:rsid w:val="009950F9"/>
    <w:rsid w:val="00997985"/>
    <w:rsid w:val="009A2115"/>
    <w:rsid w:val="009A3D96"/>
    <w:rsid w:val="009A4536"/>
    <w:rsid w:val="009A7675"/>
    <w:rsid w:val="009A7A28"/>
    <w:rsid w:val="009B16DB"/>
    <w:rsid w:val="009B1727"/>
    <w:rsid w:val="009B226A"/>
    <w:rsid w:val="009B36DC"/>
    <w:rsid w:val="009B43DD"/>
    <w:rsid w:val="009B4612"/>
    <w:rsid w:val="009B5328"/>
    <w:rsid w:val="009C249E"/>
    <w:rsid w:val="009C26AB"/>
    <w:rsid w:val="009C3A9D"/>
    <w:rsid w:val="009C45FD"/>
    <w:rsid w:val="009C5ACF"/>
    <w:rsid w:val="009D1841"/>
    <w:rsid w:val="009D1F85"/>
    <w:rsid w:val="009D22F2"/>
    <w:rsid w:val="009D2A82"/>
    <w:rsid w:val="009D2CCB"/>
    <w:rsid w:val="009D3BCA"/>
    <w:rsid w:val="009D4F7F"/>
    <w:rsid w:val="009D53C6"/>
    <w:rsid w:val="009E2629"/>
    <w:rsid w:val="009F0D34"/>
    <w:rsid w:val="009F128D"/>
    <w:rsid w:val="009F2BC0"/>
    <w:rsid w:val="009F2CC5"/>
    <w:rsid w:val="009F3C35"/>
    <w:rsid w:val="009F47CA"/>
    <w:rsid w:val="009F5EEC"/>
    <w:rsid w:val="009F69EC"/>
    <w:rsid w:val="009F75EE"/>
    <w:rsid w:val="00A030F9"/>
    <w:rsid w:val="00A03F75"/>
    <w:rsid w:val="00A04206"/>
    <w:rsid w:val="00A04E26"/>
    <w:rsid w:val="00A114B5"/>
    <w:rsid w:val="00A14A33"/>
    <w:rsid w:val="00A151FD"/>
    <w:rsid w:val="00A16FB4"/>
    <w:rsid w:val="00A1760E"/>
    <w:rsid w:val="00A20787"/>
    <w:rsid w:val="00A249E5"/>
    <w:rsid w:val="00A24FEC"/>
    <w:rsid w:val="00A25895"/>
    <w:rsid w:val="00A259D7"/>
    <w:rsid w:val="00A2723C"/>
    <w:rsid w:val="00A27802"/>
    <w:rsid w:val="00A3163B"/>
    <w:rsid w:val="00A32F05"/>
    <w:rsid w:val="00A36A1A"/>
    <w:rsid w:val="00A37D5D"/>
    <w:rsid w:val="00A41217"/>
    <w:rsid w:val="00A4460D"/>
    <w:rsid w:val="00A44AC9"/>
    <w:rsid w:val="00A4665E"/>
    <w:rsid w:val="00A50CDE"/>
    <w:rsid w:val="00A510A4"/>
    <w:rsid w:val="00A5191C"/>
    <w:rsid w:val="00A51EB1"/>
    <w:rsid w:val="00A52521"/>
    <w:rsid w:val="00A527AF"/>
    <w:rsid w:val="00A54094"/>
    <w:rsid w:val="00A54183"/>
    <w:rsid w:val="00A542B5"/>
    <w:rsid w:val="00A551C8"/>
    <w:rsid w:val="00A57863"/>
    <w:rsid w:val="00A6225B"/>
    <w:rsid w:val="00A64A22"/>
    <w:rsid w:val="00A65325"/>
    <w:rsid w:val="00A70762"/>
    <w:rsid w:val="00A71974"/>
    <w:rsid w:val="00A723A7"/>
    <w:rsid w:val="00A72761"/>
    <w:rsid w:val="00A736AD"/>
    <w:rsid w:val="00A73949"/>
    <w:rsid w:val="00A73C70"/>
    <w:rsid w:val="00A743B2"/>
    <w:rsid w:val="00A75053"/>
    <w:rsid w:val="00A75E04"/>
    <w:rsid w:val="00A75FBF"/>
    <w:rsid w:val="00A7789C"/>
    <w:rsid w:val="00A80162"/>
    <w:rsid w:val="00A82763"/>
    <w:rsid w:val="00A864E3"/>
    <w:rsid w:val="00A867F5"/>
    <w:rsid w:val="00A877F7"/>
    <w:rsid w:val="00A87B01"/>
    <w:rsid w:val="00A91622"/>
    <w:rsid w:val="00A96C08"/>
    <w:rsid w:val="00A97D36"/>
    <w:rsid w:val="00AA00E7"/>
    <w:rsid w:val="00AA0F62"/>
    <w:rsid w:val="00AA14D2"/>
    <w:rsid w:val="00AA15A9"/>
    <w:rsid w:val="00AA1BC7"/>
    <w:rsid w:val="00AA1C4B"/>
    <w:rsid w:val="00AA2795"/>
    <w:rsid w:val="00AA2ADC"/>
    <w:rsid w:val="00AA33EE"/>
    <w:rsid w:val="00AA3475"/>
    <w:rsid w:val="00AA5A97"/>
    <w:rsid w:val="00AA63B5"/>
    <w:rsid w:val="00AA7A67"/>
    <w:rsid w:val="00AA7F96"/>
    <w:rsid w:val="00AB356A"/>
    <w:rsid w:val="00AB744B"/>
    <w:rsid w:val="00AB7617"/>
    <w:rsid w:val="00AC1727"/>
    <w:rsid w:val="00AC430D"/>
    <w:rsid w:val="00AC4374"/>
    <w:rsid w:val="00AC6111"/>
    <w:rsid w:val="00AC6CD8"/>
    <w:rsid w:val="00AD1C54"/>
    <w:rsid w:val="00AD28EB"/>
    <w:rsid w:val="00AD4161"/>
    <w:rsid w:val="00AD4279"/>
    <w:rsid w:val="00AD4AAE"/>
    <w:rsid w:val="00AD5583"/>
    <w:rsid w:val="00AD5C36"/>
    <w:rsid w:val="00AE00DD"/>
    <w:rsid w:val="00AE159D"/>
    <w:rsid w:val="00AE26A4"/>
    <w:rsid w:val="00AE3A7E"/>
    <w:rsid w:val="00AE3B6E"/>
    <w:rsid w:val="00AF015B"/>
    <w:rsid w:val="00AF2166"/>
    <w:rsid w:val="00AF2C99"/>
    <w:rsid w:val="00AF2F81"/>
    <w:rsid w:val="00AF45E3"/>
    <w:rsid w:val="00AF5DBC"/>
    <w:rsid w:val="00AF74CF"/>
    <w:rsid w:val="00AF7DCE"/>
    <w:rsid w:val="00B00CDC"/>
    <w:rsid w:val="00B00E07"/>
    <w:rsid w:val="00B0126A"/>
    <w:rsid w:val="00B0340D"/>
    <w:rsid w:val="00B05C9B"/>
    <w:rsid w:val="00B06969"/>
    <w:rsid w:val="00B06F76"/>
    <w:rsid w:val="00B07635"/>
    <w:rsid w:val="00B077B0"/>
    <w:rsid w:val="00B107CB"/>
    <w:rsid w:val="00B112FD"/>
    <w:rsid w:val="00B11D91"/>
    <w:rsid w:val="00B147AC"/>
    <w:rsid w:val="00B21E37"/>
    <w:rsid w:val="00B25965"/>
    <w:rsid w:val="00B32539"/>
    <w:rsid w:val="00B34B5F"/>
    <w:rsid w:val="00B37BD5"/>
    <w:rsid w:val="00B37F9B"/>
    <w:rsid w:val="00B40463"/>
    <w:rsid w:val="00B4116D"/>
    <w:rsid w:val="00B41B00"/>
    <w:rsid w:val="00B43230"/>
    <w:rsid w:val="00B44123"/>
    <w:rsid w:val="00B4568E"/>
    <w:rsid w:val="00B458B9"/>
    <w:rsid w:val="00B45E0C"/>
    <w:rsid w:val="00B47B96"/>
    <w:rsid w:val="00B52563"/>
    <w:rsid w:val="00B570D5"/>
    <w:rsid w:val="00B57414"/>
    <w:rsid w:val="00B620BE"/>
    <w:rsid w:val="00B63C30"/>
    <w:rsid w:val="00B63DEE"/>
    <w:rsid w:val="00B6646B"/>
    <w:rsid w:val="00B66B3F"/>
    <w:rsid w:val="00B6724E"/>
    <w:rsid w:val="00B67A8B"/>
    <w:rsid w:val="00B67E49"/>
    <w:rsid w:val="00B707C0"/>
    <w:rsid w:val="00B71E2C"/>
    <w:rsid w:val="00B744C8"/>
    <w:rsid w:val="00B745F2"/>
    <w:rsid w:val="00B74989"/>
    <w:rsid w:val="00B74D8B"/>
    <w:rsid w:val="00B74EBB"/>
    <w:rsid w:val="00B752E9"/>
    <w:rsid w:val="00B753FF"/>
    <w:rsid w:val="00B75A08"/>
    <w:rsid w:val="00B7739D"/>
    <w:rsid w:val="00B8175F"/>
    <w:rsid w:val="00B820DA"/>
    <w:rsid w:val="00B8222F"/>
    <w:rsid w:val="00B835B2"/>
    <w:rsid w:val="00B84146"/>
    <w:rsid w:val="00B85662"/>
    <w:rsid w:val="00B85A3C"/>
    <w:rsid w:val="00B90975"/>
    <w:rsid w:val="00B9158A"/>
    <w:rsid w:val="00B9182E"/>
    <w:rsid w:val="00B97761"/>
    <w:rsid w:val="00BA1E90"/>
    <w:rsid w:val="00BA4865"/>
    <w:rsid w:val="00BA783C"/>
    <w:rsid w:val="00BB0CF6"/>
    <w:rsid w:val="00BB18E1"/>
    <w:rsid w:val="00BB3218"/>
    <w:rsid w:val="00BB366B"/>
    <w:rsid w:val="00BB492B"/>
    <w:rsid w:val="00BB5E93"/>
    <w:rsid w:val="00BC0163"/>
    <w:rsid w:val="00BC2C9E"/>
    <w:rsid w:val="00BC3542"/>
    <w:rsid w:val="00BC4E0D"/>
    <w:rsid w:val="00BC5608"/>
    <w:rsid w:val="00BC58C5"/>
    <w:rsid w:val="00BC62C0"/>
    <w:rsid w:val="00BC6B7A"/>
    <w:rsid w:val="00BC6FE6"/>
    <w:rsid w:val="00BC74B9"/>
    <w:rsid w:val="00BD0379"/>
    <w:rsid w:val="00BD1D97"/>
    <w:rsid w:val="00BD1F9D"/>
    <w:rsid w:val="00BD2974"/>
    <w:rsid w:val="00BD42A8"/>
    <w:rsid w:val="00BD5CE1"/>
    <w:rsid w:val="00BE3725"/>
    <w:rsid w:val="00BE3AB0"/>
    <w:rsid w:val="00BE510C"/>
    <w:rsid w:val="00BE52DA"/>
    <w:rsid w:val="00BE6ABB"/>
    <w:rsid w:val="00BE7AC9"/>
    <w:rsid w:val="00BF0413"/>
    <w:rsid w:val="00BF1312"/>
    <w:rsid w:val="00BF186B"/>
    <w:rsid w:val="00BF2164"/>
    <w:rsid w:val="00BF4C2E"/>
    <w:rsid w:val="00BF638D"/>
    <w:rsid w:val="00BF6E26"/>
    <w:rsid w:val="00BF7574"/>
    <w:rsid w:val="00C01C35"/>
    <w:rsid w:val="00C02245"/>
    <w:rsid w:val="00C076AC"/>
    <w:rsid w:val="00C12588"/>
    <w:rsid w:val="00C12999"/>
    <w:rsid w:val="00C13A01"/>
    <w:rsid w:val="00C145D3"/>
    <w:rsid w:val="00C14652"/>
    <w:rsid w:val="00C15225"/>
    <w:rsid w:val="00C1636D"/>
    <w:rsid w:val="00C24167"/>
    <w:rsid w:val="00C25619"/>
    <w:rsid w:val="00C25870"/>
    <w:rsid w:val="00C2711B"/>
    <w:rsid w:val="00C32482"/>
    <w:rsid w:val="00C34B8B"/>
    <w:rsid w:val="00C35C1B"/>
    <w:rsid w:val="00C3636A"/>
    <w:rsid w:val="00C44002"/>
    <w:rsid w:val="00C44205"/>
    <w:rsid w:val="00C4477A"/>
    <w:rsid w:val="00C453AD"/>
    <w:rsid w:val="00C47C7A"/>
    <w:rsid w:val="00C502A9"/>
    <w:rsid w:val="00C5099F"/>
    <w:rsid w:val="00C51FC3"/>
    <w:rsid w:val="00C56846"/>
    <w:rsid w:val="00C56C2E"/>
    <w:rsid w:val="00C616E2"/>
    <w:rsid w:val="00C620DB"/>
    <w:rsid w:val="00C62517"/>
    <w:rsid w:val="00C64736"/>
    <w:rsid w:val="00C66BB4"/>
    <w:rsid w:val="00C729BE"/>
    <w:rsid w:val="00C72F6C"/>
    <w:rsid w:val="00C740B3"/>
    <w:rsid w:val="00C75015"/>
    <w:rsid w:val="00C753C1"/>
    <w:rsid w:val="00C84902"/>
    <w:rsid w:val="00C85578"/>
    <w:rsid w:val="00C858FB"/>
    <w:rsid w:val="00C85A89"/>
    <w:rsid w:val="00C86230"/>
    <w:rsid w:val="00C907A1"/>
    <w:rsid w:val="00C910F7"/>
    <w:rsid w:val="00C93888"/>
    <w:rsid w:val="00C94CE9"/>
    <w:rsid w:val="00C952E5"/>
    <w:rsid w:val="00C96BFB"/>
    <w:rsid w:val="00C97A4B"/>
    <w:rsid w:val="00CA1BDE"/>
    <w:rsid w:val="00CA6346"/>
    <w:rsid w:val="00CA6BC6"/>
    <w:rsid w:val="00CA7871"/>
    <w:rsid w:val="00CB04AD"/>
    <w:rsid w:val="00CB5BD5"/>
    <w:rsid w:val="00CB60DC"/>
    <w:rsid w:val="00CC0116"/>
    <w:rsid w:val="00CC086F"/>
    <w:rsid w:val="00CC1F69"/>
    <w:rsid w:val="00CC24D8"/>
    <w:rsid w:val="00CC24E1"/>
    <w:rsid w:val="00CC47EE"/>
    <w:rsid w:val="00CC4E7D"/>
    <w:rsid w:val="00CC50B8"/>
    <w:rsid w:val="00CC5CC5"/>
    <w:rsid w:val="00CD0995"/>
    <w:rsid w:val="00CD168E"/>
    <w:rsid w:val="00CD3A0A"/>
    <w:rsid w:val="00CD42A2"/>
    <w:rsid w:val="00CD4828"/>
    <w:rsid w:val="00CD7596"/>
    <w:rsid w:val="00CE040F"/>
    <w:rsid w:val="00CE295C"/>
    <w:rsid w:val="00CE364C"/>
    <w:rsid w:val="00CE3AF2"/>
    <w:rsid w:val="00CE3E55"/>
    <w:rsid w:val="00CE449F"/>
    <w:rsid w:val="00CF1762"/>
    <w:rsid w:val="00CF2391"/>
    <w:rsid w:val="00CF4170"/>
    <w:rsid w:val="00CF4C46"/>
    <w:rsid w:val="00CF5012"/>
    <w:rsid w:val="00CF6E9F"/>
    <w:rsid w:val="00CF72C0"/>
    <w:rsid w:val="00CF777C"/>
    <w:rsid w:val="00CF7C0D"/>
    <w:rsid w:val="00D02B12"/>
    <w:rsid w:val="00D06C74"/>
    <w:rsid w:val="00D0709C"/>
    <w:rsid w:val="00D11A11"/>
    <w:rsid w:val="00D12583"/>
    <w:rsid w:val="00D12F81"/>
    <w:rsid w:val="00D16957"/>
    <w:rsid w:val="00D1750C"/>
    <w:rsid w:val="00D20E0E"/>
    <w:rsid w:val="00D21CA6"/>
    <w:rsid w:val="00D22978"/>
    <w:rsid w:val="00D22E97"/>
    <w:rsid w:val="00D2374E"/>
    <w:rsid w:val="00D240D8"/>
    <w:rsid w:val="00D245D6"/>
    <w:rsid w:val="00D25295"/>
    <w:rsid w:val="00D260E2"/>
    <w:rsid w:val="00D26AEC"/>
    <w:rsid w:val="00D301CB"/>
    <w:rsid w:val="00D321A5"/>
    <w:rsid w:val="00D35073"/>
    <w:rsid w:val="00D35F34"/>
    <w:rsid w:val="00D37325"/>
    <w:rsid w:val="00D37B80"/>
    <w:rsid w:val="00D43199"/>
    <w:rsid w:val="00D434FA"/>
    <w:rsid w:val="00D44A43"/>
    <w:rsid w:val="00D451F7"/>
    <w:rsid w:val="00D46007"/>
    <w:rsid w:val="00D4739B"/>
    <w:rsid w:val="00D47AAC"/>
    <w:rsid w:val="00D5099D"/>
    <w:rsid w:val="00D51171"/>
    <w:rsid w:val="00D51B17"/>
    <w:rsid w:val="00D530BF"/>
    <w:rsid w:val="00D57942"/>
    <w:rsid w:val="00D60307"/>
    <w:rsid w:val="00D60D53"/>
    <w:rsid w:val="00D66422"/>
    <w:rsid w:val="00D66E20"/>
    <w:rsid w:val="00D7042E"/>
    <w:rsid w:val="00D720AF"/>
    <w:rsid w:val="00D7345D"/>
    <w:rsid w:val="00D74D4E"/>
    <w:rsid w:val="00D77F42"/>
    <w:rsid w:val="00D8029C"/>
    <w:rsid w:val="00D8239F"/>
    <w:rsid w:val="00D86BD5"/>
    <w:rsid w:val="00D90CD4"/>
    <w:rsid w:val="00D91122"/>
    <w:rsid w:val="00D91863"/>
    <w:rsid w:val="00D926C6"/>
    <w:rsid w:val="00D92891"/>
    <w:rsid w:val="00D93DFB"/>
    <w:rsid w:val="00D951C7"/>
    <w:rsid w:val="00D97F91"/>
    <w:rsid w:val="00DA26D8"/>
    <w:rsid w:val="00DA5B38"/>
    <w:rsid w:val="00DA6961"/>
    <w:rsid w:val="00DB13A6"/>
    <w:rsid w:val="00DB3A8E"/>
    <w:rsid w:val="00DB4782"/>
    <w:rsid w:val="00DB511A"/>
    <w:rsid w:val="00DB57E8"/>
    <w:rsid w:val="00DB5AB4"/>
    <w:rsid w:val="00DC0D9F"/>
    <w:rsid w:val="00DC42AC"/>
    <w:rsid w:val="00DC4479"/>
    <w:rsid w:val="00DC4E95"/>
    <w:rsid w:val="00DC7E43"/>
    <w:rsid w:val="00DD02CF"/>
    <w:rsid w:val="00DD12EF"/>
    <w:rsid w:val="00DD21A5"/>
    <w:rsid w:val="00DD2E24"/>
    <w:rsid w:val="00DD3294"/>
    <w:rsid w:val="00DD3C3B"/>
    <w:rsid w:val="00DD5163"/>
    <w:rsid w:val="00DD544C"/>
    <w:rsid w:val="00DD5972"/>
    <w:rsid w:val="00DD6643"/>
    <w:rsid w:val="00DD6CA7"/>
    <w:rsid w:val="00DD757A"/>
    <w:rsid w:val="00DE0D02"/>
    <w:rsid w:val="00DE13AC"/>
    <w:rsid w:val="00DE23AC"/>
    <w:rsid w:val="00DE40B7"/>
    <w:rsid w:val="00DF0D66"/>
    <w:rsid w:val="00DF3086"/>
    <w:rsid w:val="00DF4604"/>
    <w:rsid w:val="00DF5F77"/>
    <w:rsid w:val="00DF755C"/>
    <w:rsid w:val="00E00367"/>
    <w:rsid w:val="00E02D3A"/>
    <w:rsid w:val="00E03C52"/>
    <w:rsid w:val="00E04589"/>
    <w:rsid w:val="00E062B6"/>
    <w:rsid w:val="00E0709B"/>
    <w:rsid w:val="00E078C6"/>
    <w:rsid w:val="00E07A44"/>
    <w:rsid w:val="00E13DA1"/>
    <w:rsid w:val="00E14C42"/>
    <w:rsid w:val="00E240F9"/>
    <w:rsid w:val="00E26D03"/>
    <w:rsid w:val="00E36E11"/>
    <w:rsid w:val="00E40F78"/>
    <w:rsid w:val="00E413F4"/>
    <w:rsid w:val="00E4184A"/>
    <w:rsid w:val="00E41B76"/>
    <w:rsid w:val="00E42B21"/>
    <w:rsid w:val="00E43698"/>
    <w:rsid w:val="00E445E6"/>
    <w:rsid w:val="00E45D8F"/>
    <w:rsid w:val="00E4631C"/>
    <w:rsid w:val="00E4646C"/>
    <w:rsid w:val="00E5049E"/>
    <w:rsid w:val="00E52B6C"/>
    <w:rsid w:val="00E53FB4"/>
    <w:rsid w:val="00E55685"/>
    <w:rsid w:val="00E56ABF"/>
    <w:rsid w:val="00E60841"/>
    <w:rsid w:val="00E6414B"/>
    <w:rsid w:val="00E64534"/>
    <w:rsid w:val="00E67071"/>
    <w:rsid w:val="00E671A8"/>
    <w:rsid w:val="00E7072B"/>
    <w:rsid w:val="00E70B2E"/>
    <w:rsid w:val="00E70D63"/>
    <w:rsid w:val="00E726A0"/>
    <w:rsid w:val="00E72735"/>
    <w:rsid w:val="00E76D4D"/>
    <w:rsid w:val="00E85174"/>
    <w:rsid w:val="00E85B68"/>
    <w:rsid w:val="00E92131"/>
    <w:rsid w:val="00E94071"/>
    <w:rsid w:val="00E940B9"/>
    <w:rsid w:val="00E948EA"/>
    <w:rsid w:val="00EA3002"/>
    <w:rsid w:val="00EA362F"/>
    <w:rsid w:val="00EA5C92"/>
    <w:rsid w:val="00EB1378"/>
    <w:rsid w:val="00EB2B86"/>
    <w:rsid w:val="00EB3807"/>
    <w:rsid w:val="00EB549A"/>
    <w:rsid w:val="00EB6C65"/>
    <w:rsid w:val="00EB7074"/>
    <w:rsid w:val="00EB779A"/>
    <w:rsid w:val="00EC06A3"/>
    <w:rsid w:val="00EC17AD"/>
    <w:rsid w:val="00EC2EEC"/>
    <w:rsid w:val="00EC5901"/>
    <w:rsid w:val="00ED0A30"/>
    <w:rsid w:val="00ED42B6"/>
    <w:rsid w:val="00ED5A0A"/>
    <w:rsid w:val="00ED76A3"/>
    <w:rsid w:val="00ED7F07"/>
    <w:rsid w:val="00EE3AA1"/>
    <w:rsid w:val="00EE470F"/>
    <w:rsid w:val="00EE4CBA"/>
    <w:rsid w:val="00EE63B9"/>
    <w:rsid w:val="00EE66E2"/>
    <w:rsid w:val="00EE6729"/>
    <w:rsid w:val="00EF2003"/>
    <w:rsid w:val="00EF2C38"/>
    <w:rsid w:val="00EF53BD"/>
    <w:rsid w:val="00EF6383"/>
    <w:rsid w:val="00EF6F29"/>
    <w:rsid w:val="00F00A80"/>
    <w:rsid w:val="00F0299D"/>
    <w:rsid w:val="00F02D6B"/>
    <w:rsid w:val="00F057F3"/>
    <w:rsid w:val="00F07182"/>
    <w:rsid w:val="00F10FDF"/>
    <w:rsid w:val="00F12338"/>
    <w:rsid w:val="00F157D5"/>
    <w:rsid w:val="00F158A5"/>
    <w:rsid w:val="00F17898"/>
    <w:rsid w:val="00F17DA6"/>
    <w:rsid w:val="00F232F3"/>
    <w:rsid w:val="00F24CBD"/>
    <w:rsid w:val="00F258A3"/>
    <w:rsid w:val="00F2679B"/>
    <w:rsid w:val="00F27B7F"/>
    <w:rsid w:val="00F30429"/>
    <w:rsid w:val="00F30A98"/>
    <w:rsid w:val="00F31460"/>
    <w:rsid w:val="00F31466"/>
    <w:rsid w:val="00F3185C"/>
    <w:rsid w:val="00F3234C"/>
    <w:rsid w:val="00F32CA4"/>
    <w:rsid w:val="00F33233"/>
    <w:rsid w:val="00F347A7"/>
    <w:rsid w:val="00F406AE"/>
    <w:rsid w:val="00F414B7"/>
    <w:rsid w:val="00F417CD"/>
    <w:rsid w:val="00F4290B"/>
    <w:rsid w:val="00F42FC1"/>
    <w:rsid w:val="00F4371F"/>
    <w:rsid w:val="00F43B6F"/>
    <w:rsid w:val="00F4755A"/>
    <w:rsid w:val="00F47EAB"/>
    <w:rsid w:val="00F50226"/>
    <w:rsid w:val="00F50F89"/>
    <w:rsid w:val="00F51724"/>
    <w:rsid w:val="00F52F6B"/>
    <w:rsid w:val="00F531F9"/>
    <w:rsid w:val="00F535CA"/>
    <w:rsid w:val="00F60456"/>
    <w:rsid w:val="00F629A8"/>
    <w:rsid w:val="00F62CCA"/>
    <w:rsid w:val="00F635D8"/>
    <w:rsid w:val="00F64704"/>
    <w:rsid w:val="00F64C2A"/>
    <w:rsid w:val="00F66E34"/>
    <w:rsid w:val="00F67257"/>
    <w:rsid w:val="00F71E90"/>
    <w:rsid w:val="00F7202F"/>
    <w:rsid w:val="00F72291"/>
    <w:rsid w:val="00F722CB"/>
    <w:rsid w:val="00F724B3"/>
    <w:rsid w:val="00F72D0A"/>
    <w:rsid w:val="00F810D5"/>
    <w:rsid w:val="00F81D73"/>
    <w:rsid w:val="00F821CC"/>
    <w:rsid w:val="00F84506"/>
    <w:rsid w:val="00F911C1"/>
    <w:rsid w:val="00F91D18"/>
    <w:rsid w:val="00F920E2"/>
    <w:rsid w:val="00F92A0A"/>
    <w:rsid w:val="00FA06FA"/>
    <w:rsid w:val="00FA5AA0"/>
    <w:rsid w:val="00FA7BC6"/>
    <w:rsid w:val="00FB2194"/>
    <w:rsid w:val="00FB2536"/>
    <w:rsid w:val="00FB52A8"/>
    <w:rsid w:val="00FB559B"/>
    <w:rsid w:val="00FB69D4"/>
    <w:rsid w:val="00FC2550"/>
    <w:rsid w:val="00FC307C"/>
    <w:rsid w:val="00FC4736"/>
    <w:rsid w:val="00FC71CC"/>
    <w:rsid w:val="00FC755B"/>
    <w:rsid w:val="00FD0D3B"/>
    <w:rsid w:val="00FD3649"/>
    <w:rsid w:val="00FD399D"/>
    <w:rsid w:val="00FD50DD"/>
    <w:rsid w:val="00FD5D74"/>
    <w:rsid w:val="00FD6E13"/>
    <w:rsid w:val="00FD7445"/>
    <w:rsid w:val="00FE0098"/>
    <w:rsid w:val="00FE07CE"/>
    <w:rsid w:val="00FE15B8"/>
    <w:rsid w:val="00FE2BE2"/>
    <w:rsid w:val="00FE7A4A"/>
    <w:rsid w:val="00FF2959"/>
    <w:rsid w:val="00FF3B1F"/>
    <w:rsid w:val="00FF54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40AE99"/>
  <w15:docId w15:val="{12F61CB7-4CA7-42C1-AEF6-BF0E885B6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SV" w:eastAsia="es-S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115"/>
  </w:style>
  <w:style w:type="paragraph" w:styleId="Ttulo1">
    <w:name w:val="heading 1"/>
    <w:basedOn w:val="Normal"/>
    <w:next w:val="Normal"/>
    <w:link w:val="Ttulo1Car"/>
    <w:qFormat/>
    <w:rsid w:val="00752E04"/>
    <w:pPr>
      <w:keepNext/>
      <w:keepLines/>
      <w:numPr>
        <w:numId w:val="1"/>
      </w:numPr>
      <w:spacing w:before="480" w:after="240"/>
      <w:outlineLvl w:val="0"/>
    </w:pPr>
    <w:rPr>
      <w:rFonts w:eastAsiaTheme="majorEastAsia" w:cstheme="minorHAnsi"/>
      <w:b/>
      <w:bCs/>
    </w:rPr>
  </w:style>
  <w:style w:type="paragraph" w:styleId="Ttulo2">
    <w:name w:val="heading 2"/>
    <w:basedOn w:val="Normal"/>
    <w:next w:val="Normal"/>
    <w:link w:val="Ttulo2Car"/>
    <w:unhideWhenUsed/>
    <w:qFormat/>
    <w:rsid w:val="008E0D6F"/>
    <w:pPr>
      <w:keepNext/>
      <w:keepLines/>
      <w:tabs>
        <w:tab w:val="left" w:pos="284"/>
      </w:tabs>
      <w:spacing w:before="200" w:after="240"/>
      <w:outlineLvl w:val="1"/>
    </w:pPr>
    <w:rPr>
      <w:rFonts w:eastAsiaTheme="majorEastAsia" w:cstheme="minorHAnsi"/>
      <w:b/>
      <w:bCs/>
    </w:rPr>
  </w:style>
  <w:style w:type="paragraph" w:styleId="Ttulo3">
    <w:name w:val="heading 3"/>
    <w:basedOn w:val="Normal"/>
    <w:next w:val="Normal"/>
    <w:link w:val="Ttulo3Car"/>
    <w:qFormat/>
    <w:rsid w:val="00E42B21"/>
    <w:pPr>
      <w:keepNext/>
      <w:spacing w:before="120" w:after="240" w:line="240" w:lineRule="auto"/>
      <w:ind w:left="737" w:hanging="737"/>
      <w:jc w:val="both"/>
      <w:outlineLvl w:val="2"/>
    </w:pPr>
    <w:rPr>
      <w:rFonts w:ascii="Arial" w:eastAsia="Times New Roman" w:hAnsi="Arial" w:cs="Times New Roman"/>
      <w:b/>
      <w:sz w:val="24"/>
      <w:szCs w:val="24"/>
      <w:lang w:val="es-ES" w:eastAsia="es-ES"/>
    </w:rPr>
  </w:style>
  <w:style w:type="paragraph" w:styleId="Ttulo4">
    <w:name w:val="heading 4"/>
    <w:basedOn w:val="Normal"/>
    <w:next w:val="Normal"/>
    <w:link w:val="Ttulo4Car"/>
    <w:qFormat/>
    <w:rsid w:val="00E42B21"/>
    <w:pPr>
      <w:keepNext/>
      <w:spacing w:before="240" w:after="60" w:line="240" w:lineRule="auto"/>
      <w:ind w:left="283" w:hanging="283"/>
      <w:jc w:val="both"/>
      <w:outlineLvl w:val="3"/>
    </w:pPr>
    <w:rPr>
      <w:rFonts w:ascii="Arial" w:eastAsia="Times New Roman" w:hAnsi="Arial" w:cs="Times New Roman"/>
      <w:i/>
      <w:smallCaps/>
      <w:sz w:val="24"/>
      <w:szCs w:val="24"/>
      <w:lang w:val="es-ES" w:eastAsia="es-ES"/>
    </w:rPr>
  </w:style>
  <w:style w:type="paragraph" w:styleId="Ttulo6">
    <w:name w:val="heading 6"/>
    <w:basedOn w:val="Normal"/>
    <w:next w:val="Normal"/>
    <w:link w:val="Ttulo6Car"/>
    <w:uiPriority w:val="9"/>
    <w:unhideWhenUsed/>
    <w:qFormat/>
    <w:rsid w:val="004609AF"/>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93888"/>
  </w:style>
  <w:style w:type="character" w:customStyle="1" w:styleId="il-publishedby">
    <w:name w:val="il-publishedby"/>
    <w:basedOn w:val="Fuentedeprrafopredeter"/>
    <w:rsid w:val="00C93888"/>
  </w:style>
  <w:style w:type="character" w:styleId="Hipervnculo">
    <w:name w:val="Hyperlink"/>
    <w:basedOn w:val="Fuentedeprrafopredeter"/>
    <w:uiPriority w:val="99"/>
    <w:unhideWhenUsed/>
    <w:rsid w:val="00C93888"/>
    <w:rPr>
      <w:color w:val="0000FF"/>
      <w:u w:val="single"/>
    </w:rPr>
  </w:style>
  <w:style w:type="paragraph" w:styleId="NormalWeb">
    <w:name w:val="Normal (Web)"/>
    <w:basedOn w:val="Normal"/>
    <w:uiPriority w:val="99"/>
    <w:unhideWhenUsed/>
    <w:rsid w:val="00C93888"/>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0F65C6"/>
    <w:pPr>
      <w:ind w:left="720"/>
      <w:contextualSpacing/>
    </w:pPr>
  </w:style>
  <w:style w:type="table" w:styleId="Tablaconcuadrcula">
    <w:name w:val="Table Grid"/>
    <w:basedOn w:val="Tablanormal"/>
    <w:uiPriority w:val="59"/>
    <w:rsid w:val="000F6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9213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92131"/>
    <w:rPr>
      <w:sz w:val="20"/>
      <w:szCs w:val="20"/>
    </w:rPr>
  </w:style>
  <w:style w:type="character" w:styleId="Refdenotaalpie">
    <w:name w:val="footnote reference"/>
    <w:basedOn w:val="Fuentedeprrafopredeter"/>
    <w:uiPriority w:val="99"/>
    <w:semiHidden/>
    <w:unhideWhenUsed/>
    <w:rsid w:val="00E92131"/>
    <w:rPr>
      <w:vertAlign w:val="superscript"/>
    </w:rPr>
  </w:style>
  <w:style w:type="character" w:styleId="nfasis">
    <w:name w:val="Emphasis"/>
    <w:basedOn w:val="Fuentedeprrafopredeter"/>
    <w:uiPriority w:val="20"/>
    <w:qFormat/>
    <w:rsid w:val="00F821CC"/>
    <w:rPr>
      <w:i/>
      <w:iCs/>
    </w:rPr>
  </w:style>
  <w:style w:type="paragraph" w:styleId="Encabezado">
    <w:name w:val="header"/>
    <w:basedOn w:val="Normal"/>
    <w:link w:val="EncabezadoCar"/>
    <w:uiPriority w:val="99"/>
    <w:unhideWhenUsed/>
    <w:rsid w:val="00012CD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12CDC"/>
  </w:style>
  <w:style w:type="paragraph" w:styleId="Piedepgina">
    <w:name w:val="footer"/>
    <w:basedOn w:val="Normal"/>
    <w:link w:val="PiedepginaCar"/>
    <w:uiPriority w:val="99"/>
    <w:unhideWhenUsed/>
    <w:rsid w:val="00012CD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12CDC"/>
  </w:style>
  <w:style w:type="character" w:customStyle="1" w:styleId="Ttulo1Car">
    <w:name w:val="Título 1 Car"/>
    <w:basedOn w:val="Fuentedeprrafopredeter"/>
    <w:link w:val="Ttulo1"/>
    <w:rsid w:val="00752E04"/>
    <w:rPr>
      <w:rFonts w:eastAsiaTheme="majorEastAsia" w:cstheme="minorHAnsi"/>
      <w:b/>
      <w:bCs/>
    </w:rPr>
  </w:style>
  <w:style w:type="character" w:customStyle="1" w:styleId="Ttulo2Car">
    <w:name w:val="Título 2 Car"/>
    <w:basedOn w:val="Fuentedeprrafopredeter"/>
    <w:link w:val="Ttulo2"/>
    <w:rsid w:val="008E0D6F"/>
    <w:rPr>
      <w:rFonts w:eastAsiaTheme="majorEastAsia" w:cstheme="minorHAnsi"/>
      <w:b/>
      <w:bCs/>
    </w:rPr>
  </w:style>
  <w:style w:type="paragraph" w:styleId="Descripcin">
    <w:name w:val="caption"/>
    <w:basedOn w:val="Normal"/>
    <w:next w:val="Normal"/>
    <w:uiPriority w:val="35"/>
    <w:unhideWhenUsed/>
    <w:qFormat/>
    <w:rsid w:val="00076134"/>
    <w:pPr>
      <w:spacing w:line="240" w:lineRule="auto"/>
    </w:pPr>
    <w:rPr>
      <w:b/>
      <w:bCs/>
      <w:color w:val="4F81BD" w:themeColor="accent1"/>
      <w:sz w:val="18"/>
      <w:szCs w:val="18"/>
    </w:rPr>
  </w:style>
  <w:style w:type="paragraph" w:styleId="TtulodeTDC">
    <w:name w:val="TOC Heading"/>
    <w:basedOn w:val="Ttulo1"/>
    <w:next w:val="Normal"/>
    <w:uiPriority w:val="39"/>
    <w:unhideWhenUsed/>
    <w:qFormat/>
    <w:rsid w:val="00C952E5"/>
    <w:pPr>
      <w:numPr>
        <w:numId w:val="0"/>
      </w:numPr>
      <w:spacing w:after="0"/>
      <w:outlineLvl w:val="9"/>
    </w:pPr>
    <w:rPr>
      <w:rFonts w:asciiTheme="majorHAnsi" w:hAnsiTheme="majorHAnsi" w:cstheme="majorBidi"/>
      <w:color w:val="365F91" w:themeColor="accent1" w:themeShade="BF"/>
      <w:sz w:val="28"/>
      <w:szCs w:val="28"/>
      <w:lang w:val="es-ES"/>
    </w:rPr>
  </w:style>
  <w:style w:type="paragraph" w:styleId="TDC1">
    <w:name w:val="toc 1"/>
    <w:basedOn w:val="Normal"/>
    <w:next w:val="Normal"/>
    <w:autoRedefine/>
    <w:uiPriority w:val="39"/>
    <w:unhideWhenUsed/>
    <w:rsid w:val="001E5DEA"/>
    <w:pPr>
      <w:tabs>
        <w:tab w:val="left" w:pos="660"/>
        <w:tab w:val="right" w:leader="dot" w:pos="8828"/>
      </w:tabs>
      <w:spacing w:before="240" w:after="240" w:line="240" w:lineRule="auto"/>
    </w:pPr>
    <w:rPr>
      <w:b/>
      <w:noProof/>
    </w:rPr>
  </w:style>
  <w:style w:type="paragraph" w:styleId="TDC2">
    <w:name w:val="toc 2"/>
    <w:basedOn w:val="Normal"/>
    <w:next w:val="Normal"/>
    <w:autoRedefine/>
    <w:uiPriority w:val="39"/>
    <w:unhideWhenUsed/>
    <w:rsid w:val="00C952E5"/>
    <w:pPr>
      <w:spacing w:after="100"/>
      <w:ind w:left="220"/>
    </w:pPr>
  </w:style>
  <w:style w:type="paragraph" w:styleId="Textodeglobo">
    <w:name w:val="Balloon Text"/>
    <w:basedOn w:val="Normal"/>
    <w:link w:val="TextodegloboCar"/>
    <w:uiPriority w:val="99"/>
    <w:semiHidden/>
    <w:unhideWhenUsed/>
    <w:rsid w:val="00C952E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52E5"/>
    <w:rPr>
      <w:rFonts w:ascii="Tahoma" w:hAnsi="Tahoma" w:cs="Tahoma"/>
      <w:sz w:val="16"/>
      <w:szCs w:val="16"/>
    </w:rPr>
  </w:style>
  <w:style w:type="paragraph" w:styleId="Sinespaciado">
    <w:name w:val="No Spacing"/>
    <w:link w:val="SinespaciadoCar"/>
    <w:uiPriority w:val="1"/>
    <w:qFormat/>
    <w:rsid w:val="00691A4C"/>
    <w:pPr>
      <w:spacing w:after="0" w:line="240" w:lineRule="auto"/>
    </w:pPr>
    <w:rPr>
      <w:lang w:val="es-ES"/>
    </w:rPr>
  </w:style>
  <w:style w:type="character" w:customStyle="1" w:styleId="SinespaciadoCar">
    <w:name w:val="Sin espaciado Car"/>
    <w:basedOn w:val="Fuentedeprrafopredeter"/>
    <w:link w:val="Sinespaciado"/>
    <w:uiPriority w:val="1"/>
    <w:rsid w:val="00691A4C"/>
    <w:rPr>
      <w:rFonts w:eastAsiaTheme="minorEastAsia"/>
      <w:lang w:val="es-ES"/>
    </w:rPr>
  </w:style>
  <w:style w:type="character" w:customStyle="1" w:styleId="Ttulo3Car">
    <w:name w:val="Título 3 Car"/>
    <w:basedOn w:val="Fuentedeprrafopredeter"/>
    <w:link w:val="Ttulo3"/>
    <w:rsid w:val="00E42B21"/>
    <w:rPr>
      <w:rFonts w:ascii="Arial" w:eastAsia="Times New Roman" w:hAnsi="Arial" w:cs="Times New Roman"/>
      <w:b/>
      <w:sz w:val="24"/>
      <w:szCs w:val="24"/>
      <w:lang w:val="es-ES" w:eastAsia="es-ES"/>
    </w:rPr>
  </w:style>
  <w:style w:type="character" w:customStyle="1" w:styleId="Ttulo4Car">
    <w:name w:val="Título 4 Car"/>
    <w:basedOn w:val="Fuentedeprrafopredeter"/>
    <w:link w:val="Ttulo4"/>
    <w:rsid w:val="00E42B21"/>
    <w:rPr>
      <w:rFonts w:ascii="Arial" w:eastAsia="Times New Roman" w:hAnsi="Arial" w:cs="Times New Roman"/>
      <w:i/>
      <w:smallCaps/>
      <w:sz w:val="24"/>
      <w:szCs w:val="24"/>
      <w:lang w:val="es-ES" w:eastAsia="es-ES"/>
    </w:rPr>
  </w:style>
  <w:style w:type="character" w:styleId="Refdecomentario">
    <w:name w:val="annotation reference"/>
    <w:basedOn w:val="Fuentedeprrafopredeter"/>
    <w:uiPriority w:val="99"/>
    <w:semiHidden/>
    <w:unhideWhenUsed/>
    <w:rsid w:val="00285710"/>
    <w:rPr>
      <w:sz w:val="16"/>
      <w:szCs w:val="16"/>
    </w:rPr>
  </w:style>
  <w:style w:type="paragraph" w:styleId="Textocomentario">
    <w:name w:val="annotation text"/>
    <w:basedOn w:val="Normal"/>
    <w:link w:val="TextocomentarioCar"/>
    <w:uiPriority w:val="99"/>
    <w:semiHidden/>
    <w:unhideWhenUsed/>
    <w:rsid w:val="0028571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85710"/>
    <w:rPr>
      <w:sz w:val="20"/>
      <w:szCs w:val="20"/>
    </w:rPr>
  </w:style>
  <w:style w:type="paragraph" w:styleId="Asuntodelcomentario">
    <w:name w:val="annotation subject"/>
    <w:basedOn w:val="Textocomentario"/>
    <w:next w:val="Textocomentario"/>
    <w:link w:val="AsuntodelcomentarioCar"/>
    <w:uiPriority w:val="99"/>
    <w:semiHidden/>
    <w:unhideWhenUsed/>
    <w:rsid w:val="00285710"/>
    <w:rPr>
      <w:b/>
      <w:bCs/>
    </w:rPr>
  </w:style>
  <w:style w:type="character" w:customStyle="1" w:styleId="AsuntodelcomentarioCar">
    <w:name w:val="Asunto del comentario Car"/>
    <w:basedOn w:val="TextocomentarioCar"/>
    <w:link w:val="Asuntodelcomentario"/>
    <w:uiPriority w:val="99"/>
    <w:semiHidden/>
    <w:rsid w:val="00285710"/>
    <w:rPr>
      <w:b/>
      <w:bCs/>
      <w:sz w:val="20"/>
      <w:szCs w:val="20"/>
    </w:rPr>
  </w:style>
  <w:style w:type="character" w:customStyle="1" w:styleId="Ttulo6Car">
    <w:name w:val="Título 6 Car"/>
    <w:basedOn w:val="Fuentedeprrafopredeter"/>
    <w:link w:val="Ttulo6"/>
    <w:uiPriority w:val="9"/>
    <w:rsid w:val="004609AF"/>
    <w:rPr>
      <w:rFonts w:asciiTheme="majorHAnsi" w:eastAsiaTheme="majorEastAsia" w:hAnsiTheme="majorHAnsi" w:cstheme="majorBidi"/>
      <w:color w:val="243F60" w:themeColor="accent1" w:themeShade="7F"/>
    </w:rPr>
  </w:style>
  <w:style w:type="paragraph" w:styleId="Lista2">
    <w:name w:val="List 2"/>
    <w:basedOn w:val="Normal"/>
    <w:uiPriority w:val="99"/>
    <w:unhideWhenUsed/>
    <w:rsid w:val="004609AF"/>
    <w:pPr>
      <w:ind w:left="566" w:hanging="283"/>
      <w:contextualSpacing/>
    </w:pPr>
  </w:style>
  <w:style w:type="paragraph" w:styleId="Listaconvietas">
    <w:name w:val="List Bullet"/>
    <w:basedOn w:val="Normal"/>
    <w:uiPriority w:val="99"/>
    <w:unhideWhenUsed/>
    <w:rsid w:val="004609AF"/>
    <w:pPr>
      <w:numPr>
        <w:numId w:val="25"/>
      </w:numPr>
      <w:contextualSpacing/>
    </w:pPr>
  </w:style>
  <w:style w:type="paragraph" w:styleId="Textoindependiente">
    <w:name w:val="Body Text"/>
    <w:basedOn w:val="Normal"/>
    <w:link w:val="TextoindependienteCar"/>
    <w:uiPriority w:val="99"/>
    <w:unhideWhenUsed/>
    <w:rsid w:val="004609AF"/>
    <w:pPr>
      <w:spacing w:after="120"/>
    </w:pPr>
  </w:style>
  <w:style w:type="character" w:customStyle="1" w:styleId="TextoindependienteCar">
    <w:name w:val="Texto independiente Car"/>
    <w:basedOn w:val="Fuentedeprrafopredeter"/>
    <w:link w:val="Textoindependiente"/>
    <w:uiPriority w:val="99"/>
    <w:rsid w:val="004609AF"/>
  </w:style>
  <w:style w:type="paragraph" w:styleId="Textoindependienteprimerasangra">
    <w:name w:val="Body Text First Indent"/>
    <w:basedOn w:val="Textoindependiente"/>
    <w:link w:val="TextoindependienteprimerasangraCar"/>
    <w:uiPriority w:val="99"/>
    <w:unhideWhenUsed/>
    <w:rsid w:val="004609AF"/>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4609AF"/>
  </w:style>
  <w:style w:type="paragraph" w:styleId="Sangradetextonormal">
    <w:name w:val="Body Text Indent"/>
    <w:basedOn w:val="Normal"/>
    <w:link w:val="SangradetextonormalCar"/>
    <w:uiPriority w:val="99"/>
    <w:semiHidden/>
    <w:unhideWhenUsed/>
    <w:rsid w:val="004609AF"/>
    <w:pPr>
      <w:spacing w:after="120"/>
      <w:ind w:left="283"/>
    </w:pPr>
  </w:style>
  <w:style w:type="character" w:customStyle="1" w:styleId="SangradetextonormalCar">
    <w:name w:val="Sangría de texto normal Car"/>
    <w:basedOn w:val="Fuentedeprrafopredeter"/>
    <w:link w:val="Sangradetextonormal"/>
    <w:uiPriority w:val="99"/>
    <w:semiHidden/>
    <w:rsid w:val="004609AF"/>
  </w:style>
  <w:style w:type="paragraph" w:styleId="Textoindependienteprimerasangra2">
    <w:name w:val="Body Text First Indent 2"/>
    <w:basedOn w:val="Sangradetextonormal"/>
    <w:link w:val="Textoindependienteprimerasangra2Car"/>
    <w:uiPriority w:val="99"/>
    <w:unhideWhenUsed/>
    <w:rsid w:val="004609A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609AF"/>
  </w:style>
  <w:style w:type="table" w:styleId="Tablanormal4">
    <w:name w:val="Plain Table 4"/>
    <w:basedOn w:val="Tablanormal"/>
    <w:uiPriority w:val="44"/>
    <w:rsid w:val="005E680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uadrculadetablaclara">
    <w:name w:val="Grid Table Light"/>
    <w:basedOn w:val="Tablanormal"/>
    <w:uiPriority w:val="40"/>
    <w:rsid w:val="005E68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24632">
      <w:bodyDiv w:val="1"/>
      <w:marLeft w:val="0"/>
      <w:marRight w:val="0"/>
      <w:marTop w:val="0"/>
      <w:marBottom w:val="0"/>
      <w:divBdr>
        <w:top w:val="none" w:sz="0" w:space="0" w:color="auto"/>
        <w:left w:val="none" w:sz="0" w:space="0" w:color="auto"/>
        <w:bottom w:val="none" w:sz="0" w:space="0" w:color="auto"/>
        <w:right w:val="none" w:sz="0" w:space="0" w:color="auto"/>
      </w:divBdr>
      <w:divsChild>
        <w:div w:id="1141072513">
          <w:marLeft w:val="0"/>
          <w:marRight w:val="561"/>
          <w:marTop w:val="0"/>
          <w:marBottom w:val="0"/>
          <w:divBdr>
            <w:top w:val="none" w:sz="0" w:space="0" w:color="auto"/>
            <w:left w:val="none" w:sz="0" w:space="0" w:color="auto"/>
            <w:bottom w:val="none" w:sz="0" w:space="0" w:color="auto"/>
            <w:right w:val="none" w:sz="0" w:space="0" w:color="auto"/>
          </w:divBdr>
          <w:divsChild>
            <w:div w:id="782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2402">
      <w:bodyDiv w:val="1"/>
      <w:marLeft w:val="0"/>
      <w:marRight w:val="0"/>
      <w:marTop w:val="0"/>
      <w:marBottom w:val="0"/>
      <w:divBdr>
        <w:top w:val="none" w:sz="0" w:space="0" w:color="auto"/>
        <w:left w:val="none" w:sz="0" w:space="0" w:color="auto"/>
        <w:bottom w:val="none" w:sz="0" w:space="0" w:color="auto"/>
        <w:right w:val="none" w:sz="0" w:space="0" w:color="auto"/>
      </w:divBdr>
    </w:div>
    <w:div w:id="57557161">
      <w:bodyDiv w:val="1"/>
      <w:marLeft w:val="0"/>
      <w:marRight w:val="0"/>
      <w:marTop w:val="0"/>
      <w:marBottom w:val="0"/>
      <w:divBdr>
        <w:top w:val="none" w:sz="0" w:space="0" w:color="auto"/>
        <w:left w:val="none" w:sz="0" w:space="0" w:color="auto"/>
        <w:bottom w:val="none" w:sz="0" w:space="0" w:color="auto"/>
        <w:right w:val="none" w:sz="0" w:space="0" w:color="auto"/>
      </w:divBdr>
    </w:div>
    <w:div w:id="63525701">
      <w:bodyDiv w:val="1"/>
      <w:marLeft w:val="0"/>
      <w:marRight w:val="0"/>
      <w:marTop w:val="0"/>
      <w:marBottom w:val="0"/>
      <w:divBdr>
        <w:top w:val="none" w:sz="0" w:space="0" w:color="auto"/>
        <w:left w:val="none" w:sz="0" w:space="0" w:color="auto"/>
        <w:bottom w:val="none" w:sz="0" w:space="0" w:color="auto"/>
        <w:right w:val="none" w:sz="0" w:space="0" w:color="auto"/>
      </w:divBdr>
    </w:div>
    <w:div w:id="108818485">
      <w:bodyDiv w:val="1"/>
      <w:marLeft w:val="0"/>
      <w:marRight w:val="0"/>
      <w:marTop w:val="0"/>
      <w:marBottom w:val="0"/>
      <w:divBdr>
        <w:top w:val="none" w:sz="0" w:space="0" w:color="auto"/>
        <w:left w:val="none" w:sz="0" w:space="0" w:color="auto"/>
        <w:bottom w:val="none" w:sz="0" w:space="0" w:color="auto"/>
        <w:right w:val="none" w:sz="0" w:space="0" w:color="auto"/>
      </w:divBdr>
    </w:div>
    <w:div w:id="112990916">
      <w:bodyDiv w:val="1"/>
      <w:marLeft w:val="0"/>
      <w:marRight w:val="0"/>
      <w:marTop w:val="0"/>
      <w:marBottom w:val="0"/>
      <w:divBdr>
        <w:top w:val="none" w:sz="0" w:space="0" w:color="auto"/>
        <w:left w:val="none" w:sz="0" w:space="0" w:color="auto"/>
        <w:bottom w:val="none" w:sz="0" w:space="0" w:color="auto"/>
        <w:right w:val="none" w:sz="0" w:space="0" w:color="auto"/>
      </w:divBdr>
    </w:div>
    <w:div w:id="124079132">
      <w:bodyDiv w:val="1"/>
      <w:marLeft w:val="0"/>
      <w:marRight w:val="0"/>
      <w:marTop w:val="0"/>
      <w:marBottom w:val="0"/>
      <w:divBdr>
        <w:top w:val="none" w:sz="0" w:space="0" w:color="auto"/>
        <w:left w:val="none" w:sz="0" w:space="0" w:color="auto"/>
        <w:bottom w:val="none" w:sz="0" w:space="0" w:color="auto"/>
        <w:right w:val="none" w:sz="0" w:space="0" w:color="auto"/>
      </w:divBdr>
    </w:div>
    <w:div w:id="133185893">
      <w:bodyDiv w:val="1"/>
      <w:marLeft w:val="0"/>
      <w:marRight w:val="0"/>
      <w:marTop w:val="0"/>
      <w:marBottom w:val="0"/>
      <w:divBdr>
        <w:top w:val="none" w:sz="0" w:space="0" w:color="auto"/>
        <w:left w:val="none" w:sz="0" w:space="0" w:color="auto"/>
        <w:bottom w:val="none" w:sz="0" w:space="0" w:color="auto"/>
        <w:right w:val="none" w:sz="0" w:space="0" w:color="auto"/>
      </w:divBdr>
      <w:divsChild>
        <w:div w:id="314380272">
          <w:marLeft w:val="1138"/>
          <w:marRight w:val="0"/>
          <w:marTop w:val="120"/>
          <w:marBottom w:val="0"/>
          <w:divBdr>
            <w:top w:val="none" w:sz="0" w:space="0" w:color="auto"/>
            <w:left w:val="none" w:sz="0" w:space="0" w:color="auto"/>
            <w:bottom w:val="none" w:sz="0" w:space="0" w:color="auto"/>
            <w:right w:val="none" w:sz="0" w:space="0" w:color="auto"/>
          </w:divBdr>
        </w:div>
        <w:div w:id="785387946">
          <w:marLeft w:val="1138"/>
          <w:marRight w:val="0"/>
          <w:marTop w:val="120"/>
          <w:marBottom w:val="0"/>
          <w:divBdr>
            <w:top w:val="none" w:sz="0" w:space="0" w:color="auto"/>
            <w:left w:val="none" w:sz="0" w:space="0" w:color="auto"/>
            <w:bottom w:val="none" w:sz="0" w:space="0" w:color="auto"/>
            <w:right w:val="none" w:sz="0" w:space="0" w:color="auto"/>
          </w:divBdr>
        </w:div>
        <w:div w:id="1093017493">
          <w:marLeft w:val="1138"/>
          <w:marRight w:val="0"/>
          <w:marTop w:val="120"/>
          <w:marBottom w:val="0"/>
          <w:divBdr>
            <w:top w:val="none" w:sz="0" w:space="0" w:color="auto"/>
            <w:left w:val="none" w:sz="0" w:space="0" w:color="auto"/>
            <w:bottom w:val="none" w:sz="0" w:space="0" w:color="auto"/>
            <w:right w:val="none" w:sz="0" w:space="0" w:color="auto"/>
          </w:divBdr>
        </w:div>
        <w:div w:id="1164665233">
          <w:marLeft w:val="1138"/>
          <w:marRight w:val="0"/>
          <w:marTop w:val="120"/>
          <w:marBottom w:val="0"/>
          <w:divBdr>
            <w:top w:val="none" w:sz="0" w:space="0" w:color="auto"/>
            <w:left w:val="none" w:sz="0" w:space="0" w:color="auto"/>
            <w:bottom w:val="none" w:sz="0" w:space="0" w:color="auto"/>
            <w:right w:val="none" w:sz="0" w:space="0" w:color="auto"/>
          </w:divBdr>
        </w:div>
        <w:div w:id="1173567619">
          <w:marLeft w:val="1138"/>
          <w:marRight w:val="0"/>
          <w:marTop w:val="120"/>
          <w:marBottom w:val="0"/>
          <w:divBdr>
            <w:top w:val="none" w:sz="0" w:space="0" w:color="auto"/>
            <w:left w:val="none" w:sz="0" w:space="0" w:color="auto"/>
            <w:bottom w:val="none" w:sz="0" w:space="0" w:color="auto"/>
            <w:right w:val="none" w:sz="0" w:space="0" w:color="auto"/>
          </w:divBdr>
        </w:div>
        <w:div w:id="1380207887">
          <w:marLeft w:val="1138"/>
          <w:marRight w:val="0"/>
          <w:marTop w:val="120"/>
          <w:marBottom w:val="0"/>
          <w:divBdr>
            <w:top w:val="none" w:sz="0" w:space="0" w:color="auto"/>
            <w:left w:val="none" w:sz="0" w:space="0" w:color="auto"/>
            <w:bottom w:val="none" w:sz="0" w:space="0" w:color="auto"/>
            <w:right w:val="none" w:sz="0" w:space="0" w:color="auto"/>
          </w:divBdr>
        </w:div>
        <w:div w:id="1693461050">
          <w:marLeft w:val="1138"/>
          <w:marRight w:val="0"/>
          <w:marTop w:val="120"/>
          <w:marBottom w:val="0"/>
          <w:divBdr>
            <w:top w:val="none" w:sz="0" w:space="0" w:color="auto"/>
            <w:left w:val="none" w:sz="0" w:space="0" w:color="auto"/>
            <w:bottom w:val="none" w:sz="0" w:space="0" w:color="auto"/>
            <w:right w:val="none" w:sz="0" w:space="0" w:color="auto"/>
          </w:divBdr>
        </w:div>
        <w:div w:id="1849980874">
          <w:marLeft w:val="1138"/>
          <w:marRight w:val="0"/>
          <w:marTop w:val="120"/>
          <w:marBottom w:val="0"/>
          <w:divBdr>
            <w:top w:val="none" w:sz="0" w:space="0" w:color="auto"/>
            <w:left w:val="none" w:sz="0" w:space="0" w:color="auto"/>
            <w:bottom w:val="none" w:sz="0" w:space="0" w:color="auto"/>
            <w:right w:val="none" w:sz="0" w:space="0" w:color="auto"/>
          </w:divBdr>
        </w:div>
        <w:div w:id="1970933493">
          <w:marLeft w:val="1138"/>
          <w:marRight w:val="0"/>
          <w:marTop w:val="120"/>
          <w:marBottom w:val="0"/>
          <w:divBdr>
            <w:top w:val="none" w:sz="0" w:space="0" w:color="auto"/>
            <w:left w:val="none" w:sz="0" w:space="0" w:color="auto"/>
            <w:bottom w:val="none" w:sz="0" w:space="0" w:color="auto"/>
            <w:right w:val="none" w:sz="0" w:space="0" w:color="auto"/>
          </w:divBdr>
        </w:div>
        <w:div w:id="2133136859">
          <w:marLeft w:val="1138"/>
          <w:marRight w:val="0"/>
          <w:marTop w:val="120"/>
          <w:marBottom w:val="0"/>
          <w:divBdr>
            <w:top w:val="none" w:sz="0" w:space="0" w:color="auto"/>
            <w:left w:val="none" w:sz="0" w:space="0" w:color="auto"/>
            <w:bottom w:val="none" w:sz="0" w:space="0" w:color="auto"/>
            <w:right w:val="none" w:sz="0" w:space="0" w:color="auto"/>
          </w:divBdr>
        </w:div>
      </w:divsChild>
    </w:div>
    <w:div w:id="136797788">
      <w:bodyDiv w:val="1"/>
      <w:marLeft w:val="0"/>
      <w:marRight w:val="0"/>
      <w:marTop w:val="0"/>
      <w:marBottom w:val="0"/>
      <w:divBdr>
        <w:top w:val="none" w:sz="0" w:space="0" w:color="auto"/>
        <w:left w:val="none" w:sz="0" w:space="0" w:color="auto"/>
        <w:bottom w:val="none" w:sz="0" w:space="0" w:color="auto"/>
        <w:right w:val="none" w:sz="0" w:space="0" w:color="auto"/>
      </w:divBdr>
      <w:divsChild>
        <w:div w:id="1777868902">
          <w:marLeft w:val="547"/>
          <w:marRight w:val="0"/>
          <w:marTop w:val="0"/>
          <w:marBottom w:val="0"/>
          <w:divBdr>
            <w:top w:val="none" w:sz="0" w:space="0" w:color="auto"/>
            <w:left w:val="none" w:sz="0" w:space="0" w:color="auto"/>
            <w:bottom w:val="none" w:sz="0" w:space="0" w:color="auto"/>
            <w:right w:val="none" w:sz="0" w:space="0" w:color="auto"/>
          </w:divBdr>
        </w:div>
      </w:divsChild>
    </w:div>
    <w:div w:id="145560503">
      <w:bodyDiv w:val="1"/>
      <w:marLeft w:val="0"/>
      <w:marRight w:val="0"/>
      <w:marTop w:val="0"/>
      <w:marBottom w:val="0"/>
      <w:divBdr>
        <w:top w:val="none" w:sz="0" w:space="0" w:color="auto"/>
        <w:left w:val="none" w:sz="0" w:space="0" w:color="auto"/>
        <w:bottom w:val="none" w:sz="0" w:space="0" w:color="auto"/>
        <w:right w:val="none" w:sz="0" w:space="0" w:color="auto"/>
      </w:divBdr>
    </w:div>
    <w:div w:id="170723987">
      <w:bodyDiv w:val="1"/>
      <w:marLeft w:val="0"/>
      <w:marRight w:val="0"/>
      <w:marTop w:val="0"/>
      <w:marBottom w:val="0"/>
      <w:divBdr>
        <w:top w:val="none" w:sz="0" w:space="0" w:color="auto"/>
        <w:left w:val="none" w:sz="0" w:space="0" w:color="auto"/>
        <w:bottom w:val="none" w:sz="0" w:space="0" w:color="auto"/>
        <w:right w:val="none" w:sz="0" w:space="0" w:color="auto"/>
      </w:divBdr>
    </w:div>
    <w:div w:id="181630496">
      <w:bodyDiv w:val="1"/>
      <w:marLeft w:val="0"/>
      <w:marRight w:val="0"/>
      <w:marTop w:val="0"/>
      <w:marBottom w:val="0"/>
      <w:divBdr>
        <w:top w:val="none" w:sz="0" w:space="0" w:color="auto"/>
        <w:left w:val="none" w:sz="0" w:space="0" w:color="auto"/>
        <w:bottom w:val="none" w:sz="0" w:space="0" w:color="auto"/>
        <w:right w:val="none" w:sz="0" w:space="0" w:color="auto"/>
      </w:divBdr>
      <w:divsChild>
        <w:div w:id="560487253">
          <w:marLeft w:val="144"/>
          <w:marRight w:val="0"/>
          <w:marTop w:val="260"/>
          <w:marBottom w:val="0"/>
          <w:divBdr>
            <w:top w:val="none" w:sz="0" w:space="0" w:color="auto"/>
            <w:left w:val="none" w:sz="0" w:space="0" w:color="auto"/>
            <w:bottom w:val="none" w:sz="0" w:space="0" w:color="auto"/>
            <w:right w:val="none" w:sz="0" w:space="0" w:color="auto"/>
          </w:divBdr>
        </w:div>
        <w:div w:id="769818060">
          <w:marLeft w:val="144"/>
          <w:marRight w:val="0"/>
          <w:marTop w:val="260"/>
          <w:marBottom w:val="0"/>
          <w:divBdr>
            <w:top w:val="none" w:sz="0" w:space="0" w:color="auto"/>
            <w:left w:val="none" w:sz="0" w:space="0" w:color="auto"/>
            <w:bottom w:val="none" w:sz="0" w:space="0" w:color="auto"/>
            <w:right w:val="none" w:sz="0" w:space="0" w:color="auto"/>
          </w:divBdr>
        </w:div>
        <w:div w:id="1833372359">
          <w:marLeft w:val="144"/>
          <w:marRight w:val="0"/>
          <w:marTop w:val="260"/>
          <w:marBottom w:val="0"/>
          <w:divBdr>
            <w:top w:val="none" w:sz="0" w:space="0" w:color="auto"/>
            <w:left w:val="none" w:sz="0" w:space="0" w:color="auto"/>
            <w:bottom w:val="none" w:sz="0" w:space="0" w:color="auto"/>
            <w:right w:val="none" w:sz="0" w:space="0" w:color="auto"/>
          </w:divBdr>
        </w:div>
        <w:div w:id="1839805490">
          <w:marLeft w:val="144"/>
          <w:marRight w:val="0"/>
          <w:marTop w:val="260"/>
          <w:marBottom w:val="0"/>
          <w:divBdr>
            <w:top w:val="none" w:sz="0" w:space="0" w:color="auto"/>
            <w:left w:val="none" w:sz="0" w:space="0" w:color="auto"/>
            <w:bottom w:val="none" w:sz="0" w:space="0" w:color="auto"/>
            <w:right w:val="none" w:sz="0" w:space="0" w:color="auto"/>
          </w:divBdr>
        </w:div>
      </w:divsChild>
    </w:div>
    <w:div w:id="182674166">
      <w:bodyDiv w:val="1"/>
      <w:marLeft w:val="0"/>
      <w:marRight w:val="0"/>
      <w:marTop w:val="0"/>
      <w:marBottom w:val="0"/>
      <w:divBdr>
        <w:top w:val="none" w:sz="0" w:space="0" w:color="auto"/>
        <w:left w:val="none" w:sz="0" w:space="0" w:color="auto"/>
        <w:bottom w:val="none" w:sz="0" w:space="0" w:color="auto"/>
        <w:right w:val="none" w:sz="0" w:space="0" w:color="auto"/>
      </w:divBdr>
    </w:div>
    <w:div w:id="203325170">
      <w:bodyDiv w:val="1"/>
      <w:marLeft w:val="0"/>
      <w:marRight w:val="0"/>
      <w:marTop w:val="0"/>
      <w:marBottom w:val="0"/>
      <w:divBdr>
        <w:top w:val="none" w:sz="0" w:space="0" w:color="auto"/>
        <w:left w:val="none" w:sz="0" w:space="0" w:color="auto"/>
        <w:bottom w:val="none" w:sz="0" w:space="0" w:color="auto"/>
        <w:right w:val="none" w:sz="0" w:space="0" w:color="auto"/>
      </w:divBdr>
    </w:div>
    <w:div w:id="214244969">
      <w:bodyDiv w:val="1"/>
      <w:marLeft w:val="0"/>
      <w:marRight w:val="0"/>
      <w:marTop w:val="0"/>
      <w:marBottom w:val="0"/>
      <w:divBdr>
        <w:top w:val="none" w:sz="0" w:space="0" w:color="auto"/>
        <w:left w:val="none" w:sz="0" w:space="0" w:color="auto"/>
        <w:bottom w:val="none" w:sz="0" w:space="0" w:color="auto"/>
        <w:right w:val="none" w:sz="0" w:space="0" w:color="auto"/>
      </w:divBdr>
    </w:div>
    <w:div w:id="221211853">
      <w:bodyDiv w:val="1"/>
      <w:marLeft w:val="0"/>
      <w:marRight w:val="0"/>
      <w:marTop w:val="0"/>
      <w:marBottom w:val="0"/>
      <w:divBdr>
        <w:top w:val="none" w:sz="0" w:space="0" w:color="auto"/>
        <w:left w:val="none" w:sz="0" w:space="0" w:color="auto"/>
        <w:bottom w:val="none" w:sz="0" w:space="0" w:color="auto"/>
        <w:right w:val="none" w:sz="0" w:space="0" w:color="auto"/>
      </w:divBdr>
      <w:divsChild>
        <w:div w:id="1864778877">
          <w:marLeft w:val="144"/>
          <w:marRight w:val="0"/>
          <w:marTop w:val="260"/>
          <w:marBottom w:val="0"/>
          <w:divBdr>
            <w:top w:val="none" w:sz="0" w:space="0" w:color="auto"/>
            <w:left w:val="none" w:sz="0" w:space="0" w:color="auto"/>
            <w:bottom w:val="none" w:sz="0" w:space="0" w:color="auto"/>
            <w:right w:val="none" w:sz="0" w:space="0" w:color="auto"/>
          </w:divBdr>
        </w:div>
      </w:divsChild>
    </w:div>
    <w:div w:id="269514524">
      <w:bodyDiv w:val="1"/>
      <w:marLeft w:val="0"/>
      <w:marRight w:val="0"/>
      <w:marTop w:val="0"/>
      <w:marBottom w:val="0"/>
      <w:divBdr>
        <w:top w:val="none" w:sz="0" w:space="0" w:color="auto"/>
        <w:left w:val="none" w:sz="0" w:space="0" w:color="auto"/>
        <w:bottom w:val="none" w:sz="0" w:space="0" w:color="auto"/>
        <w:right w:val="none" w:sz="0" w:space="0" w:color="auto"/>
      </w:divBdr>
    </w:div>
    <w:div w:id="271014273">
      <w:bodyDiv w:val="1"/>
      <w:marLeft w:val="0"/>
      <w:marRight w:val="0"/>
      <w:marTop w:val="0"/>
      <w:marBottom w:val="0"/>
      <w:divBdr>
        <w:top w:val="none" w:sz="0" w:space="0" w:color="auto"/>
        <w:left w:val="none" w:sz="0" w:space="0" w:color="auto"/>
        <w:bottom w:val="none" w:sz="0" w:space="0" w:color="auto"/>
        <w:right w:val="none" w:sz="0" w:space="0" w:color="auto"/>
      </w:divBdr>
    </w:div>
    <w:div w:id="280917961">
      <w:bodyDiv w:val="1"/>
      <w:marLeft w:val="0"/>
      <w:marRight w:val="0"/>
      <w:marTop w:val="0"/>
      <w:marBottom w:val="0"/>
      <w:divBdr>
        <w:top w:val="none" w:sz="0" w:space="0" w:color="auto"/>
        <w:left w:val="none" w:sz="0" w:space="0" w:color="auto"/>
        <w:bottom w:val="none" w:sz="0" w:space="0" w:color="auto"/>
        <w:right w:val="none" w:sz="0" w:space="0" w:color="auto"/>
      </w:divBdr>
    </w:div>
    <w:div w:id="290866738">
      <w:bodyDiv w:val="1"/>
      <w:marLeft w:val="0"/>
      <w:marRight w:val="0"/>
      <w:marTop w:val="0"/>
      <w:marBottom w:val="0"/>
      <w:divBdr>
        <w:top w:val="none" w:sz="0" w:space="0" w:color="auto"/>
        <w:left w:val="none" w:sz="0" w:space="0" w:color="auto"/>
        <w:bottom w:val="none" w:sz="0" w:space="0" w:color="auto"/>
        <w:right w:val="none" w:sz="0" w:space="0" w:color="auto"/>
      </w:divBdr>
    </w:div>
    <w:div w:id="363864759">
      <w:bodyDiv w:val="1"/>
      <w:marLeft w:val="0"/>
      <w:marRight w:val="0"/>
      <w:marTop w:val="0"/>
      <w:marBottom w:val="0"/>
      <w:divBdr>
        <w:top w:val="none" w:sz="0" w:space="0" w:color="auto"/>
        <w:left w:val="none" w:sz="0" w:space="0" w:color="auto"/>
        <w:bottom w:val="none" w:sz="0" w:space="0" w:color="auto"/>
        <w:right w:val="none" w:sz="0" w:space="0" w:color="auto"/>
      </w:divBdr>
    </w:div>
    <w:div w:id="372971146">
      <w:bodyDiv w:val="1"/>
      <w:marLeft w:val="0"/>
      <w:marRight w:val="0"/>
      <w:marTop w:val="0"/>
      <w:marBottom w:val="0"/>
      <w:divBdr>
        <w:top w:val="none" w:sz="0" w:space="0" w:color="auto"/>
        <w:left w:val="none" w:sz="0" w:space="0" w:color="auto"/>
        <w:bottom w:val="none" w:sz="0" w:space="0" w:color="auto"/>
        <w:right w:val="none" w:sz="0" w:space="0" w:color="auto"/>
      </w:divBdr>
      <w:divsChild>
        <w:div w:id="173500817">
          <w:marLeft w:val="432"/>
          <w:marRight w:val="0"/>
          <w:marTop w:val="160"/>
          <w:marBottom w:val="160"/>
          <w:divBdr>
            <w:top w:val="none" w:sz="0" w:space="0" w:color="auto"/>
            <w:left w:val="none" w:sz="0" w:space="0" w:color="auto"/>
            <w:bottom w:val="none" w:sz="0" w:space="0" w:color="auto"/>
            <w:right w:val="none" w:sz="0" w:space="0" w:color="auto"/>
          </w:divBdr>
        </w:div>
        <w:div w:id="318309851">
          <w:marLeft w:val="432"/>
          <w:marRight w:val="0"/>
          <w:marTop w:val="160"/>
          <w:marBottom w:val="160"/>
          <w:divBdr>
            <w:top w:val="none" w:sz="0" w:space="0" w:color="auto"/>
            <w:left w:val="none" w:sz="0" w:space="0" w:color="auto"/>
            <w:bottom w:val="none" w:sz="0" w:space="0" w:color="auto"/>
            <w:right w:val="none" w:sz="0" w:space="0" w:color="auto"/>
          </w:divBdr>
        </w:div>
        <w:div w:id="961032916">
          <w:marLeft w:val="432"/>
          <w:marRight w:val="0"/>
          <w:marTop w:val="160"/>
          <w:marBottom w:val="160"/>
          <w:divBdr>
            <w:top w:val="none" w:sz="0" w:space="0" w:color="auto"/>
            <w:left w:val="none" w:sz="0" w:space="0" w:color="auto"/>
            <w:bottom w:val="none" w:sz="0" w:space="0" w:color="auto"/>
            <w:right w:val="none" w:sz="0" w:space="0" w:color="auto"/>
          </w:divBdr>
        </w:div>
      </w:divsChild>
    </w:div>
    <w:div w:id="401684916">
      <w:bodyDiv w:val="1"/>
      <w:marLeft w:val="0"/>
      <w:marRight w:val="0"/>
      <w:marTop w:val="0"/>
      <w:marBottom w:val="0"/>
      <w:divBdr>
        <w:top w:val="none" w:sz="0" w:space="0" w:color="auto"/>
        <w:left w:val="none" w:sz="0" w:space="0" w:color="auto"/>
        <w:bottom w:val="none" w:sz="0" w:space="0" w:color="auto"/>
        <w:right w:val="none" w:sz="0" w:space="0" w:color="auto"/>
      </w:divBdr>
    </w:div>
    <w:div w:id="404381621">
      <w:bodyDiv w:val="1"/>
      <w:marLeft w:val="0"/>
      <w:marRight w:val="0"/>
      <w:marTop w:val="0"/>
      <w:marBottom w:val="0"/>
      <w:divBdr>
        <w:top w:val="none" w:sz="0" w:space="0" w:color="auto"/>
        <w:left w:val="none" w:sz="0" w:space="0" w:color="auto"/>
        <w:bottom w:val="none" w:sz="0" w:space="0" w:color="auto"/>
        <w:right w:val="none" w:sz="0" w:space="0" w:color="auto"/>
      </w:divBdr>
    </w:div>
    <w:div w:id="428040664">
      <w:bodyDiv w:val="1"/>
      <w:marLeft w:val="0"/>
      <w:marRight w:val="0"/>
      <w:marTop w:val="0"/>
      <w:marBottom w:val="0"/>
      <w:divBdr>
        <w:top w:val="none" w:sz="0" w:space="0" w:color="auto"/>
        <w:left w:val="none" w:sz="0" w:space="0" w:color="auto"/>
        <w:bottom w:val="none" w:sz="0" w:space="0" w:color="auto"/>
        <w:right w:val="none" w:sz="0" w:space="0" w:color="auto"/>
      </w:divBdr>
    </w:div>
    <w:div w:id="433719432">
      <w:bodyDiv w:val="1"/>
      <w:marLeft w:val="0"/>
      <w:marRight w:val="0"/>
      <w:marTop w:val="0"/>
      <w:marBottom w:val="0"/>
      <w:divBdr>
        <w:top w:val="none" w:sz="0" w:space="0" w:color="auto"/>
        <w:left w:val="none" w:sz="0" w:space="0" w:color="auto"/>
        <w:bottom w:val="none" w:sz="0" w:space="0" w:color="auto"/>
        <w:right w:val="none" w:sz="0" w:space="0" w:color="auto"/>
      </w:divBdr>
    </w:div>
    <w:div w:id="450636965">
      <w:bodyDiv w:val="1"/>
      <w:marLeft w:val="0"/>
      <w:marRight w:val="0"/>
      <w:marTop w:val="0"/>
      <w:marBottom w:val="0"/>
      <w:divBdr>
        <w:top w:val="none" w:sz="0" w:space="0" w:color="auto"/>
        <w:left w:val="none" w:sz="0" w:space="0" w:color="auto"/>
        <w:bottom w:val="none" w:sz="0" w:space="0" w:color="auto"/>
        <w:right w:val="none" w:sz="0" w:space="0" w:color="auto"/>
      </w:divBdr>
    </w:div>
    <w:div w:id="476653507">
      <w:bodyDiv w:val="1"/>
      <w:marLeft w:val="0"/>
      <w:marRight w:val="0"/>
      <w:marTop w:val="0"/>
      <w:marBottom w:val="0"/>
      <w:divBdr>
        <w:top w:val="none" w:sz="0" w:space="0" w:color="auto"/>
        <w:left w:val="none" w:sz="0" w:space="0" w:color="auto"/>
        <w:bottom w:val="none" w:sz="0" w:space="0" w:color="auto"/>
        <w:right w:val="none" w:sz="0" w:space="0" w:color="auto"/>
      </w:divBdr>
    </w:div>
    <w:div w:id="483814658">
      <w:bodyDiv w:val="1"/>
      <w:marLeft w:val="0"/>
      <w:marRight w:val="0"/>
      <w:marTop w:val="0"/>
      <w:marBottom w:val="0"/>
      <w:divBdr>
        <w:top w:val="none" w:sz="0" w:space="0" w:color="auto"/>
        <w:left w:val="none" w:sz="0" w:space="0" w:color="auto"/>
        <w:bottom w:val="none" w:sz="0" w:space="0" w:color="auto"/>
        <w:right w:val="none" w:sz="0" w:space="0" w:color="auto"/>
      </w:divBdr>
      <w:divsChild>
        <w:div w:id="861820966">
          <w:marLeft w:val="144"/>
          <w:marRight w:val="0"/>
          <w:marTop w:val="260"/>
          <w:marBottom w:val="0"/>
          <w:divBdr>
            <w:top w:val="none" w:sz="0" w:space="0" w:color="auto"/>
            <w:left w:val="none" w:sz="0" w:space="0" w:color="auto"/>
            <w:bottom w:val="none" w:sz="0" w:space="0" w:color="auto"/>
            <w:right w:val="none" w:sz="0" w:space="0" w:color="auto"/>
          </w:divBdr>
        </w:div>
        <w:div w:id="1068503062">
          <w:marLeft w:val="144"/>
          <w:marRight w:val="0"/>
          <w:marTop w:val="260"/>
          <w:marBottom w:val="0"/>
          <w:divBdr>
            <w:top w:val="none" w:sz="0" w:space="0" w:color="auto"/>
            <w:left w:val="none" w:sz="0" w:space="0" w:color="auto"/>
            <w:bottom w:val="none" w:sz="0" w:space="0" w:color="auto"/>
            <w:right w:val="none" w:sz="0" w:space="0" w:color="auto"/>
          </w:divBdr>
        </w:div>
      </w:divsChild>
    </w:div>
    <w:div w:id="512767163">
      <w:bodyDiv w:val="1"/>
      <w:marLeft w:val="0"/>
      <w:marRight w:val="0"/>
      <w:marTop w:val="0"/>
      <w:marBottom w:val="0"/>
      <w:divBdr>
        <w:top w:val="none" w:sz="0" w:space="0" w:color="auto"/>
        <w:left w:val="none" w:sz="0" w:space="0" w:color="auto"/>
        <w:bottom w:val="none" w:sz="0" w:space="0" w:color="auto"/>
        <w:right w:val="none" w:sz="0" w:space="0" w:color="auto"/>
      </w:divBdr>
      <w:divsChild>
        <w:div w:id="170753921">
          <w:marLeft w:val="144"/>
          <w:marRight w:val="0"/>
          <w:marTop w:val="260"/>
          <w:marBottom w:val="0"/>
          <w:divBdr>
            <w:top w:val="none" w:sz="0" w:space="0" w:color="auto"/>
            <w:left w:val="none" w:sz="0" w:space="0" w:color="auto"/>
            <w:bottom w:val="none" w:sz="0" w:space="0" w:color="auto"/>
            <w:right w:val="none" w:sz="0" w:space="0" w:color="auto"/>
          </w:divBdr>
        </w:div>
        <w:div w:id="367267294">
          <w:marLeft w:val="144"/>
          <w:marRight w:val="0"/>
          <w:marTop w:val="260"/>
          <w:marBottom w:val="0"/>
          <w:divBdr>
            <w:top w:val="none" w:sz="0" w:space="0" w:color="auto"/>
            <w:left w:val="none" w:sz="0" w:space="0" w:color="auto"/>
            <w:bottom w:val="none" w:sz="0" w:space="0" w:color="auto"/>
            <w:right w:val="none" w:sz="0" w:space="0" w:color="auto"/>
          </w:divBdr>
        </w:div>
      </w:divsChild>
    </w:div>
    <w:div w:id="526063764">
      <w:bodyDiv w:val="1"/>
      <w:marLeft w:val="0"/>
      <w:marRight w:val="0"/>
      <w:marTop w:val="0"/>
      <w:marBottom w:val="0"/>
      <w:divBdr>
        <w:top w:val="none" w:sz="0" w:space="0" w:color="auto"/>
        <w:left w:val="none" w:sz="0" w:space="0" w:color="auto"/>
        <w:bottom w:val="none" w:sz="0" w:space="0" w:color="auto"/>
        <w:right w:val="none" w:sz="0" w:space="0" w:color="auto"/>
      </w:divBdr>
    </w:div>
    <w:div w:id="533881910">
      <w:bodyDiv w:val="1"/>
      <w:marLeft w:val="0"/>
      <w:marRight w:val="0"/>
      <w:marTop w:val="0"/>
      <w:marBottom w:val="0"/>
      <w:divBdr>
        <w:top w:val="none" w:sz="0" w:space="0" w:color="auto"/>
        <w:left w:val="none" w:sz="0" w:space="0" w:color="auto"/>
        <w:bottom w:val="none" w:sz="0" w:space="0" w:color="auto"/>
        <w:right w:val="none" w:sz="0" w:space="0" w:color="auto"/>
      </w:divBdr>
    </w:div>
    <w:div w:id="557400883">
      <w:bodyDiv w:val="1"/>
      <w:marLeft w:val="0"/>
      <w:marRight w:val="0"/>
      <w:marTop w:val="0"/>
      <w:marBottom w:val="0"/>
      <w:divBdr>
        <w:top w:val="none" w:sz="0" w:space="0" w:color="auto"/>
        <w:left w:val="none" w:sz="0" w:space="0" w:color="auto"/>
        <w:bottom w:val="none" w:sz="0" w:space="0" w:color="auto"/>
        <w:right w:val="none" w:sz="0" w:space="0" w:color="auto"/>
      </w:divBdr>
      <w:divsChild>
        <w:div w:id="344946044">
          <w:marLeft w:val="1138"/>
          <w:marRight w:val="0"/>
          <w:marTop w:val="120"/>
          <w:marBottom w:val="0"/>
          <w:divBdr>
            <w:top w:val="none" w:sz="0" w:space="0" w:color="auto"/>
            <w:left w:val="none" w:sz="0" w:space="0" w:color="auto"/>
            <w:bottom w:val="none" w:sz="0" w:space="0" w:color="auto"/>
            <w:right w:val="none" w:sz="0" w:space="0" w:color="auto"/>
          </w:divBdr>
        </w:div>
        <w:div w:id="706679116">
          <w:marLeft w:val="1138"/>
          <w:marRight w:val="0"/>
          <w:marTop w:val="120"/>
          <w:marBottom w:val="0"/>
          <w:divBdr>
            <w:top w:val="none" w:sz="0" w:space="0" w:color="auto"/>
            <w:left w:val="none" w:sz="0" w:space="0" w:color="auto"/>
            <w:bottom w:val="none" w:sz="0" w:space="0" w:color="auto"/>
            <w:right w:val="none" w:sz="0" w:space="0" w:color="auto"/>
          </w:divBdr>
        </w:div>
        <w:div w:id="774908468">
          <w:marLeft w:val="1138"/>
          <w:marRight w:val="0"/>
          <w:marTop w:val="120"/>
          <w:marBottom w:val="0"/>
          <w:divBdr>
            <w:top w:val="none" w:sz="0" w:space="0" w:color="auto"/>
            <w:left w:val="none" w:sz="0" w:space="0" w:color="auto"/>
            <w:bottom w:val="none" w:sz="0" w:space="0" w:color="auto"/>
            <w:right w:val="none" w:sz="0" w:space="0" w:color="auto"/>
          </w:divBdr>
        </w:div>
        <w:div w:id="841430234">
          <w:marLeft w:val="1138"/>
          <w:marRight w:val="0"/>
          <w:marTop w:val="120"/>
          <w:marBottom w:val="0"/>
          <w:divBdr>
            <w:top w:val="none" w:sz="0" w:space="0" w:color="auto"/>
            <w:left w:val="none" w:sz="0" w:space="0" w:color="auto"/>
            <w:bottom w:val="none" w:sz="0" w:space="0" w:color="auto"/>
            <w:right w:val="none" w:sz="0" w:space="0" w:color="auto"/>
          </w:divBdr>
        </w:div>
        <w:div w:id="1180895726">
          <w:marLeft w:val="1138"/>
          <w:marRight w:val="0"/>
          <w:marTop w:val="120"/>
          <w:marBottom w:val="0"/>
          <w:divBdr>
            <w:top w:val="none" w:sz="0" w:space="0" w:color="auto"/>
            <w:left w:val="none" w:sz="0" w:space="0" w:color="auto"/>
            <w:bottom w:val="none" w:sz="0" w:space="0" w:color="auto"/>
            <w:right w:val="none" w:sz="0" w:space="0" w:color="auto"/>
          </w:divBdr>
        </w:div>
        <w:div w:id="1222133752">
          <w:marLeft w:val="1138"/>
          <w:marRight w:val="0"/>
          <w:marTop w:val="120"/>
          <w:marBottom w:val="0"/>
          <w:divBdr>
            <w:top w:val="none" w:sz="0" w:space="0" w:color="auto"/>
            <w:left w:val="none" w:sz="0" w:space="0" w:color="auto"/>
            <w:bottom w:val="none" w:sz="0" w:space="0" w:color="auto"/>
            <w:right w:val="none" w:sz="0" w:space="0" w:color="auto"/>
          </w:divBdr>
        </w:div>
        <w:div w:id="1266687886">
          <w:marLeft w:val="1138"/>
          <w:marRight w:val="0"/>
          <w:marTop w:val="120"/>
          <w:marBottom w:val="0"/>
          <w:divBdr>
            <w:top w:val="none" w:sz="0" w:space="0" w:color="auto"/>
            <w:left w:val="none" w:sz="0" w:space="0" w:color="auto"/>
            <w:bottom w:val="none" w:sz="0" w:space="0" w:color="auto"/>
            <w:right w:val="none" w:sz="0" w:space="0" w:color="auto"/>
          </w:divBdr>
        </w:div>
        <w:div w:id="1415198632">
          <w:marLeft w:val="1138"/>
          <w:marRight w:val="0"/>
          <w:marTop w:val="120"/>
          <w:marBottom w:val="0"/>
          <w:divBdr>
            <w:top w:val="none" w:sz="0" w:space="0" w:color="auto"/>
            <w:left w:val="none" w:sz="0" w:space="0" w:color="auto"/>
            <w:bottom w:val="none" w:sz="0" w:space="0" w:color="auto"/>
            <w:right w:val="none" w:sz="0" w:space="0" w:color="auto"/>
          </w:divBdr>
        </w:div>
        <w:div w:id="1533571471">
          <w:marLeft w:val="1138"/>
          <w:marRight w:val="0"/>
          <w:marTop w:val="120"/>
          <w:marBottom w:val="0"/>
          <w:divBdr>
            <w:top w:val="none" w:sz="0" w:space="0" w:color="auto"/>
            <w:left w:val="none" w:sz="0" w:space="0" w:color="auto"/>
            <w:bottom w:val="none" w:sz="0" w:space="0" w:color="auto"/>
            <w:right w:val="none" w:sz="0" w:space="0" w:color="auto"/>
          </w:divBdr>
        </w:div>
        <w:div w:id="1924022331">
          <w:marLeft w:val="1138"/>
          <w:marRight w:val="0"/>
          <w:marTop w:val="120"/>
          <w:marBottom w:val="0"/>
          <w:divBdr>
            <w:top w:val="none" w:sz="0" w:space="0" w:color="auto"/>
            <w:left w:val="none" w:sz="0" w:space="0" w:color="auto"/>
            <w:bottom w:val="none" w:sz="0" w:space="0" w:color="auto"/>
            <w:right w:val="none" w:sz="0" w:space="0" w:color="auto"/>
          </w:divBdr>
        </w:div>
      </w:divsChild>
    </w:div>
    <w:div w:id="596249955">
      <w:bodyDiv w:val="1"/>
      <w:marLeft w:val="0"/>
      <w:marRight w:val="0"/>
      <w:marTop w:val="0"/>
      <w:marBottom w:val="0"/>
      <w:divBdr>
        <w:top w:val="none" w:sz="0" w:space="0" w:color="auto"/>
        <w:left w:val="none" w:sz="0" w:space="0" w:color="auto"/>
        <w:bottom w:val="none" w:sz="0" w:space="0" w:color="auto"/>
        <w:right w:val="none" w:sz="0" w:space="0" w:color="auto"/>
      </w:divBdr>
    </w:div>
    <w:div w:id="605625074">
      <w:bodyDiv w:val="1"/>
      <w:marLeft w:val="0"/>
      <w:marRight w:val="0"/>
      <w:marTop w:val="0"/>
      <w:marBottom w:val="0"/>
      <w:divBdr>
        <w:top w:val="none" w:sz="0" w:space="0" w:color="auto"/>
        <w:left w:val="none" w:sz="0" w:space="0" w:color="auto"/>
        <w:bottom w:val="none" w:sz="0" w:space="0" w:color="auto"/>
        <w:right w:val="none" w:sz="0" w:space="0" w:color="auto"/>
      </w:divBdr>
      <w:divsChild>
        <w:div w:id="124734383">
          <w:marLeft w:val="144"/>
          <w:marRight w:val="0"/>
          <w:marTop w:val="260"/>
          <w:marBottom w:val="0"/>
          <w:divBdr>
            <w:top w:val="none" w:sz="0" w:space="0" w:color="auto"/>
            <w:left w:val="none" w:sz="0" w:space="0" w:color="auto"/>
            <w:bottom w:val="none" w:sz="0" w:space="0" w:color="auto"/>
            <w:right w:val="none" w:sz="0" w:space="0" w:color="auto"/>
          </w:divBdr>
        </w:div>
        <w:div w:id="362292670">
          <w:marLeft w:val="144"/>
          <w:marRight w:val="0"/>
          <w:marTop w:val="260"/>
          <w:marBottom w:val="0"/>
          <w:divBdr>
            <w:top w:val="none" w:sz="0" w:space="0" w:color="auto"/>
            <w:left w:val="none" w:sz="0" w:space="0" w:color="auto"/>
            <w:bottom w:val="none" w:sz="0" w:space="0" w:color="auto"/>
            <w:right w:val="none" w:sz="0" w:space="0" w:color="auto"/>
          </w:divBdr>
        </w:div>
        <w:div w:id="954411578">
          <w:marLeft w:val="144"/>
          <w:marRight w:val="0"/>
          <w:marTop w:val="260"/>
          <w:marBottom w:val="0"/>
          <w:divBdr>
            <w:top w:val="none" w:sz="0" w:space="0" w:color="auto"/>
            <w:left w:val="none" w:sz="0" w:space="0" w:color="auto"/>
            <w:bottom w:val="none" w:sz="0" w:space="0" w:color="auto"/>
            <w:right w:val="none" w:sz="0" w:space="0" w:color="auto"/>
          </w:divBdr>
        </w:div>
        <w:div w:id="1078215592">
          <w:marLeft w:val="144"/>
          <w:marRight w:val="0"/>
          <w:marTop w:val="260"/>
          <w:marBottom w:val="0"/>
          <w:divBdr>
            <w:top w:val="none" w:sz="0" w:space="0" w:color="auto"/>
            <w:left w:val="none" w:sz="0" w:space="0" w:color="auto"/>
            <w:bottom w:val="none" w:sz="0" w:space="0" w:color="auto"/>
            <w:right w:val="none" w:sz="0" w:space="0" w:color="auto"/>
          </w:divBdr>
        </w:div>
        <w:div w:id="1730347402">
          <w:marLeft w:val="144"/>
          <w:marRight w:val="0"/>
          <w:marTop w:val="260"/>
          <w:marBottom w:val="0"/>
          <w:divBdr>
            <w:top w:val="none" w:sz="0" w:space="0" w:color="auto"/>
            <w:left w:val="none" w:sz="0" w:space="0" w:color="auto"/>
            <w:bottom w:val="none" w:sz="0" w:space="0" w:color="auto"/>
            <w:right w:val="none" w:sz="0" w:space="0" w:color="auto"/>
          </w:divBdr>
        </w:div>
        <w:div w:id="1759063326">
          <w:marLeft w:val="144"/>
          <w:marRight w:val="0"/>
          <w:marTop w:val="260"/>
          <w:marBottom w:val="0"/>
          <w:divBdr>
            <w:top w:val="none" w:sz="0" w:space="0" w:color="auto"/>
            <w:left w:val="none" w:sz="0" w:space="0" w:color="auto"/>
            <w:bottom w:val="none" w:sz="0" w:space="0" w:color="auto"/>
            <w:right w:val="none" w:sz="0" w:space="0" w:color="auto"/>
          </w:divBdr>
        </w:div>
      </w:divsChild>
    </w:div>
    <w:div w:id="608003723">
      <w:bodyDiv w:val="1"/>
      <w:marLeft w:val="0"/>
      <w:marRight w:val="0"/>
      <w:marTop w:val="0"/>
      <w:marBottom w:val="0"/>
      <w:divBdr>
        <w:top w:val="none" w:sz="0" w:space="0" w:color="auto"/>
        <w:left w:val="none" w:sz="0" w:space="0" w:color="auto"/>
        <w:bottom w:val="none" w:sz="0" w:space="0" w:color="auto"/>
        <w:right w:val="none" w:sz="0" w:space="0" w:color="auto"/>
      </w:divBdr>
    </w:div>
    <w:div w:id="643240121">
      <w:bodyDiv w:val="1"/>
      <w:marLeft w:val="0"/>
      <w:marRight w:val="0"/>
      <w:marTop w:val="0"/>
      <w:marBottom w:val="0"/>
      <w:divBdr>
        <w:top w:val="none" w:sz="0" w:space="0" w:color="auto"/>
        <w:left w:val="none" w:sz="0" w:space="0" w:color="auto"/>
        <w:bottom w:val="none" w:sz="0" w:space="0" w:color="auto"/>
        <w:right w:val="none" w:sz="0" w:space="0" w:color="auto"/>
      </w:divBdr>
    </w:div>
    <w:div w:id="648631181">
      <w:bodyDiv w:val="1"/>
      <w:marLeft w:val="0"/>
      <w:marRight w:val="0"/>
      <w:marTop w:val="0"/>
      <w:marBottom w:val="0"/>
      <w:divBdr>
        <w:top w:val="none" w:sz="0" w:space="0" w:color="auto"/>
        <w:left w:val="none" w:sz="0" w:space="0" w:color="auto"/>
        <w:bottom w:val="none" w:sz="0" w:space="0" w:color="auto"/>
        <w:right w:val="none" w:sz="0" w:space="0" w:color="auto"/>
      </w:divBdr>
    </w:div>
    <w:div w:id="668217532">
      <w:bodyDiv w:val="1"/>
      <w:marLeft w:val="0"/>
      <w:marRight w:val="0"/>
      <w:marTop w:val="0"/>
      <w:marBottom w:val="0"/>
      <w:divBdr>
        <w:top w:val="none" w:sz="0" w:space="0" w:color="auto"/>
        <w:left w:val="none" w:sz="0" w:space="0" w:color="auto"/>
        <w:bottom w:val="none" w:sz="0" w:space="0" w:color="auto"/>
        <w:right w:val="none" w:sz="0" w:space="0" w:color="auto"/>
      </w:divBdr>
    </w:div>
    <w:div w:id="676812152">
      <w:bodyDiv w:val="1"/>
      <w:marLeft w:val="0"/>
      <w:marRight w:val="0"/>
      <w:marTop w:val="0"/>
      <w:marBottom w:val="0"/>
      <w:divBdr>
        <w:top w:val="none" w:sz="0" w:space="0" w:color="auto"/>
        <w:left w:val="none" w:sz="0" w:space="0" w:color="auto"/>
        <w:bottom w:val="none" w:sz="0" w:space="0" w:color="auto"/>
        <w:right w:val="none" w:sz="0" w:space="0" w:color="auto"/>
      </w:divBdr>
    </w:div>
    <w:div w:id="694041487">
      <w:bodyDiv w:val="1"/>
      <w:marLeft w:val="0"/>
      <w:marRight w:val="0"/>
      <w:marTop w:val="0"/>
      <w:marBottom w:val="0"/>
      <w:divBdr>
        <w:top w:val="none" w:sz="0" w:space="0" w:color="auto"/>
        <w:left w:val="none" w:sz="0" w:space="0" w:color="auto"/>
        <w:bottom w:val="none" w:sz="0" w:space="0" w:color="auto"/>
        <w:right w:val="none" w:sz="0" w:space="0" w:color="auto"/>
      </w:divBdr>
    </w:div>
    <w:div w:id="752899833">
      <w:bodyDiv w:val="1"/>
      <w:marLeft w:val="0"/>
      <w:marRight w:val="0"/>
      <w:marTop w:val="0"/>
      <w:marBottom w:val="0"/>
      <w:divBdr>
        <w:top w:val="none" w:sz="0" w:space="0" w:color="auto"/>
        <w:left w:val="none" w:sz="0" w:space="0" w:color="auto"/>
        <w:bottom w:val="none" w:sz="0" w:space="0" w:color="auto"/>
        <w:right w:val="none" w:sz="0" w:space="0" w:color="auto"/>
      </w:divBdr>
      <w:divsChild>
        <w:div w:id="331299885">
          <w:marLeft w:val="144"/>
          <w:marRight w:val="0"/>
          <w:marTop w:val="260"/>
          <w:marBottom w:val="0"/>
          <w:divBdr>
            <w:top w:val="none" w:sz="0" w:space="0" w:color="auto"/>
            <w:left w:val="none" w:sz="0" w:space="0" w:color="auto"/>
            <w:bottom w:val="none" w:sz="0" w:space="0" w:color="auto"/>
            <w:right w:val="none" w:sz="0" w:space="0" w:color="auto"/>
          </w:divBdr>
        </w:div>
      </w:divsChild>
    </w:div>
    <w:div w:id="756023725">
      <w:bodyDiv w:val="1"/>
      <w:marLeft w:val="0"/>
      <w:marRight w:val="0"/>
      <w:marTop w:val="0"/>
      <w:marBottom w:val="0"/>
      <w:divBdr>
        <w:top w:val="none" w:sz="0" w:space="0" w:color="auto"/>
        <w:left w:val="none" w:sz="0" w:space="0" w:color="auto"/>
        <w:bottom w:val="none" w:sz="0" w:space="0" w:color="auto"/>
        <w:right w:val="none" w:sz="0" w:space="0" w:color="auto"/>
      </w:divBdr>
    </w:div>
    <w:div w:id="770466490">
      <w:bodyDiv w:val="1"/>
      <w:marLeft w:val="0"/>
      <w:marRight w:val="0"/>
      <w:marTop w:val="0"/>
      <w:marBottom w:val="0"/>
      <w:divBdr>
        <w:top w:val="none" w:sz="0" w:space="0" w:color="auto"/>
        <w:left w:val="none" w:sz="0" w:space="0" w:color="auto"/>
        <w:bottom w:val="none" w:sz="0" w:space="0" w:color="auto"/>
        <w:right w:val="none" w:sz="0" w:space="0" w:color="auto"/>
      </w:divBdr>
      <w:divsChild>
        <w:div w:id="1087727689">
          <w:marLeft w:val="144"/>
          <w:marRight w:val="0"/>
          <w:marTop w:val="260"/>
          <w:marBottom w:val="0"/>
          <w:divBdr>
            <w:top w:val="none" w:sz="0" w:space="0" w:color="auto"/>
            <w:left w:val="none" w:sz="0" w:space="0" w:color="auto"/>
            <w:bottom w:val="none" w:sz="0" w:space="0" w:color="auto"/>
            <w:right w:val="none" w:sz="0" w:space="0" w:color="auto"/>
          </w:divBdr>
        </w:div>
        <w:div w:id="1305115848">
          <w:marLeft w:val="144"/>
          <w:marRight w:val="0"/>
          <w:marTop w:val="260"/>
          <w:marBottom w:val="0"/>
          <w:divBdr>
            <w:top w:val="none" w:sz="0" w:space="0" w:color="auto"/>
            <w:left w:val="none" w:sz="0" w:space="0" w:color="auto"/>
            <w:bottom w:val="none" w:sz="0" w:space="0" w:color="auto"/>
            <w:right w:val="none" w:sz="0" w:space="0" w:color="auto"/>
          </w:divBdr>
        </w:div>
      </w:divsChild>
    </w:div>
    <w:div w:id="802038203">
      <w:bodyDiv w:val="1"/>
      <w:marLeft w:val="0"/>
      <w:marRight w:val="0"/>
      <w:marTop w:val="0"/>
      <w:marBottom w:val="0"/>
      <w:divBdr>
        <w:top w:val="none" w:sz="0" w:space="0" w:color="auto"/>
        <w:left w:val="none" w:sz="0" w:space="0" w:color="auto"/>
        <w:bottom w:val="none" w:sz="0" w:space="0" w:color="auto"/>
        <w:right w:val="none" w:sz="0" w:space="0" w:color="auto"/>
      </w:divBdr>
    </w:div>
    <w:div w:id="838468325">
      <w:bodyDiv w:val="1"/>
      <w:marLeft w:val="0"/>
      <w:marRight w:val="0"/>
      <w:marTop w:val="0"/>
      <w:marBottom w:val="0"/>
      <w:divBdr>
        <w:top w:val="none" w:sz="0" w:space="0" w:color="auto"/>
        <w:left w:val="none" w:sz="0" w:space="0" w:color="auto"/>
        <w:bottom w:val="none" w:sz="0" w:space="0" w:color="auto"/>
        <w:right w:val="none" w:sz="0" w:space="0" w:color="auto"/>
      </w:divBdr>
    </w:div>
    <w:div w:id="863709547">
      <w:bodyDiv w:val="1"/>
      <w:marLeft w:val="0"/>
      <w:marRight w:val="0"/>
      <w:marTop w:val="0"/>
      <w:marBottom w:val="0"/>
      <w:divBdr>
        <w:top w:val="none" w:sz="0" w:space="0" w:color="auto"/>
        <w:left w:val="none" w:sz="0" w:space="0" w:color="auto"/>
        <w:bottom w:val="none" w:sz="0" w:space="0" w:color="auto"/>
        <w:right w:val="none" w:sz="0" w:space="0" w:color="auto"/>
      </w:divBdr>
    </w:div>
    <w:div w:id="877622701">
      <w:bodyDiv w:val="1"/>
      <w:marLeft w:val="0"/>
      <w:marRight w:val="0"/>
      <w:marTop w:val="0"/>
      <w:marBottom w:val="0"/>
      <w:divBdr>
        <w:top w:val="none" w:sz="0" w:space="0" w:color="auto"/>
        <w:left w:val="none" w:sz="0" w:space="0" w:color="auto"/>
        <w:bottom w:val="none" w:sz="0" w:space="0" w:color="auto"/>
        <w:right w:val="none" w:sz="0" w:space="0" w:color="auto"/>
      </w:divBdr>
    </w:div>
    <w:div w:id="888422488">
      <w:bodyDiv w:val="1"/>
      <w:marLeft w:val="0"/>
      <w:marRight w:val="0"/>
      <w:marTop w:val="0"/>
      <w:marBottom w:val="0"/>
      <w:divBdr>
        <w:top w:val="none" w:sz="0" w:space="0" w:color="auto"/>
        <w:left w:val="none" w:sz="0" w:space="0" w:color="auto"/>
        <w:bottom w:val="none" w:sz="0" w:space="0" w:color="auto"/>
        <w:right w:val="none" w:sz="0" w:space="0" w:color="auto"/>
      </w:divBdr>
      <w:divsChild>
        <w:div w:id="1294217748">
          <w:marLeft w:val="547"/>
          <w:marRight w:val="0"/>
          <w:marTop w:val="0"/>
          <w:marBottom w:val="0"/>
          <w:divBdr>
            <w:top w:val="none" w:sz="0" w:space="0" w:color="auto"/>
            <w:left w:val="none" w:sz="0" w:space="0" w:color="auto"/>
            <w:bottom w:val="none" w:sz="0" w:space="0" w:color="auto"/>
            <w:right w:val="none" w:sz="0" w:space="0" w:color="auto"/>
          </w:divBdr>
        </w:div>
      </w:divsChild>
    </w:div>
    <w:div w:id="967275277">
      <w:bodyDiv w:val="1"/>
      <w:marLeft w:val="0"/>
      <w:marRight w:val="0"/>
      <w:marTop w:val="0"/>
      <w:marBottom w:val="0"/>
      <w:divBdr>
        <w:top w:val="none" w:sz="0" w:space="0" w:color="auto"/>
        <w:left w:val="none" w:sz="0" w:space="0" w:color="auto"/>
        <w:bottom w:val="none" w:sz="0" w:space="0" w:color="auto"/>
        <w:right w:val="none" w:sz="0" w:space="0" w:color="auto"/>
      </w:divBdr>
    </w:div>
    <w:div w:id="997269228">
      <w:bodyDiv w:val="1"/>
      <w:marLeft w:val="0"/>
      <w:marRight w:val="0"/>
      <w:marTop w:val="0"/>
      <w:marBottom w:val="0"/>
      <w:divBdr>
        <w:top w:val="none" w:sz="0" w:space="0" w:color="auto"/>
        <w:left w:val="none" w:sz="0" w:space="0" w:color="auto"/>
        <w:bottom w:val="none" w:sz="0" w:space="0" w:color="auto"/>
        <w:right w:val="none" w:sz="0" w:space="0" w:color="auto"/>
      </w:divBdr>
    </w:div>
    <w:div w:id="1023747152">
      <w:bodyDiv w:val="1"/>
      <w:marLeft w:val="0"/>
      <w:marRight w:val="0"/>
      <w:marTop w:val="0"/>
      <w:marBottom w:val="0"/>
      <w:divBdr>
        <w:top w:val="none" w:sz="0" w:space="0" w:color="auto"/>
        <w:left w:val="none" w:sz="0" w:space="0" w:color="auto"/>
        <w:bottom w:val="none" w:sz="0" w:space="0" w:color="auto"/>
        <w:right w:val="none" w:sz="0" w:space="0" w:color="auto"/>
      </w:divBdr>
      <w:divsChild>
        <w:div w:id="110445761">
          <w:marLeft w:val="144"/>
          <w:marRight w:val="0"/>
          <w:marTop w:val="260"/>
          <w:marBottom w:val="0"/>
          <w:divBdr>
            <w:top w:val="none" w:sz="0" w:space="0" w:color="auto"/>
            <w:left w:val="none" w:sz="0" w:space="0" w:color="auto"/>
            <w:bottom w:val="none" w:sz="0" w:space="0" w:color="auto"/>
            <w:right w:val="none" w:sz="0" w:space="0" w:color="auto"/>
          </w:divBdr>
        </w:div>
        <w:div w:id="1533494867">
          <w:marLeft w:val="144"/>
          <w:marRight w:val="0"/>
          <w:marTop w:val="260"/>
          <w:marBottom w:val="0"/>
          <w:divBdr>
            <w:top w:val="none" w:sz="0" w:space="0" w:color="auto"/>
            <w:left w:val="none" w:sz="0" w:space="0" w:color="auto"/>
            <w:bottom w:val="none" w:sz="0" w:space="0" w:color="auto"/>
            <w:right w:val="none" w:sz="0" w:space="0" w:color="auto"/>
          </w:divBdr>
        </w:div>
      </w:divsChild>
    </w:div>
    <w:div w:id="1054042771">
      <w:bodyDiv w:val="1"/>
      <w:marLeft w:val="0"/>
      <w:marRight w:val="0"/>
      <w:marTop w:val="0"/>
      <w:marBottom w:val="0"/>
      <w:divBdr>
        <w:top w:val="none" w:sz="0" w:space="0" w:color="auto"/>
        <w:left w:val="none" w:sz="0" w:space="0" w:color="auto"/>
        <w:bottom w:val="none" w:sz="0" w:space="0" w:color="auto"/>
        <w:right w:val="none" w:sz="0" w:space="0" w:color="auto"/>
      </w:divBdr>
    </w:div>
    <w:div w:id="1069158858">
      <w:bodyDiv w:val="1"/>
      <w:marLeft w:val="0"/>
      <w:marRight w:val="0"/>
      <w:marTop w:val="0"/>
      <w:marBottom w:val="0"/>
      <w:divBdr>
        <w:top w:val="none" w:sz="0" w:space="0" w:color="auto"/>
        <w:left w:val="none" w:sz="0" w:space="0" w:color="auto"/>
        <w:bottom w:val="none" w:sz="0" w:space="0" w:color="auto"/>
        <w:right w:val="none" w:sz="0" w:space="0" w:color="auto"/>
      </w:divBdr>
    </w:div>
    <w:div w:id="1088498486">
      <w:bodyDiv w:val="1"/>
      <w:marLeft w:val="0"/>
      <w:marRight w:val="0"/>
      <w:marTop w:val="0"/>
      <w:marBottom w:val="0"/>
      <w:divBdr>
        <w:top w:val="none" w:sz="0" w:space="0" w:color="auto"/>
        <w:left w:val="none" w:sz="0" w:space="0" w:color="auto"/>
        <w:bottom w:val="none" w:sz="0" w:space="0" w:color="auto"/>
        <w:right w:val="none" w:sz="0" w:space="0" w:color="auto"/>
      </w:divBdr>
    </w:div>
    <w:div w:id="1089353640">
      <w:bodyDiv w:val="1"/>
      <w:marLeft w:val="0"/>
      <w:marRight w:val="0"/>
      <w:marTop w:val="0"/>
      <w:marBottom w:val="0"/>
      <w:divBdr>
        <w:top w:val="none" w:sz="0" w:space="0" w:color="auto"/>
        <w:left w:val="none" w:sz="0" w:space="0" w:color="auto"/>
        <w:bottom w:val="none" w:sz="0" w:space="0" w:color="auto"/>
        <w:right w:val="none" w:sz="0" w:space="0" w:color="auto"/>
      </w:divBdr>
    </w:div>
    <w:div w:id="1094592122">
      <w:bodyDiv w:val="1"/>
      <w:marLeft w:val="0"/>
      <w:marRight w:val="0"/>
      <w:marTop w:val="0"/>
      <w:marBottom w:val="0"/>
      <w:divBdr>
        <w:top w:val="none" w:sz="0" w:space="0" w:color="auto"/>
        <w:left w:val="none" w:sz="0" w:space="0" w:color="auto"/>
        <w:bottom w:val="none" w:sz="0" w:space="0" w:color="auto"/>
        <w:right w:val="none" w:sz="0" w:space="0" w:color="auto"/>
      </w:divBdr>
    </w:div>
    <w:div w:id="1107431886">
      <w:bodyDiv w:val="1"/>
      <w:marLeft w:val="0"/>
      <w:marRight w:val="0"/>
      <w:marTop w:val="0"/>
      <w:marBottom w:val="0"/>
      <w:divBdr>
        <w:top w:val="none" w:sz="0" w:space="0" w:color="auto"/>
        <w:left w:val="none" w:sz="0" w:space="0" w:color="auto"/>
        <w:bottom w:val="none" w:sz="0" w:space="0" w:color="auto"/>
        <w:right w:val="none" w:sz="0" w:space="0" w:color="auto"/>
      </w:divBdr>
      <w:divsChild>
        <w:div w:id="47801962">
          <w:marLeft w:val="1138"/>
          <w:marRight w:val="0"/>
          <w:marTop w:val="120"/>
          <w:marBottom w:val="0"/>
          <w:divBdr>
            <w:top w:val="none" w:sz="0" w:space="0" w:color="auto"/>
            <w:left w:val="none" w:sz="0" w:space="0" w:color="auto"/>
            <w:bottom w:val="none" w:sz="0" w:space="0" w:color="auto"/>
            <w:right w:val="none" w:sz="0" w:space="0" w:color="auto"/>
          </w:divBdr>
        </w:div>
        <w:div w:id="145973981">
          <w:marLeft w:val="1138"/>
          <w:marRight w:val="0"/>
          <w:marTop w:val="120"/>
          <w:marBottom w:val="0"/>
          <w:divBdr>
            <w:top w:val="none" w:sz="0" w:space="0" w:color="auto"/>
            <w:left w:val="none" w:sz="0" w:space="0" w:color="auto"/>
            <w:bottom w:val="none" w:sz="0" w:space="0" w:color="auto"/>
            <w:right w:val="none" w:sz="0" w:space="0" w:color="auto"/>
          </w:divBdr>
        </w:div>
        <w:div w:id="174198817">
          <w:marLeft w:val="1138"/>
          <w:marRight w:val="0"/>
          <w:marTop w:val="120"/>
          <w:marBottom w:val="0"/>
          <w:divBdr>
            <w:top w:val="none" w:sz="0" w:space="0" w:color="auto"/>
            <w:left w:val="none" w:sz="0" w:space="0" w:color="auto"/>
            <w:bottom w:val="none" w:sz="0" w:space="0" w:color="auto"/>
            <w:right w:val="none" w:sz="0" w:space="0" w:color="auto"/>
          </w:divBdr>
        </w:div>
        <w:div w:id="294871730">
          <w:marLeft w:val="1138"/>
          <w:marRight w:val="0"/>
          <w:marTop w:val="120"/>
          <w:marBottom w:val="0"/>
          <w:divBdr>
            <w:top w:val="none" w:sz="0" w:space="0" w:color="auto"/>
            <w:left w:val="none" w:sz="0" w:space="0" w:color="auto"/>
            <w:bottom w:val="none" w:sz="0" w:space="0" w:color="auto"/>
            <w:right w:val="none" w:sz="0" w:space="0" w:color="auto"/>
          </w:divBdr>
        </w:div>
        <w:div w:id="497187327">
          <w:marLeft w:val="1138"/>
          <w:marRight w:val="0"/>
          <w:marTop w:val="120"/>
          <w:marBottom w:val="0"/>
          <w:divBdr>
            <w:top w:val="none" w:sz="0" w:space="0" w:color="auto"/>
            <w:left w:val="none" w:sz="0" w:space="0" w:color="auto"/>
            <w:bottom w:val="none" w:sz="0" w:space="0" w:color="auto"/>
            <w:right w:val="none" w:sz="0" w:space="0" w:color="auto"/>
          </w:divBdr>
        </w:div>
        <w:div w:id="571501433">
          <w:marLeft w:val="1138"/>
          <w:marRight w:val="0"/>
          <w:marTop w:val="120"/>
          <w:marBottom w:val="0"/>
          <w:divBdr>
            <w:top w:val="none" w:sz="0" w:space="0" w:color="auto"/>
            <w:left w:val="none" w:sz="0" w:space="0" w:color="auto"/>
            <w:bottom w:val="none" w:sz="0" w:space="0" w:color="auto"/>
            <w:right w:val="none" w:sz="0" w:space="0" w:color="auto"/>
          </w:divBdr>
        </w:div>
        <w:div w:id="623661903">
          <w:marLeft w:val="1138"/>
          <w:marRight w:val="0"/>
          <w:marTop w:val="120"/>
          <w:marBottom w:val="0"/>
          <w:divBdr>
            <w:top w:val="none" w:sz="0" w:space="0" w:color="auto"/>
            <w:left w:val="none" w:sz="0" w:space="0" w:color="auto"/>
            <w:bottom w:val="none" w:sz="0" w:space="0" w:color="auto"/>
            <w:right w:val="none" w:sz="0" w:space="0" w:color="auto"/>
          </w:divBdr>
        </w:div>
        <w:div w:id="964967423">
          <w:marLeft w:val="1138"/>
          <w:marRight w:val="0"/>
          <w:marTop w:val="120"/>
          <w:marBottom w:val="0"/>
          <w:divBdr>
            <w:top w:val="none" w:sz="0" w:space="0" w:color="auto"/>
            <w:left w:val="none" w:sz="0" w:space="0" w:color="auto"/>
            <w:bottom w:val="none" w:sz="0" w:space="0" w:color="auto"/>
            <w:right w:val="none" w:sz="0" w:space="0" w:color="auto"/>
          </w:divBdr>
        </w:div>
        <w:div w:id="1756903583">
          <w:marLeft w:val="1138"/>
          <w:marRight w:val="0"/>
          <w:marTop w:val="120"/>
          <w:marBottom w:val="0"/>
          <w:divBdr>
            <w:top w:val="none" w:sz="0" w:space="0" w:color="auto"/>
            <w:left w:val="none" w:sz="0" w:space="0" w:color="auto"/>
            <w:bottom w:val="none" w:sz="0" w:space="0" w:color="auto"/>
            <w:right w:val="none" w:sz="0" w:space="0" w:color="auto"/>
          </w:divBdr>
        </w:div>
        <w:div w:id="2123333402">
          <w:marLeft w:val="1138"/>
          <w:marRight w:val="0"/>
          <w:marTop w:val="120"/>
          <w:marBottom w:val="0"/>
          <w:divBdr>
            <w:top w:val="none" w:sz="0" w:space="0" w:color="auto"/>
            <w:left w:val="none" w:sz="0" w:space="0" w:color="auto"/>
            <w:bottom w:val="none" w:sz="0" w:space="0" w:color="auto"/>
            <w:right w:val="none" w:sz="0" w:space="0" w:color="auto"/>
          </w:divBdr>
        </w:div>
      </w:divsChild>
    </w:div>
    <w:div w:id="1116412890">
      <w:bodyDiv w:val="1"/>
      <w:marLeft w:val="0"/>
      <w:marRight w:val="0"/>
      <w:marTop w:val="0"/>
      <w:marBottom w:val="0"/>
      <w:divBdr>
        <w:top w:val="none" w:sz="0" w:space="0" w:color="auto"/>
        <w:left w:val="none" w:sz="0" w:space="0" w:color="auto"/>
        <w:bottom w:val="none" w:sz="0" w:space="0" w:color="auto"/>
        <w:right w:val="none" w:sz="0" w:space="0" w:color="auto"/>
      </w:divBdr>
      <w:divsChild>
        <w:div w:id="215895307">
          <w:marLeft w:val="144"/>
          <w:marRight w:val="0"/>
          <w:marTop w:val="260"/>
          <w:marBottom w:val="0"/>
          <w:divBdr>
            <w:top w:val="none" w:sz="0" w:space="0" w:color="auto"/>
            <w:left w:val="none" w:sz="0" w:space="0" w:color="auto"/>
            <w:bottom w:val="none" w:sz="0" w:space="0" w:color="auto"/>
            <w:right w:val="none" w:sz="0" w:space="0" w:color="auto"/>
          </w:divBdr>
        </w:div>
      </w:divsChild>
    </w:div>
    <w:div w:id="1140029363">
      <w:bodyDiv w:val="1"/>
      <w:marLeft w:val="0"/>
      <w:marRight w:val="0"/>
      <w:marTop w:val="0"/>
      <w:marBottom w:val="0"/>
      <w:divBdr>
        <w:top w:val="none" w:sz="0" w:space="0" w:color="auto"/>
        <w:left w:val="none" w:sz="0" w:space="0" w:color="auto"/>
        <w:bottom w:val="none" w:sz="0" w:space="0" w:color="auto"/>
        <w:right w:val="none" w:sz="0" w:space="0" w:color="auto"/>
      </w:divBdr>
    </w:div>
    <w:div w:id="1177693589">
      <w:bodyDiv w:val="1"/>
      <w:marLeft w:val="0"/>
      <w:marRight w:val="0"/>
      <w:marTop w:val="0"/>
      <w:marBottom w:val="0"/>
      <w:divBdr>
        <w:top w:val="none" w:sz="0" w:space="0" w:color="auto"/>
        <w:left w:val="none" w:sz="0" w:space="0" w:color="auto"/>
        <w:bottom w:val="none" w:sz="0" w:space="0" w:color="auto"/>
        <w:right w:val="none" w:sz="0" w:space="0" w:color="auto"/>
      </w:divBdr>
      <w:divsChild>
        <w:div w:id="61872108">
          <w:marLeft w:val="1138"/>
          <w:marRight w:val="0"/>
          <w:marTop w:val="120"/>
          <w:marBottom w:val="0"/>
          <w:divBdr>
            <w:top w:val="none" w:sz="0" w:space="0" w:color="auto"/>
            <w:left w:val="none" w:sz="0" w:space="0" w:color="auto"/>
            <w:bottom w:val="none" w:sz="0" w:space="0" w:color="auto"/>
            <w:right w:val="none" w:sz="0" w:space="0" w:color="auto"/>
          </w:divBdr>
        </w:div>
        <w:div w:id="129859342">
          <w:marLeft w:val="1138"/>
          <w:marRight w:val="0"/>
          <w:marTop w:val="120"/>
          <w:marBottom w:val="0"/>
          <w:divBdr>
            <w:top w:val="none" w:sz="0" w:space="0" w:color="auto"/>
            <w:left w:val="none" w:sz="0" w:space="0" w:color="auto"/>
            <w:bottom w:val="none" w:sz="0" w:space="0" w:color="auto"/>
            <w:right w:val="none" w:sz="0" w:space="0" w:color="auto"/>
          </w:divBdr>
        </w:div>
        <w:div w:id="254754495">
          <w:marLeft w:val="1138"/>
          <w:marRight w:val="0"/>
          <w:marTop w:val="120"/>
          <w:marBottom w:val="0"/>
          <w:divBdr>
            <w:top w:val="none" w:sz="0" w:space="0" w:color="auto"/>
            <w:left w:val="none" w:sz="0" w:space="0" w:color="auto"/>
            <w:bottom w:val="none" w:sz="0" w:space="0" w:color="auto"/>
            <w:right w:val="none" w:sz="0" w:space="0" w:color="auto"/>
          </w:divBdr>
        </w:div>
        <w:div w:id="686835838">
          <w:marLeft w:val="1138"/>
          <w:marRight w:val="0"/>
          <w:marTop w:val="120"/>
          <w:marBottom w:val="0"/>
          <w:divBdr>
            <w:top w:val="none" w:sz="0" w:space="0" w:color="auto"/>
            <w:left w:val="none" w:sz="0" w:space="0" w:color="auto"/>
            <w:bottom w:val="none" w:sz="0" w:space="0" w:color="auto"/>
            <w:right w:val="none" w:sz="0" w:space="0" w:color="auto"/>
          </w:divBdr>
        </w:div>
        <w:div w:id="837816994">
          <w:marLeft w:val="1138"/>
          <w:marRight w:val="0"/>
          <w:marTop w:val="120"/>
          <w:marBottom w:val="0"/>
          <w:divBdr>
            <w:top w:val="none" w:sz="0" w:space="0" w:color="auto"/>
            <w:left w:val="none" w:sz="0" w:space="0" w:color="auto"/>
            <w:bottom w:val="none" w:sz="0" w:space="0" w:color="auto"/>
            <w:right w:val="none" w:sz="0" w:space="0" w:color="auto"/>
          </w:divBdr>
        </w:div>
        <w:div w:id="1022248987">
          <w:marLeft w:val="1138"/>
          <w:marRight w:val="0"/>
          <w:marTop w:val="120"/>
          <w:marBottom w:val="0"/>
          <w:divBdr>
            <w:top w:val="none" w:sz="0" w:space="0" w:color="auto"/>
            <w:left w:val="none" w:sz="0" w:space="0" w:color="auto"/>
            <w:bottom w:val="none" w:sz="0" w:space="0" w:color="auto"/>
            <w:right w:val="none" w:sz="0" w:space="0" w:color="auto"/>
          </w:divBdr>
        </w:div>
        <w:div w:id="1054037476">
          <w:marLeft w:val="1138"/>
          <w:marRight w:val="0"/>
          <w:marTop w:val="120"/>
          <w:marBottom w:val="0"/>
          <w:divBdr>
            <w:top w:val="none" w:sz="0" w:space="0" w:color="auto"/>
            <w:left w:val="none" w:sz="0" w:space="0" w:color="auto"/>
            <w:bottom w:val="none" w:sz="0" w:space="0" w:color="auto"/>
            <w:right w:val="none" w:sz="0" w:space="0" w:color="auto"/>
          </w:divBdr>
        </w:div>
        <w:div w:id="1241519665">
          <w:marLeft w:val="1138"/>
          <w:marRight w:val="0"/>
          <w:marTop w:val="120"/>
          <w:marBottom w:val="0"/>
          <w:divBdr>
            <w:top w:val="none" w:sz="0" w:space="0" w:color="auto"/>
            <w:left w:val="none" w:sz="0" w:space="0" w:color="auto"/>
            <w:bottom w:val="none" w:sz="0" w:space="0" w:color="auto"/>
            <w:right w:val="none" w:sz="0" w:space="0" w:color="auto"/>
          </w:divBdr>
        </w:div>
        <w:div w:id="2115897336">
          <w:marLeft w:val="1138"/>
          <w:marRight w:val="0"/>
          <w:marTop w:val="120"/>
          <w:marBottom w:val="0"/>
          <w:divBdr>
            <w:top w:val="none" w:sz="0" w:space="0" w:color="auto"/>
            <w:left w:val="none" w:sz="0" w:space="0" w:color="auto"/>
            <w:bottom w:val="none" w:sz="0" w:space="0" w:color="auto"/>
            <w:right w:val="none" w:sz="0" w:space="0" w:color="auto"/>
          </w:divBdr>
        </w:div>
        <w:div w:id="2143690733">
          <w:marLeft w:val="1138"/>
          <w:marRight w:val="0"/>
          <w:marTop w:val="120"/>
          <w:marBottom w:val="0"/>
          <w:divBdr>
            <w:top w:val="none" w:sz="0" w:space="0" w:color="auto"/>
            <w:left w:val="none" w:sz="0" w:space="0" w:color="auto"/>
            <w:bottom w:val="none" w:sz="0" w:space="0" w:color="auto"/>
            <w:right w:val="none" w:sz="0" w:space="0" w:color="auto"/>
          </w:divBdr>
        </w:div>
      </w:divsChild>
    </w:div>
    <w:div w:id="1243030530">
      <w:bodyDiv w:val="1"/>
      <w:marLeft w:val="0"/>
      <w:marRight w:val="0"/>
      <w:marTop w:val="0"/>
      <w:marBottom w:val="0"/>
      <w:divBdr>
        <w:top w:val="none" w:sz="0" w:space="0" w:color="auto"/>
        <w:left w:val="none" w:sz="0" w:space="0" w:color="auto"/>
        <w:bottom w:val="none" w:sz="0" w:space="0" w:color="auto"/>
        <w:right w:val="none" w:sz="0" w:space="0" w:color="auto"/>
      </w:divBdr>
    </w:div>
    <w:div w:id="1250702183">
      <w:bodyDiv w:val="1"/>
      <w:marLeft w:val="0"/>
      <w:marRight w:val="0"/>
      <w:marTop w:val="0"/>
      <w:marBottom w:val="0"/>
      <w:divBdr>
        <w:top w:val="none" w:sz="0" w:space="0" w:color="auto"/>
        <w:left w:val="none" w:sz="0" w:space="0" w:color="auto"/>
        <w:bottom w:val="none" w:sz="0" w:space="0" w:color="auto"/>
        <w:right w:val="none" w:sz="0" w:space="0" w:color="auto"/>
      </w:divBdr>
      <w:divsChild>
        <w:div w:id="1605723058">
          <w:marLeft w:val="547"/>
          <w:marRight w:val="0"/>
          <w:marTop w:val="0"/>
          <w:marBottom w:val="0"/>
          <w:divBdr>
            <w:top w:val="none" w:sz="0" w:space="0" w:color="auto"/>
            <w:left w:val="none" w:sz="0" w:space="0" w:color="auto"/>
            <w:bottom w:val="none" w:sz="0" w:space="0" w:color="auto"/>
            <w:right w:val="none" w:sz="0" w:space="0" w:color="auto"/>
          </w:divBdr>
        </w:div>
      </w:divsChild>
    </w:div>
    <w:div w:id="1252005182">
      <w:bodyDiv w:val="1"/>
      <w:marLeft w:val="0"/>
      <w:marRight w:val="0"/>
      <w:marTop w:val="0"/>
      <w:marBottom w:val="0"/>
      <w:divBdr>
        <w:top w:val="none" w:sz="0" w:space="0" w:color="auto"/>
        <w:left w:val="none" w:sz="0" w:space="0" w:color="auto"/>
        <w:bottom w:val="none" w:sz="0" w:space="0" w:color="auto"/>
        <w:right w:val="none" w:sz="0" w:space="0" w:color="auto"/>
      </w:divBdr>
    </w:div>
    <w:div w:id="1252470420">
      <w:bodyDiv w:val="1"/>
      <w:marLeft w:val="0"/>
      <w:marRight w:val="0"/>
      <w:marTop w:val="0"/>
      <w:marBottom w:val="0"/>
      <w:divBdr>
        <w:top w:val="none" w:sz="0" w:space="0" w:color="auto"/>
        <w:left w:val="none" w:sz="0" w:space="0" w:color="auto"/>
        <w:bottom w:val="none" w:sz="0" w:space="0" w:color="auto"/>
        <w:right w:val="none" w:sz="0" w:space="0" w:color="auto"/>
      </w:divBdr>
      <w:divsChild>
        <w:div w:id="295913774">
          <w:marLeft w:val="144"/>
          <w:marRight w:val="0"/>
          <w:marTop w:val="260"/>
          <w:marBottom w:val="0"/>
          <w:divBdr>
            <w:top w:val="none" w:sz="0" w:space="0" w:color="auto"/>
            <w:left w:val="none" w:sz="0" w:space="0" w:color="auto"/>
            <w:bottom w:val="none" w:sz="0" w:space="0" w:color="auto"/>
            <w:right w:val="none" w:sz="0" w:space="0" w:color="auto"/>
          </w:divBdr>
        </w:div>
        <w:div w:id="513884310">
          <w:marLeft w:val="144"/>
          <w:marRight w:val="0"/>
          <w:marTop w:val="260"/>
          <w:marBottom w:val="0"/>
          <w:divBdr>
            <w:top w:val="none" w:sz="0" w:space="0" w:color="auto"/>
            <w:left w:val="none" w:sz="0" w:space="0" w:color="auto"/>
            <w:bottom w:val="none" w:sz="0" w:space="0" w:color="auto"/>
            <w:right w:val="none" w:sz="0" w:space="0" w:color="auto"/>
          </w:divBdr>
        </w:div>
        <w:div w:id="854611971">
          <w:marLeft w:val="144"/>
          <w:marRight w:val="0"/>
          <w:marTop w:val="260"/>
          <w:marBottom w:val="0"/>
          <w:divBdr>
            <w:top w:val="none" w:sz="0" w:space="0" w:color="auto"/>
            <w:left w:val="none" w:sz="0" w:space="0" w:color="auto"/>
            <w:bottom w:val="none" w:sz="0" w:space="0" w:color="auto"/>
            <w:right w:val="none" w:sz="0" w:space="0" w:color="auto"/>
          </w:divBdr>
        </w:div>
        <w:div w:id="1564751978">
          <w:marLeft w:val="144"/>
          <w:marRight w:val="0"/>
          <w:marTop w:val="260"/>
          <w:marBottom w:val="0"/>
          <w:divBdr>
            <w:top w:val="none" w:sz="0" w:space="0" w:color="auto"/>
            <w:left w:val="none" w:sz="0" w:space="0" w:color="auto"/>
            <w:bottom w:val="none" w:sz="0" w:space="0" w:color="auto"/>
            <w:right w:val="none" w:sz="0" w:space="0" w:color="auto"/>
          </w:divBdr>
        </w:div>
        <w:div w:id="2114472523">
          <w:marLeft w:val="144"/>
          <w:marRight w:val="0"/>
          <w:marTop w:val="260"/>
          <w:marBottom w:val="0"/>
          <w:divBdr>
            <w:top w:val="none" w:sz="0" w:space="0" w:color="auto"/>
            <w:left w:val="none" w:sz="0" w:space="0" w:color="auto"/>
            <w:bottom w:val="none" w:sz="0" w:space="0" w:color="auto"/>
            <w:right w:val="none" w:sz="0" w:space="0" w:color="auto"/>
          </w:divBdr>
        </w:div>
      </w:divsChild>
    </w:div>
    <w:div w:id="1279601252">
      <w:bodyDiv w:val="1"/>
      <w:marLeft w:val="0"/>
      <w:marRight w:val="0"/>
      <w:marTop w:val="0"/>
      <w:marBottom w:val="0"/>
      <w:divBdr>
        <w:top w:val="none" w:sz="0" w:space="0" w:color="auto"/>
        <w:left w:val="none" w:sz="0" w:space="0" w:color="auto"/>
        <w:bottom w:val="none" w:sz="0" w:space="0" w:color="auto"/>
        <w:right w:val="none" w:sz="0" w:space="0" w:color="auto"/>
      </w:divBdr>
    </w:div>
    <w:div w:id="1282297592">
      <w:bodyDiv w:val="1"/>
      <w:marLeft w:val="0"/>
      <w:marRight w:val="0"/>
      <w:marTop w:val="0"/>
      <w:marBottom w:val="0"/>
      <w:divBdr>
        <w:top w:val="none" w:sz="0" w:space="0" w:color="auto"/>
        <w:left w:val="none" w:sz="0" w:space="0" w:color="auto"/>
        <w:bottom w:val="none" w:sz="0" w:space="0" w:color="auto"/>
        <w:right w:val="none" w:sz="0" w:space="0" w:color="auto"/>
      </w:divBdr>
    </w:div>
    <w:div w:id="1304385468">
      <w:bodyDiv w:val="1"/>
      <w:marLeft w:val="0"/>
      <w:marRight w:val="0"/>
      <w:marTop w:val="0"/>
      <w:marBottom w:val="0"/>
      <w:divBdr>
        <w:top w:val="none" w:sz="0" w:space="0" w:color="auto"/>
        <w:left w:val="none" w:sz="0" w:space="0" w:color="auto"/>
        <w:bottom w:val="none" w:sz="0" w:space="0" w:color="auto"/>
        <w:right w:val="none" w:sz="0" w:space="0" w:color="auto"/>
      </w:divBdr>
    </w:div>
    <w:div w:id="1337460659">
      <w:bodyDiv w:val="1"/>
      <w:marLeft w:val="0"/>
      <w:marRight w:val="0"/>
      <w:marTop w:val="0"/>
      <w:marBottom w:val="0"/>
      <w:divBdr>
        <w:top w:val="none" w:sz="0" w:space="0" w:color="auto"/>
        <w:left w:val="none" w:sz="0" w:space="0" w:color="auto"/>
        <w:bottom w:val="none" w:sz="0" w:space="0" w:color="auto"/>
        <w:right w:val="none" w:sz="0" w:space="0" w:color="auto"/>
      </w:divBdr>
      <w:divsChild>
        <w:div w:id="346559942">
          <w:marLeft w:val="144"/>
          <w:marRight w:val="0"/>
          <w:marTop w:val="260"/>
          <w:marBottom w:val="0"/>
          <w:divBdr>
            <w:top w:val="none" w:sz="0" w:space="0" w:color="auto"/>
            <w:left w:val="none" w:sz="0" w:space="0" w:color="auto"/>
            <w:bottom w:val="none" w:sz="0" w:space="0" w:color="auto"/>
            <w:right w:val="none" w:sz="0" w:space="0" w:color="auto"/>
          </w:divBdr>
        </w:div>
        <w:div w:id="416170565">
          <w:marLeft w:val="144"/>
          <w:marRight w:val="0"/>
          <w:marTop w:val="260"/>
          <w:marBottom w:val="0"/>
          <w:divBdr>
            <w:top w:val="none" w:sz="0" w:space="0" w:color="auto"/>
            <w:left w:val="none" w:sz="0" w:space="0" w:color="auto"/>
            <w:bottom w:val="none" w:sz="0" w:space="0" w:color="auto"/>
            <w:right w:val="none" w:sz="0" w:space="0" w:color="auto"/>
          </w:divBdr>
        </w:div>
        <w:div w:id="452285318">
          <w:marLeft w:val="144"/>
          <w:marRight w:val="0"/>
          <w:marTop w:val="260"/>
          <w:marBottom w:val="0"/>
          <w:divBdr>
            <w:top w:val="none" w:sz="0" w:space="0" w:color="auto"/>
            <w:left w:val="none" w:sz="0" w:space="0" w:color="auto"/>
            <w:bottom w:val="none" w:sz="0" w:space="0" w:color="auto"/>
            <w:right w:val="none" w:sz="0" w:space="0" w:color="auto"/>
          </w:divBdr>
        </w:div>
        <w:div w:id="559243794">
          <w:marLeft w:val="144"/>
          <w:marRight w:val="0"/>
          <w:marTop w:val="260"/>
          <w:marBottom w:val="0"/>
          <w:divBdr>
            <w:top w:val="none" w:sz="0" w:space="0" w:color="auto"/>
            <w:left w:val="none" w:sz="0" w:space="0" w:color="auto"/>
            <w:bottom w:val="none" w:sz="0" w:space="0" w:color="auto"/>
            <w:right w:val="none" w:sz="0" w:space="0" w:color="auto"/>
          </w:divBdr>
        </w:div>
        <w:div w:id="1051419330">
          <w:marLeft w:val="144"/>
          <w:marRight w:val="0"/>
          <w:marTop w:val="260"/>
          <w:marBottom w:val="0"/>
          <w:divBdr>
            <w:top w:val="none" w:sz="0" w:space="0" w:color="auto"/>
            <w:left w:val="none" w:sz="0" w:space="0" w:color="auto"/>
            <w:bottom w:val="none" w:sz="0" w:space="0" w:color="auto"/>
            <w:right w:val="none" w:sz="0" w:space="0" w:color="auto"/>
          </w:divBdr>
        </w:div>
        <w:div w:id="1911648440">
          <w:marLeft w:val="144"/>
          <w:marRight w:val="0"/>
          <w:marTop w:val="260"/>
          <w:marBottom w:val="0"/>
          <w:divBdr>
            <w:top w:val="none" w:sz="0" w:space="0" w:color="auto"/>
            <w:left w:val="none" w:sz="0" w:space="0" w:color="auto"/>
            <w:bottom w:val="none" w:sz="0" w:space="0" w:color="auto"/>
            <w:right w:val="none" w:sz="0" w:space="0" w:color="auto"/>
          </w:divBdr>
        </w:div>
        <w:div w:id="1926986884">
          <w:marLeft w:val="144"/>
          <w:marRight w:val="0"/>
          <w:marTop w:val="260"/>
          <w:marBottom w:val="0"/>
          <w:divBdr>
            <w:top w:val="none" w:sz="0" w:space="0" w:color="auto"/>
            <w:left w:val="none" w:sz="0" w:space="0" w:color="auto"/>
            <w:bottom w:val="none" w:sz="0" w:space="0" w:color="auto"/>
            <w:right w:val="none" w:sz="0" w:space="0" w:color="auto"/>
          </w:divBdr>
        </w:div>
      </w:divsChild>
    </w:div>
    <w:div w:id="1343387752">
      <w:bodyDiv w:val="1"/>
      <w:marLeft w:val="0"/>
      <w:marRight w:val="0"/>
      <w:marTop w:val="0"/>
      <w:marBottom w:val="0"/>
      <w:divBdr>
        <w:top w:val="none" w:sz="0" w:space="0" w:color="auto"/>
        <w:left w:val="none" w:sz="0" w:space="0" w:color="auto"/>
        <w:bottom w:val="none" w:sz="0" w:space="0" w:color="auto"/>
        <w:right w:val="none" w:sz="0" w:space="0" w:color="auto"/>
      </w:divBdr>
      <w:divsChild>
        <w:div w:id="44723526">
          <w:marLeft w:val="1166"/>
          <w:marRight w:val="0"/>
          <w:marTop w:val="0"/>
          <w:marBottom w:val="0"/>
          <w:divBdr>
            <w:top w:val="none" w:sz="0" w:space="0" w:color="auto"/>
            <w:left w:val="none" w:sz="0" w:space="0" w:color="auto"/>
            <w:bottom w:val="none" w:sz="0" w:space="0" w:color="auto"/>
            <w:right w:val="none" w:sz="0" w:space="0" w:color="auto"/>
          </w:divBdr>
        </w:div>
        <w:div w:id="398788383">
          <w:marLeft w:val="547"/>
          <w:marRight w:val="0"/>
          <w:marTop w:val="0"/>
          <w:marBottom w:val="0"/>
          <w:divBdr>
            <w:top w:val="none" w:sz="0" w:space="0" w:color="auto"/>
            <w:left w:val="none" w:sz="0" w:space="0" w:color="auto"/>
            <w:bottom w:val="none" w:sz="0" w:space="0" w:color="auto"/>
            <w:right w:val="none" w:sz="0" w:space="0" w:color="auto"/>
          </w:divBdr>
        </w:div>
      </w:divsChild>
    </w:div>
    <w:div w:id="1346713951">
      <w:bodyDiv w:val="1"/>
      <w:marLeft w:val="0"/>
      <w:marRight w:val="0"/>
      <w:marTop w:val="0"/>
      <w:marBottom w:val="0"/>
      <w:divBdr>
        <w:top w:val="none" w:sz="0" w:space="0" w:color="auto"/>
        <w:left w:val="none" w:sz="0" w:space="0" w:color="auto"/>
        <w:bottom w:val="none" w:sz="0" w:space="0" w:color="auto"/>
        <w:right w:val="none" w:sz="0" w:space="0" w:color="auto"/>
      </w:divBdr>
      <w:divsChild>
        <w:div w:id="681668668">
          <w:marLeft w:val="144"/>
          <w:marRight w:val="0"/>
          <w:marTop w:val="260"/>
          <w:marBottom w:val="0"/>
          <w:divBdr>
            <w:top w:val="none" w:sz="0" w:space="0" w:color="auto"/>
            <w:left w:val="none" w:sz="0" w:space="0" w:color="auto"/>
            <w:bottom w:val="none" w:sz="0" w:space="0" w:color="auto"/>
            <w:right w:val="none" w:sz="0" w:space="0" w:color="auto"/>
          </w:divBdr>
        </w:div>
        <w:div w:id="1006907706">
          <w:marLeft w:val="144"/>
          <w:marRight w:val="0"/>
          <w:marTop w:val="260"/>
          <w:marBottom w:val="0"/>
          <w:divBdr>
            <w:top w:val="none" w:sz="0" w:space="0" w:color="auto"/>
            <w:left w:val="none" w:sz="0" w:space="0" w:color="auto"/>
            <w:bottom w:val="none" w:sz="0" w:space="0" w:color="auto"/>
            <w:right w:val="none" w:sz="0" w:space="0" w:color="auto"/>
          </w:divBdr>
        </w:div>
      </w:divsChild>
    </w:div>
    <w:div w:id="1347514274">
      <w:bodyDiv w:val="1"/>
      <w:marLeft w:val="0"/>
      <w:marRight w:val="0"/>
      <w:marTop w:val="0"/>
      <w:marBottom w:val="0"/>
      <w:divBdr>
        <w:top w:val="none" w:sz="0" w:space="0" w:color="auto"/>
        <w:left w:val="none" w:sz="0" w:space="0" w:color="auto"/>
        <w:bottom w:val="none" w:sz="0" w:space="0" w:color="auto"/>
        <w:right w:val="none" w:sz="0" w:space="0" w:color="auto"/>
      </w:divBdr>
      <w:divsChild>
        <w:div w:id="658851954">
          <w:marLeft w:val="432"/>
          <w:marRight w:val="0"/>
          <w:marTop w:val="160"/>
          <w:marBottom w:val="160"/>
          <w:divBdr>
            <w:top w:val="none" w:sz="0" w:space="0" w:color="auto"/>
            <w:left w:val="none" w:sz="0" w:space="0" w:color="auto"/>
            <w:bottom w:val="none" w:sz="0" w:space="0" w:color="auto"/>
            <w:right w:val="none" w:sz="0" w:space="0" w:color="auto"/>
          </w:divBdr>
        </w:div>
        <w:div w:id="890729189">
          <w:marLeft w:val="432"/>
          <w:marRight w:val="0"/>
          <w:marTop w:val="160"/>
          <w:marBottom w:val="160"/>
          <w:divBdr>
            <w:top w:val="none" w:sz="0" w:space="0" w:color="auto"/>
            <w:left w:val="none" w:sz="0" w:space="0" w:color="auto"/>
            <w:bottom w:val="none" w:sz="0" w:space="0" w:color="auto"/>
            <w:right w:val="none" w:sz="0" w:space="0" w:color="auto"/>
          </w:divBdr>
        </w:div>
        <w:div w:id="932276760">
          <w:marLeft w:val="432"/>
          <w:marRight w:val="0"/>
          <w:marTop w:val="160"/>
          <w:marBottom w:val="160"/>
          <w:divBdr>
            <w:top w:val="none" w:sz="0" w:space="0" w:color="auto"/>
            <w:left w:val="none" w:sz="0" w:space="0" w:color="auto"/>
            <w:bottom w:val="none" w:sz="0" w:space="0" w:color="auto"/>
            <w:right w:val="none" w:sz="0" w:space="0" w:color="auto"/>
          </w:divBdr>
        </w:div>
        <w:div w:id="1922831646">
          <w:marLeft w:val="432"/>
          <w:marRight w:val="0"/>
          <w:marTop w:val="160"/>
          <w:marBottom w:val="160"/>
          <w:divBdr>
            <w:top w:val="none" w:sz="0" w:space="0" w:color="auto"/>
            <w:left w:val="none" w:sz="0" w:space="0" w:color="auto"/>
            <w:bottom w:val="none" w:sz="0" w:space="0" w:color="auto"/>
            <w:right w:val="none" w:sz="0" w:space="0" w:color="auto"/>
          </w:divBdr>
        </w:div>
      </w:divsChild>
    </w:div>
    <w:div w:id="1351956352">
      <w:bodyDiv w:val="1"/>
      <w:marLeft w:val="0"/>
      <w:marRight w:val="0"/>
      <w:marTop w:val="0"/>
      <w:marBottom w:val="0"/>
      <w:divBdr>
        <w:top w:val="none" w:sz="0" w:space="0" w:color="auto"/>
        <w:left w:val="none" w:sz="0" w:space="0" w:color="auto"/>
        <w:bottom w:val="none" w:sz="0" w:space="0" w:color="auto"/>
        <w:right w:val="none" w:sz="0" w:space="0" w:color="auto"/>
      </w:divBdr>
    </w:div>
    <w:div w:id="1376391449">
      <w:bodyDiv w:val="1"/>
      <w:marLeft w:val="0"/>
      <w:marRight w:val="0"/>
      <w:marTop w:val="0"/>
      <w:marBottom w:val="0"/>
      <w:divBdr>
        <w:top w:val="none" w:sz="0" w:space="0" w:color="auto"/>
        <w:left w:val="none" w:sz="0" w:space="0" w:color="auto"/>
        <w:bottom w:val="none" w:sz="0" w:space="0" w:color="auto"/>
        <w:right w:val="none" w:sz="0" w:space="0" w:color="auto"/>
      </w:divBdr>
    </w:div>
    <w:div w:id="1377267935">
      <w:bodyDiv w:val="1"/>
      <w:marLeft w:val="0"/>
      <w:marRight w:val="0"/>
      <w:marTop w:val="0"/>
      <w:marBottom w:val="0"/>
      <w:divBdr>
        <w:top w:val="none" w:sz="0" w:space="0" w:color="auto"/>
        <w:left w:val="none" w:sz="0" w:space="0" w:color="auto"/>
        <w:bottom w:val="none" w:sz="0" w:space="0" w:color="auto"/>
        <w:right w:val="none" w:sz="0" w:space="0" w:color="auto"/>
      </w:divBdr>
    </w:div>
    <w:div w:id="1395589200">
      <w:bodyDiv w:val="1"/>
      <w:marLeft w:val="0"/>
      <w:marRight w:val="0"/>
      <w:marTop w:val="0"/>
      <w:marBottom w:val="0"/>
      <w:divBdr>
        <w:top w:val="none" w:sz="0" w:space="0" w:color="auto"/>
        <w:left w:val="none" w:sz="0" w:space="0" w:color="auto"/>
        <w:bottom w:val="none" w:sz="0" w:space="0" w:color="auto"/>
        <w:right w:val="none" w:sz="0" w:space="0" w:color="auto"/>
      </w:divBdr>
    </w:div>
    <w:div w:id="1474634972">
      <w:bodyDiv w:val="1"/>
      <w:marLeft w:val="0"/>
      <w:marRight w:val="0"/>
      <w:marTop w:val="0"/>
      <w:marBottom w:val="0"/>
      <w:divBdr>
        <w:top w:val="none" w:sz="0" w:space="0" w:color="auto"/>
        <w:left w:val="none" w:sz="0" w:space="0" w:color="auto"/>
        <w:bottom w:val="none" w:sz="0" w:space="0" w:color="auto"/>
        <w:right w:val="none" w:sz="0" w:space="0" w:color="auto"/>
      </w:divBdr>
    </w:div>
    <w:div w:id="1493520879">
      <w:bodyDiv w:val="1"/>
      <w:marLeft w:val="0"/>
      <w:marRight w:val="0"/>
      <w:marTop w:val="0"/>
      <w:marBottom w:val="0"/>
      <w:divBdr>
        <w:top w:val="none" w:sz="0" w:space="0" w:color="auto"/>
        <w:left w:val="none" w:sz="0" w:space="0" w:color="auto"/>
        <w:bottom w:val="none" w:sz="0" w:space="0" w:color="auto"/>
        <w:right w:val="none" w:sz="0" w:space="0" w:color="auto"/>
      </w:divBdr>
    </w:div>
    <w:div w:id="1495607801">
      <w:bodyDiv w:val="1"/>
      <w:marLeft w:val="0"/>
      <w:marRight w:val="0"/>
      <w:marTop w:val="0"/>
      <w:marBottom w:val="0"/>
      <w:divBdr>
        <w:top w:val="none" w:sz="0" w:space="0" w:color="auto"/>
        <w:left w:val="none" w:sz="0" w:space="0" w:color="auto"/>
        <w:bottom w:val="none" w:sz="0" w:space="0" w:color="auto"/>
        <w:right w:val="none" w:sz="0" w:space="0" w:color="auto"/>
      </w:divBdr>
    </w:div>
    <w:div w:id="1499733657">
      <w:bodyDiv w:val="1"/>
      <w:marLeft w:val="0"/>
      <w:marRight w:val="0"/>
      <w:marTop w:val="0"/>
      <w:marBottom w:val="0"/>
      <w:divBdr>
        <w:top w:val="none" w:sz="0" w:space="0" w:color="auto"/>
        <w:left w:val="none" w:sz="0" w:space="0" w:color="auto"/>
        <w:bottom w:val="none" w:sz="0" w:space="0" w:color="auto"/>
        <w:right w:val="none" w:sz="0" w:space="0" w:color="auto"/>
      </w:divBdr>
    </w:div>
    <w:div w:id="1572814022">
      <w:bodyDiv w:val="1"/>
      <w:marLeft w:val="0"/>
      <w:marRight w:val="0"/>
      <w:marTop w:val="0"/>
      <w:marBottom w:val="0"/>
      <w:divBdr>
        <w:top w:val="none" w:sz="0" w:space="0" w:color="auto"/>
        <w:left w:val="none" w:sz="0" w:space="0" w:color="auto"/>
        <w:bottom w:val="none" w:sz="0" w:space="0" w:color="auto"/>
        <w:right w:val="none" w:sz="0" w:space="0" w:color="auto"/>
      </w:divBdr>
      <w:divsChild>
        <w:div w:id="3169714">
          <w:marLeft w:val="1138"/>
          <w:marRight w:val="0"/>
          <w:marTop w:val="120"/>
          <w:marBottom w:val="0"/>
          <w:divBdr>
            <w:top w:val="none" w:sz="0" w:space="0" w:color="auto"/>
            <w:left w:val="none" w:sz="0" w:space="0" w:color="auto"/>
            <w:bottom w:val="none" w:sz="0" w:space="0" w:color="auto"/>
            <w:right w:val="none" w:sz="0" w:space="0" w:color="auto"/>
          </w:divBdr>
        </w:div>
        <w:div w:id="124473389">
          <w:marLeft w:val="1138"/>
          <w:marRight w:val="0"/>
          <w:marTop w:val="120"/>
          <w:marBottom w:val="0"/>
          <w:divBdr>
            <w:top w:val="none" w:sz="0" w:space="0" w:color="auto"/>
            <w:left w:val="none" w:sz="0" w:space="0" w:color="auto"/>
            <w:bottom w:val="none" w:sz="0" w:space="0" w:color="auto"/>
            <w:right w:val="none" w:sz="0" w:space="0" w:color="auto"/>
          </w:divBdr>
        </w:div>
        <w:div w:id="292488786">
          <w:marLeft w:val="1138"/>
          <w:marRight w:val="0"/>
          <w:marTop w:val="120"/>
          <w:marBottom w:val="0"/>
          <w:divBdr>
            <w:top w:val="none" w:sz="0" w:space="0" w:color="auto"/>
            <w:left w:val="none" w:sz="0" w:space="0" w:color="auto"/>
            <w:bottom w:val="none" w:sz="0" w:space="0" w:color="auto"/>
            <w:right w:val="none" w:sz="0" w:space="0" w:color="auto"/>
          </w:divBdr>
        </w:div>
        <w:div w:id="379668587">
          <w:marLeft w:val="1138"/>
          <w:marRight w:val="0"/>
          <w:marTop w:val="120"/>
          <w:marBottom w:val="0"/>
          <w:divBdr>
            <w:top w:val="none" w:sz="0" w:space="0" w:color="auto"/>
            <w:left w:val="none" w:sz="0" w:space="0" w:color="auto"/>
            <w:bottom w:val="none" w:sz="0" w:space="0" w:color="auto"/>
            <w:right w:val="none" w:sz="0" w:space="0" w:color="auto"/>
          </w:divBdr>
        </w:div>
        <w:div w:id="689912096">
          <w:marLeft w:val="1138"/>
          <w:marRight w:val="0"/>
          <w:marTop w:val="120"/>
          <w:marBottom w:val="0"/>
          <w:divBdr>
            <w:top w:val="none" w:sz="0" w:space="0" w:color="auto"/>
            <w:left w:val="none" w:sz="0" w:space="0" w:color="auto"/>
            <w:bottom w:val="none" w:sz="0" w:space="0" w:color="auto"/>
            <w:right w:val="none" w:sz="0" w:space="0" w:color="auto"/>
          </w:divBdr>
        </w:div>
        <w:div w:id="1028676766">
          <w:marLeft w:val="1138"/>
          <w:marRight w:val="0"/>
          <w:marTop w:val="120"/>
          <w:marBottom w:val="0"/>
          <w:divBdr>
            <w:top w:val="none" w:sz="0" w:space="0" w:color="auto"/>
            <w:left w:val="none" w:sz="0" w:space="0" w:color="auto"/>
            <w:bottom w:val="none" w:sz="0" w:space="0" w:color="auto"/>
            <w:right w:val="none" w:sz="0" w:space="0" w:color="auto"/>
          </w:divBdr>
        </w:div>
        <w:div w:id="1124541767">
          <w:marLeft w:val="1138"/>
          <w:marRight w:val="0"/>
          <w:marTop w:val="120"/>
          <w:marBottom w:val="0"/>
          <w:divBdr>
            <w:top w:val="none" w:sz="0" w:space="0" w:color="auto"/>
            <w:left w:val="none" w:sz="0" w:space="0" w:color="auto"/>
            <w:bottom w:val="none" w:sz="0" w:space="0" w:color="auto"/>
            <w:right w:val="none" w:sz="0" w:space="0" w:color="auto"/>
          </w:divBdr>
        </w:div>
        <w:div w:id="1384719792">
          <w:marLeft w:val="1138"/>
          <w:marRight w:val="0"/>
          <w:marTop w:val="120"/>
          <w:marBottom w:val="0"/>
          <w:divBdr>
            <w:top w:val="none" w:sz="0" w:space="0" w:color="auto"/>
            <w:left w:val="none" w:sz="0" w:space="0" w:color="auto"/>
            <w:bottom w:val="none" w:sz="0" w:space="0" w:color="auto"/>
            <w:right w:val="none" w:sz="0" w:space="0" w:color="auto"/>
          </w:divBdr>
        </w:div>
        <w:div w:id="1864005204">
          <w:marLeft w:val="1138"/>
          <w:marRight w:val="0"/>
          <w:marTop w:val="120"/>
          <w:marBottom w:val="0"/>
          <w:divBdr>
            <w:top w:val="none" w:sz="0" w:space="0" w:color="auto"/>
            <w:left w:val="none" w:sz="0" w:space="0" w:color="auto"/>
            <w:bottom w:val="none" w:sz="0" w:space="0" w:color="auto"/>
            <w:right w:val="none" w:sz="0" w:space="0" w:color="auto"/>
          </w:divBdr>
        </w:div>
        <w:div w:id="1971593199">
          <w:marLeft w:val="1138"/>
          <w:marRight w:val="0"/>
          <w:marTop w:val="120"/>
          <w:marBottom w:val="0"/>
          <w:divBdr>
            <w:top w:val="none" w:sz="0" w:space="0" w:color="auto"/>
            <w:left w:val="none" w:sz="0" w:space="0" w:color="auto"/>
            <w:bottom w:val="none" w:sz="0" w:space="0" w:color="auto"/>
            <w:right w:val="none" w:sz="0" w:space="0" w:color="auto"/>
          </w:divBdr>
        </w:div>
      </w:divsChild>
    </w:div>
    <w:div w:id="1573461909">
      <w:bodyDiv w:val="1"/>
      <w:marLeft w:val="0"/>
      <w:marRight w:val="0"/>
      <w:marTop w:val="0"/>
      <w:marBottom w:val="0"/>
      <w:divBdr>
        <w:top w:val="none" w:sz="0" w:space="0" w:color="auto"/>
        <w:left w:val="none" w:sz="0" w:space="0" w:color="auto"/>
        <w:bottom w:val="none" w:sz="0" w:space="0" w:color="auto"/>
        <w:right w:val="none" w:sz="0" w:space="0" w:color="auto"/>
      </w:divBdr>
    </w:div>
    <w:div w:id="1602493278">
      <w:bodyDiv w:val="1"/>
      <w:marLeft w:val="0"/>
      <w:marRight w:val="0"/>
      <w:marTop w:val="0"/>
      <w:marBottom w:val="0"/>
      <w:divBdr>
        <w:top w:val="none" w:sz="0" w:space="0" w:color="auto"/>
        <w:left w:val="none" w:sz="0" w:space="0" w:color="auto"/>
        <w:bottom w:val="none" w:sz="0" w:space="0" w:color="auto"/>
        <w:right w:val="none" w:sz="0" w:space="0" w:color="auto"/>
      </w:divBdr>
      <w:divsChild>
        <w:div w:id="65421129">
          <w:marLeft w:val="547"/>
          <w:marRight w:val="0"/>
          <w:marTop w:val="0"/>
          <w:marBottom w:val="0"/>
          <w:divBdr>
            <w:top w:val="none" w:sz="0" w:space="0" w:color="auto"/>
            <w:left w:val="none" w:sz="0" w:space="0" w:color="auto"/>
            <w:bottom w:val="none" w:sz="0" w:space="0" w:color="auto"/>
            <w:right w:val="none" w:sz="0" w:space="0" w:color="auto"/>
          </w:divBdr>
        </w:div>
      </w:divsChild>
    </w:div>
    <w:div w:id="1634601907">
      <w:bodyDiv w:val="1"/>
      <w:marLeft w:val="0"/>
      <w:marRight w:val="0"/>
      <w:marTop w:val="0"/>
      <w:marBottom w:val="0"/>
      <w:divBdr>
        <w:top w:val="none" w:sz="0" w:space="0" w:color="auto"/>
        <w:left w:val="none" w:sz="0" w:space="0" w:color="auto"/>
        <w:bottom w:val="none" w:sz="0" w:space="0" w:color="auto"/>
        <w:right w:val="none" w:sz="0" w:space="0" w:color="auto"/>
      </w:divBdr>
    </w:div>
    <w:div w:id="1674988851">
      <w:bodyDiv w:val="1"/>
      <w:marLeft w:val="0"/>
      <w:marRight w:val="0"/>
      <w:marTop w:val="0"/>
      <w:marBottom w:val="0"/>
      <w:divBdr>
        <w:top w:val="none" w:sz="0" w:space="0" w:color="auto"/>
        <w:left w:val="none" w:sz="0" w:space="0" w:color="auto"/>
        <w:bottom w:val="none" w:sz="0" w:space="0" w:color="auto"/>
        <w:right w:val="none" w:sz="0" w:space="0" w:color="auto"/>
      </w:divBdr>
    </w:div>
    <w:div w:id="1700279873">
      <w:bodyDiv w:val="1"/>
      <w:marLeft w:val="0"/>
      <w:marRight w:val="0"/>
      <w:marTop w:val="0"/>
      <w:marBottom w:val="0"/>
      <w:divBdr>
        <w:top w:val="none" w:sz="0" w:space="0" w:color="auto"/>
        <w:left w:val="none" w:sz="0" w:space="0" w:color="auto"/>
        <w:bottom w:val="none" w:sz="0" w:space="0" w:color="auto"/>
        <w:right w:val="none" w:sz="0" w:space="0" w:color="auto"/>
      </w:divBdr>
      <w:divsChild>
        <w:div w:id="485436472">
          <w:marLeft w:val="547"/>
          <w:marRight w:val="0"/>
          <w:marTop w:val="0"/>
          <w:marBottom w:val="0"/>
          <w:divBdr>
            <w:top w:val="none" w:sz="0" w:space="0" w:color="auto"/>
            <w:left w:val="none" w:sz="0" w:space="0" w:color="auto"/>
            <w:bottom w:val="none" w:sz="0" w:space="0" w:color="auto"/>
            <w:right w:val="none" w:sz="0" w:space="0" w:color="auto"/>
          </w:divBdr>
        </w:div>
        <w:div w:id="1207790075">
          <w:marLeft w:val="1166"/>
          <w:marRight w:val="0"/>
          <w:marTop w:val="0"/>
          <w:marBottom w:val="0"/>
          <w:divBdr>
            <w:top w:val="none" w:sz="0" w:space="0" w:color="auto"/>
            <w:left w:val="none" w:sz="0" w:space="0" w:color="auto"/>
            <w:bottom w:val="none" w:sz="0" w:space="0" w:color="auto"/>
            <w:right w:val="none" w:sz="0" w:space="0" w:color="auto"/>
          </w:divBdr>
        </w:div>
      </w:divsChild>
    </w:div>
    <w:div w:id="1726485092">
      <w:bodyDiv w:val="1"/>
      <w:marLeft w:val="0"/>
      <w:marRight w:val="0"/>
      <w:marTop w:val="0"/>
      <w:marBottom w:val="0"/>
      <w:divBdr>
        <w:top w:val="none" w:sz="0" w:space="0" w:color="auto"/>
        <w:left w:val="none" w:sz="0" w:space="0" w:color="auto"/>
        <w:bottom w:val="none" w:sz="0" w:space="0" w:color="auto"/>
        <w:right w:val="none" w:sz="0" w:space="0" w:color="auto"/>
      </w:divBdr>
      <w:divsChild>
        <w:div w:id="82459595">
          <w:marLeft w:val="1166"/>
          <w:marRight w:val="0"/>
          <w:marTop w:val="0"/>
          <w:marBottom w:val="0"/>
          <w:divBdr>
            <w:top w:val="none" w:sz="0" w:space="0" w:color="auto"/>
            <w:left w:val="none" w:sz="0" w:space="0" w:color="auto"/>
            <w:bottom w:val="none" w:sz="0" w:space="0" w:color="auto"/>
            <w:right w:val="none" w:sz="0" w:space="0" w:color="auto"/>
          </w:divBdr>
        </w:div>
        <w:div w:id="1428697461">
          <w:marLeft w:val="547"/>
          <w:marRight w:val="0"/>
          <w:marTop w:val="0"/>
          <w:marBottom w:val="0"/>
          <w:divBdr>
            <w:top w:val="none" w:sz="0" w:space="0" w:color="auto"/>
            <w:left w:val="none" w:sz="0" w:space="0" w:color="auto"/>
            <w:bottom w:val="none" w:sz="0" w:space="0" w:color="auto"/>
            <w:right w:val="none" w:sz="0" w:space="0" w:color="auto"/>
          </w:divBdr>
        </w:div>
      </w:divsChild>
    </w:div>
    <w:div w:id="1746339890">
      <w:bodyDiv w:val="1"/>
      <w:marLeft w:val="0"/>
      <w:marRight w:val="0"/>
      <w:marTop w:val="0"/>
      <w:marBottom w:val="0"/>
      <w:divBdr>
        <w:top w:val="none" w:sz="0" w:space="0" w:color="auto"/>
        <w:left w:val="none" w:sz="0" w:space="0" w:color="auto"/>
        <w:bottom w:val="none" w:sz="0" w:space="0" w:color="auto"/>
        <w:right w:val="none" w:sz="0" w:space="0" w:color="auto"/>
      </w:divBdr>
    </w:div>
    <w:div w:id="1746761432">
      <w:bodyDiv w:val="1"/>
      <w:marLeft w:val="0"/>
      <w:marRight w:val="0"/>
      <w:marTop w:val="0"/>
      <w:marBottom w:val="0"/>
      <w:divBdr>
        <w:top w:val="none" w:sz="0" w:space="0" w:color="auto"/>
        <w:left w:val="none" w:sz="0" w:space="0" w:color="auto"/>
        <w:bottom w:val="none" w:sz="0" w:space="0" w:color="auto"/>
        <w:right w:val="none" w:sz="0" w:space="0" w:color="auto"/>
      </w:divBdr>
    </w:div>
    <w:div w:id="1798062460">
      <w:bodyDiv w:val="1"/>
      <w:marLeft w:val="0"/>
      <w:marRight w:val="0"/>
      <w:marTop w:val="0"/>
      <w:marBottom w:val="0"/>
      <w:divBdr>
        <w:top w:val="none" w:sz="0" w:space="0" w:color="auto"/>
        <w:left w:val="none" w:sz="0" w:space="0" w:color="auto"/>
        <w:bottom w:val="none" w:sz="0" w:space="0" w:color="auto"/>
        <w:right w:val="none" w:sz="0" w:space="0" w:color="auto"/>
      </w:divBdr>
    </w:div>
    <w:div w:id="1808401672">
      <w:bodyDiv w:val="1"/>
      <w:marLeft w:val="0"/>
      <w:marRight w:val="0"/>
      <w:marTop w:val="0"/>
      <w:marBottom w:val="0"/>
      <w:divBdr>
        <w:top w:val="none" w:sz="0" w:space="0" w:color="auto"/>
        <w:left w:val="none" w:sz="0" w:space="0" w:color="auto"/>
        <w:bottom w:val="none" w:sz="0" w:space="0" w:color="auto"/>
        <w:right w:val="none" w:sz="0" w:space="0" w:color="auto"/>
      </w:divBdr>
    </w:div>
    <w:div w:id="1815440533">
      <w:bodyDiv w:val="1"/>
      <w:marLeft w:val="0"/>
      <w:marRight w:val="0"/>
      <w:marTop w:val="0"/>
      <w:marBottom w:val="0"/>
      <w:divBdr>
        <w:top w:val="none" w:sz="0" w:space="0" w:color="auto"/>
        <w:left w:val="none" w:sz="0" w:space="0" w:color="auto"/>
        <w:bottom w:val="none" w:sz="0" w:space="0" w:color="auto"/>
        <w:right w:val="none" w:sz="0" w:space="0" w:color="auto"/>
      </w:divBdr>
    </w:div>
    <w:div w:id="1899129536">
      <w:bodyDiv w:val="1"/>
      <w:marLeft w:val="0"/>
      <w:marRight w:val="0"/>
      <w:marTop w:val="0"/>
      <w:marBottom w:val="0"/>
      <w:divBdr>
        <w:top w:val="none" w:sz="0" w:space="0" w:color="auto"/>
        <w:left w:val="none" w:sz="0" w:space="0" w:color="auto"/>
        <w:bottom w:val="none" w:sz="0" w:space="0" w:color="auto"/>
        <w:right w:val="none" w:sz="0" w:space="0" w:color="auto"/>
      </w:divBdr>
    </w:div>
    <w:div w:id="1990554794">
      <w:bodyDiv w:val="1"/>
      <w:marLeft w:val="0"/>
      <w:marRight w:val="0"/>
      <w:marTop w:val="0"/>
      <w:marBottom w:val="0"/>
      <w:divBdr>
        <w:top w:val="none" w:sz="0" w:space="0" w:color="auto"/>
        <w:left w:val="none" w:sz="0" w:space="0" w:color="auto"/>
        <w:bottom w:val="none" w:sz="0" w:space="0" w:color="auto"/>
        <w:right w:val="none" w:sz="0" w:space="0" w:color="auto"/>
      </w:divBdr>
    </w:div>
    <w:div w:id="2012558384">
      <w:bodyDiv w:val="1"/>
      <w:marLeft w:val="0"/>
      <w:marRight w:val="0"/>
      <w:marTop w:val="0"/>
      <w:marBottom w:val="0"/>
      <w:divBdr>
        <w:top w:val="none" w:sz="0" w:space="0" w:color="auto"/>
        <w:left w:val="none" w:sz="0" w:space="0" w:color="auto"/>
        <w:bottom w:val="none" w:sz="0" w:space="0" w:color="auto"/>
        <w:right w:val="none" w:sz="0" w:space="0" w:color="auto"/>
      </w:divBdr>
    </w:div>
    <w:div w:id="2027704863">
      <w:bodyDiv w:val="1"/>
      <w:marLeft w:val="0"/>
      <w:marRight w:val="0"/>
      <w:marTop w:val="0"/>
      <w:marBottom w:val="0"/>
      <w:divBdr>
        <w:top w:val="none" w:sz="0" w:space="0" w:color="auto"/>
        <w:left w:val="none" w:sz="0" w:space="0" w:color="auto"/>
        <w:bottom w:val="none" w:sz="0" w:space="0" w:color="auto"/>
        <w:right w:val="none" w:sz="0" w:space="0" w:color="auto"/>
      </w:divBdr>
    </w:div>
    <w:div w:id="2065443199">
      <w:bodyDiv w:val="1"/>
      <w:marLeft w:val="0"/>
      <w:marRight w:val="0"/>
      <w:marTop w:val="0"/>
      <w:marBottom w:val="0"/>
      <w:divBdr>
        <w:top w:val="none" w:sz="0" w:space="0" w:color="auto"/>
        <w:left w:val="none" w:sz="0" w:space="0" w:color="auto"/>
        <w:bottom w:val="none" w:sz="0" w:space="0" w:color="auto"/>
        <w:right w:val="none" w:sz="0" w:space="0" w:color="auto"/>
      </w:divBdr>
    </w:div>
    <w:div w:id="2069571851">
      <w:bodyDiv w:val="1"/>
      <w:marLeft w:val="0"/>
      <w:marRight w:val="0"/>
      <w:marTop w:val="0"/>
      <w:marBottom w:val="0"/>
      <w:divBdr>
        <w:top w:val="none" w:sz="0" w:space="0" w:color="auto"/>
        <w:left w:val="none" w:sz="0" w:space="0" w:color="auto"/>
        <w:bottom w:val="none" w:sz="0" w:space="0" w:color="auto"/>
        <w:right w:val="none" w:sz="0" w:space="0" w:color="auto"/>
      </w:divBdr>
      <w:divsChild>
        <w:div w:id="175537128">
          <w:marLeft w:val="144"/>
          <w:marRight w:val="0"/>
          <w:marTop w:val="260"/>
          <w:marBottom w:val="0"/>
          <w:divBdr>
            <w:top w:val="none" w:sz="0" w:space="0" w:color="auto"/>
            <w:left w:val="none" w:sz="0" w:space="0" w:color="auto"/>
            <w:bottom w:val="none" w:sz="0" w:space="0" w:color="auto"/>
            <w:right w:val="none" w:sz="0" w:space="0" w:color="auto"/>
          </w:divBdr>
        </w:div>
        <w:div w:id="362100051">
          <w:marLeft w:val="144"/>
          <w:marRight w:val="0"/>
          <w:marTop w:val="260"/>
          <w:marBottom w:val="0"/>
          <w:divBdr>
            <w:top w:val="none" w:sz="0" w:space="0" w:color="auto"/>
            <w:left w:val="none" w:sz="0" w:space="0" w:color="auto"/>
            <w:bottom w:val="none" w:sz="0" w:space="0" w:color="auto"/>
            <w:right w:val="none" w:sz="0" w:space="0" w:color="auto"/>
          </w:divBdr>
        </w:div>
        <w:div w:id="367419051">
          <w:marLeft w:val="144"/>
          <w:marRight w:val="0"/>
          <w:marTop w:val="260"/>
          <w:marBottom w:val="0"/>
          <w:divBdr>
            <w:top w:val="none" w:sz="0" w:space="0" w:color="auto"/>
            <w:left w:val="none" w:sz="0" w:space="0" w:color="auto"/>
            <w:bottom w:val="none" w:sz="0" w:space="0" w:color="auto"/>
            <w:right w:val="none" w:sz="0" w:space="0" w:color="auto"/>
          </w:divBdr>
        </w:div>
        <w:div w:id="675495566">
          <w:marLeft w:val="144"/>
          <w:marRight w:val="0"/>
          <w:marTop w:val="260"/>
          <w:marBottom w:val="0"/>
          <w:divBdr>
            <w:top w:val="none" w:sz="0" w:space="0" w:color="auto"/>
            <w:left w:val="none" w:sz="0" w:space="0" w:color="auto"/>
            <w:bottom w:val="none" w:sz="0" w:space="0" w:color="auto"/>
            <w:right w:val="none" w:sz="0" w:space="0" w:color="auto"/>
          </w:divBdr>
        </w:div>
        <w:div w:id="785661914">
          <w:marLeft w:val="144"/>
          <w:marRight w:val="0"/>
          <w:marTop w:val="260"/>
          <w:marBottom w:val="0"/>
          <w:divBdr>
            <w:top w:val="none" w:sz="0" w:space="0" w:color="auto"/>
            <w:left w:val="none" w:sz="0" w:space="0" w:color="auto"/>
            <w:bottom w:val="none" w:sz="0" w:space="0" w:color="auto"/>
            <w:right w:val="none" w:sz="0" w:space="0" w:color="auto"/>
          </w:divBdr>
        </w:div>
        <w:div w:id="1220901013">
          <w:marLeft w:val="144"/>
          <w:marRight w:val="0"/>
          <w:marTop w:val="260"/>
          <w:marBottom w:val="0"/>
          <w:divBdr>
            <w:top w:val="none" w:sz="0" w:space="0" w:color="auto"/>
            <w:left w:val="none" w:sz="0" w:space="0" w:color="auto"/>
            <w:bottom w:val="none" w:sz="0" w:space="0" w:color="auto"/>
            <w:right w:val="none" w:sz="0" w:space="0" w:color="auto"/>
          </w:divBdr>
        </w:div>
        <w:div w:id="1485975602">
          <w:marLeft w:val="144"/>
          <w:marRight w:val="0"/>
          <w:marTop w:val="260"/>
          <w:marBottom w:val="0"/>
          <w:divBdr>
            <w:top w:val="none" w:sz="0" w:space="0" w:color="auto"/>
            <w:left w:val="none" w:sz="0" w:space="0" w:color="auto"/>
            <w:bottom w:val="none" w:sz="0" w:space="0" w:color="auto"/>
            <w:right w:val="none" w:sz="0" w:space="0" w:color="auto"/>
          </w:divBdr>
        </w:div>
        <w:div w:id="1632781587">
          <w:marLeft w:val="144"/>
          <w:marRight w:val="0"/>
          <w:marTop w:val="260"/>
          <w:marBottom w:val="0"/>
          <w:divBdr>
            <w:top w:val="none" w:sz="0" w:space="0" w:color="auto"/>
            <w:left w:val="none" w:sz="0" w:space="0" w:color="auto"/>
            <w:bottom w:val="none" w:sz="0" w:space="0" w:color="auto"/>
            <w:right w:val="none" w:sz="0" w:space="0" w:color="auto"/>
          </w:divBdr>
        </w:div>
      </w:divsChild>
    </w:div>
    <w:div w:id="2079940114">
      <w:bodyDiv w:val="1"/>
      <w:marLeft w:val="0"/>
      <w:marRight w:val="0"/>
      <w:marTop w:val="0"/>
      <w:marBottom w:val="0"/>
      <w:divBdr>
        <w:top w:val="none" w:sz="0" w:space="0" w:color="auto"/>
        <w:left w:val="none" w:sz="0" w:space="0" w:color="auto"/>
        <w:bottom w:val="none" w:sz="0" w:space="0" w:color="auto"/>
        <w:right w:val="none" w:sz="0" w:space="0" w:color="auto"/>
      </w:divBdr>
    </w:div>
    <w:div w:id="2111200170">
      <w:bodyDiv w:val="1"/>
      <w:marLeft w:val="0"/>
      <w:marRight w:val="0"/>
      <w:marTop w:val="0"/>
      <w:marBottom w:val="0"/>
      <w:divBdr>
        <w:top w:val="none" w:sz="0" w:space="0" w:color="auto"/>
        <w:left w:val="none" w:sz="0" w:space="0" w:color="auto"/>
        <w:bottom w:val="none" w:sz="0" w:space="0" w:color="auto"/>
        <w:right w:val="none" w:sz="0" w:space="0" w:color="auto"/>
      </w:divBdr>
    </w:div>
    <w:div w:id="2133397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chart" Target="charts/chart7.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8.xml"/><Relationship Id="rId4" Type="http://schemas.openxmlformats.org/officeDocument/2006/relationships/styles" Target="styles.xml"/><Relationship Id="rId9" Type="http://schemas.openxmlformats.org/officeDocument/2006/relationships/chart" Target="charts/chart1.xml"/><Relationship Id="rId14" Type="http://schemas.openxmlformats.org/officeDocument/2006/relationships/image" Target="media/image1.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J:\GRAFICOS\ACCIDENTES%20DE%20MOTO%20+LES%20+FALLE+%20%25%20ANUA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J:\GRAFICOS\PARQUE%20VEHICULAR.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8.xml.rels><?xml version="1.0" encoding="UTF-8" standalone="yes"?>
<Relationships xmlns="http://schemas.openxmlformats.org/package/2006/relationships"><Relationship Id="rId3" Type="http://schemas.openxmlformats.org/officeDocument/2006/relationships/oleObject" Target="file:///J:\GRAFICOS\GRAFICO%20PARQUE%20VEHICULAR%20Y%20MOTOS%20MAS%20CRECIMIENTO%20ANUA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usr_conasevi\Desktop\A%20MOD.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2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1714785651792"/>
          <c:y val="2.5428331875182269E-2"/>
          <c:w val="0.85862729658792647"/>
          <c:h val="0.73577136191309422"/>
        </c:manualLayout>
      </c:layout>
      <c:bar3DChart>
        <c:barDir val="col"/>
        <c:grouping val="clustered"/>
        <c:varyColors val="0"/>
        <c:ser>
          <c:idx val="0"/>
          <c:order val="0"/>
          <c:tx>
            <c:strRef>
              <c:f>Hoja1!$A$2</c:f>
              <c:strCache>
                <c:ptCount val="1"/>
                <c:pt idx="0">
                  <c:v>ACCIDENTES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Pt>
            <c:idx val="0"/>
            <c:invertIfNegative val="0"/>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dPt>
          <c:dPt>
            <c:idx val="1"/>
            <c:invertIfNegative val="0"/>
            <c:bubble3D val="0"/>
            <c:spPr>
              <a:solidFill>
                <a:schemeClr val="accent3">
                  <a:lumMod val="75000"/>
                </a:schemeClr>
              </a:solidFill>
              <a:ln>
                <a:noFill/>
              </a:ln>
              <a:effectLst>
                <a:outerShdw blurRad="40000" dist="230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Hoja1!$B$1:$C$1</c:f>
              <c:numCache>
                <c:formatCode>General</c:formatCode>
                <c:ptCount val="2"/>
                <c:pt idx="0">
                  <c:v>2015</c:v>
                </c:pt>
                <c:pt idx="1">
                  <c:v>2016</c:v>
                </c:pt>
              </c:numCache>
            </c:numRef>
          </c:cat>
          <c:val>
            <c:numRef>
              <c:f>Hoja1!$B$2:$C$2</c:f>
              <c:numCache>
                <c:formatCode>General</c:formatCode>
                <c:ptCount val="2"/>
                <c:pt idx="0" formatCode="#,##0">
                  <c:v>22299</c:v>
                </c:pt>
                <c:pt idx="1">
                  <c:v>22943</c:v>
                </c:pt>
              </c:numCache>
            </c:numRef>
          </c:val>
        </c:ser>
        <c:dLbls>
          <c:showLegendKey val="0"/>
          <c:showVal val="0"/>
          <c:showCatName val="0"/>
          <c:showSerName val="0"/>
          <c:showPercent val="0"/>
          <c:showBubbleSize val="0"/>
        </c:dLbls>
        <c:gapWidth val="100"/>
        <c:shape val="box"/>
        <c:axId val="365458144"/>
        <c:axId val="371219792"/>
        <c:axId val="0"/>
      </c:bar3DChart>
      <c:catAx>
        <c:axId val="365458144"/>
        <c:scaling>
          <c:orientation val="minMax"/>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219792"/>
        <c:crosses val="autoZero"/>
        <c:auto val="1"/>
        <c:lblAlgn val="ctr"/>
        <c:lblOffset val="100"/>
        <c:noMultiLvlLbl val="0"/>
      </c:catAx>
      <c:valAx>
        <c:axId val="371219792"/>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6545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2015</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Hoja1!$A$2:$A$6</c:f>
              <c:strCache>
                <c:ptCount val="5"/>
                <c:pt idx="0">
                  <c:v>Región Metropolitana</c:v>
                </c:pt>
                <c:pt idx="1">
                  <c:v>Región Central</c:v>
                </c:pt>
                <c:pt idx="2">
                  <c:v>Región Paracentral</c:v>
                </c:pt>
                <c:pt idx="3">
                  <c:v>Región Oriental</c:v>
                </c:pt>
                <c:pt idx="4">
                  <c:v>Región Occidental</c:v>
                </c:pt>
              </c:strCache>
            </c:strRef>
          </c:cat>
          <c:val>
            <c:numRef>
              <c:f>Hoja1!$B$2:$B$6</c:f>
              <c:numCache>
                <c:formatCode>General</c:formatCode>
                <c:ptCount val="5"/>
                <c:pt idx="0">
                  <c:v>11740</c:v>
                </c:pt>
                <c:pt idx="1">
                  <c:v>3462</c:v>
                </c:pt>
                <c:pt idx="2">
                  <c:v>1332</c:v>
                </c:pt>
                <c:pt idx="3">
                  <c:v>2979</c:v>
                </c:pt>
                <c:pt idx="4">
                  <c:v>2786</c:v>
                </c:pt>
              </c:numCache>
            </c:numRef>
          </c:val>
        </c:ser>
        <c:ser>
          <c:idx val="1"/>
          <c:order val="1"/>
          <c:tx>
            <c:strRef>
              <c:f>Hoja1!$C$1</c:f>
              <c:strCache>
                <c:ptCount val="1"/>
                <c:pt idx="0">
                  <c:v>2016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Hoja1!$A$2:$A$6</c:f>
              <c:strCache>
                <c:ptCount val="5"/>
                <c:pt idx="0">
                  <c:v>Región Metropolitana</c:v>
                </c:pt>
                <c:pt idx="1">
                  <c:v>Región Central</c:v>
                </c:pt>
                <c:pt idx="2">
                  <c:v>Región Paracentral</c:v>
                </c:pt>
                <c:pt idx="3">
                  <c:v>Región Oriental</c:v>
                </c:pt>
                <c:pt idx="4">
                  <c:v>Región Occidental</c:v>
                </c:pt>
              </c:strCache>
            </c:strRef>
          </c:cat>
          <c:val>
            <c:numRef>
              <c:f>Hoja1!$C$2:$C$6</c:f>
              <c:numCache>
                <c:formatCode>General</c:formatCode>
                <c:ptCount val="5"/>
                <c:pt idx="0">
                  <c:v>12344</c:v>
                </c:pt>
                <c:pt idx="1">
                  <c:v>3264</c:v>
                </c:pt>
                <c:pt idx="2">
                  <c:v>1439</c:v>
                </c:pt>
                <c:pt idx="3">
                  <c:v>3004</c:v>
                </c:pt>
                <c:pt idx="4">
                  <c:v>2892</c:v>
                </c:pt>
              </c:numCache>
            </c:numRef>
          </c:val>
        </c:ser>
        <c:dLbls>
          <c:showLegendKey val="0"/>
          <c:showVal val="0"/>
          <c:showCatName val="0"/>
          <c:showSerName val="0"/>
          <c:showPercent val="0"/>
          <c:showBubbleSize val="0"/>
        </c:dLbls>
        <c:gapWidth val="247"/>
        <c:overlap val="-27"/>
        <c:axId val="371224272"/>
        <c:axId val="371227072"/>
      </c:barChart>
      <c:lineChart>
        <c:grouping val="standard"/>
        <c:varyColors val="0"/>
        <c:ser>
          <c:idx val="2"/>
          <c:order val="2"/>
          <c:tx>
            <c:strRef>
              <c:f>Hoja1!$D$1</c:f>
              <c:strCache>
                <c:ptCount val="1"/>
                <c:pt idx="0">
                  <c:v>Diferencia Porcentual</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Hoja1!$A$2:$A$6</c:f>
              <c:strCache>
                <c:ptCount val="5"/>
                <c:pt idx="0">
                  <c:v>Región Metropolitana</c:v>
                </c:pt>
                <c:pt idx="1">
                  <c:v>Región Central</c:v>
                </c:pt>
                <c:pt idx="2">
                  <c:v>Región Paracentral</c:v>
                </c:pt>
                <c:pt idx="3">
                  <c:v>Región Oriental</c:v>
                </c:pt>
                <c:pt idx="4">
                  <c:v>Región Occidental</c:v>
                </c:pt>
              </c:strCache>
            </c:strRef>
          </c:cat>
          <c:val>
            <c:numRef>
              <c:f>Hoja1!$D$2:$D$6</c:f>
              <c:numCache>
                <c:formatCode>0.00%</c:formatCode>
                <c:ptCount val="5"/>
                <c:pt idx="0">
                  <c:v>5.0999999999999997E-2</c:v>
                </c:pt>
                <c:pt idx="1">
                  <c:v>-5.7000000000000002E-2</c:v>
                </c:pt>
                <c:pt idx="2" formatCode="0%">
                  <c:v>0.08</c:v>
                </c:pt>
                <c:pt idx="3">
                  <c:v>8.0000000000000002E-3</c:v>
                </c:pt>
                <c:pt idx="4">
                  <c:v>2.9000000000000001E-2</c:v>
                </c:pt>
              </c:numCache>
            </c:numRef>
          </c:val>
          <c:smooth val="0"/>
        </c:ser>
        <c:dLbls>
          <c:showLegendKey val="0"/>
          <c:showVal val="0"/>
          <c:showCatName val="0"/>
          <c:showSerName val="0"/>
          <c:showPercent val="0"/>
          <c:showBubbleSize val="0"/>
        </c:dLbls>
        <c:marker val="1"/>
        <c:smooth val="0"/>
        <c:axId val="371196272"/>
        <c:axId val="371200752"/>
      </c:lineChart>
      <c:catAx>
        <c:axId val="371224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227072"/>
        <c:crosses val="autoZero"/>
        <c:auto val="1"/>
        <c:lblAlgn val="ctr"/>
        <c:lblOffset val="100"/>
        <c:noMultiLvlLbl val="0"/>
      </c:catAx>
      <c:valAx>
        <c:axId val="371227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224272"/>
        <c:crosses val="autoZero"/>
        <c:crossBetween val="between"/>
      </c:valAx>
      <c:valAx>
        <c:axId val="37120075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196272"/>
        <c:crosses val="max"/>
        <c:crossBetween val="between"/>
      </c:valAx>
      <c:catAx>
        <c:axId val="371196272"/>
        <c:scaling>
          <c:orientation val="minMax"/>
        </c:scaling>
        <c:delete val="1"/>
        <c:axPos val="b"/>
        <c:numFmt formatCode="General" sourceLinked="1"/>
        <c:majorTickMark val="none"/>
        <c:minorTickMark val="none"/>
        <c:tickLblPos val="nextTo"/>
        <c:crossAx val="3712007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COLISION</c:v>
                </c:pt>
                <c:pt idx="1">
                  <c:v>CHOQUE</c:v>
                </c:pt>
                <c:pt idx="2">
                  <c:v>VUELCO</c:v>
                </c:pt>
                <c:pt idx="3">
                  <c:v>ATROPELLO</c:v>
                </c:pt>
              </c:strCache>
            </c:strRef>
          </c:cat>
          <c:val>
            <c:numRef>
              <c:f>Hoja1!$B$2:$B$5</c:f>
              <c:numCache>
                <c:formatCode>General</c:formatCode>
                <c:ptCount val="4"/>
                <c:pt idx="0">
                  <c:v>308</c:v>
                </c:pt>
                <c:pt idx="1">
                  <c:v>138</c:v>
                </c:pt>
                <c:pt idx="2">
                  <c:v>63</c:v>
                </c:pt>
                <c:pt idx="3">
                  <c:v>578</c:v>
                </c:pt>
              </c:numCache>
            </c:numRef>
          </c:val>
        </c:ser>
        <c:ser>
          <c:idx val="1"/>
          <c:order val="1"/>
          <c:tx>
            <c:strRef>
              <c:f>Hoja1!$C$1</c:f>
              <c:strCache>
                <c:ptCount val="1"/>
                <c:pt idx="0">
                  <c:v>2016</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COLISION</c:v>
                </c:pt>
                <c:pt idx="1">
                  <c:v>CHOQUE</c:v>
                </c:pt>
                <c:pt idx="2">
                  <c:v>VUELCO</c:v>
                </c:pt>
                <c:pt idx="3">
                  <c:v>ATROPELLO</c:v>
                </c:pt>
              </c:strCache>
            </c:strRef>
          </c:cat>
          <c:val>
            <c:numRef>
              <c:f>Hoja1!$C$2:$C$5</c:f>
              <c:numCache>
                <c:formatCode>General</c:formatCode>
                <c:ptCount val="4"/>
                <c:pt idx="0">
                  <c:v>325</c:v>
                </c:pt>
                <c:pt idx="1">
                  <c:v>188</c:v>
                </c:pt>
                <c:pt idx="2">
                  <c:v>52</c:v>
                </c:pt>
                <c:pt idx="3">
                  <c:v>585</c:v>
                </c:pt>
              </c:numCache>
            </c:numRef>
          </c:val>
        </c:ser>
        <c:dLbls>
          <c:showLegendKey val="0"/>
          <c:showVal val="0"/>
          <c:showCatName val="0"/>
          <c:showSerName val="0"/>
          <c:showPercent val="0"/>
          <c:showBubbleSize val="0"/>
        </c:dLbls>
        <c:gapWidth val="247"/>
        <c:axId val="371220352"/>
        <c:axId val="371222032"/>
      </c:barChart>
      <c:lineChart>
        <c:grouping val="standard"/>
        <c:varyColors val="0"/>
        <c:ser>
          <c:idx val="2"/>
          <c:order val="2"/>
          <c:tx>
            <c:strRef>
              <c:f>Hoja1!$D$1</c:f>
              <c:strCache>
                <c:ptCount val="1"/>
                <c:pt idx="0">
                  <c:v>RESULTADO PORCELTUAL </c:v>
                </c:pt>
              </c:strCache>
            </c:strRef>
          </c:tx>
          <c:spPr>
            <a:ln w="22225" cap="rnd">
              <a:solidFill>
                <a:schemeClr val="accent4"/>
              </a:solidFill>
              <a:round/>
            </a:ln>
            <a:effectLst/>
          </c:spPr>
          <c:marker>
            <c:symbol val="none"/>
          </c:marker>
          <c:dLbls>
            <c:dLbl>
              <c:idx val="0"/>
              <c:layout>
                <c:manualLayout>
                  <c:x val="-6.9444444444444657E-3"/>
                  <c:y val="-8.33333333333334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Hoja1!$A$2:$A$5</c:f>
              <c:strCache>
                <c:ptCount val="4"/>
                <c:pt idx="0">
                  <c:v>COLISION</c:v>
                </c:pt>
                <c:pt idx="1">
                  <c:v>CHOQUE</c:v>
                </c:pt>
                <c:pt idx="2">
                  <c:v>VUELCO</c:v>
                </c:pt>
                <c:pt idx="3">
                  <c:v>ATROPELLO</c:v>
                </c:pt>
              </c:strCache>
            </c:strRef>
          </c:cat>
          <c:val>
            <c:numRef>
              <c:f>Hoja1!$D$2:$D$5</c:f>
              <c:numCache>
                <c:formatCode>0.00%</c:formatCode>
                <c:ptCount val="4"/>
                <c:pt idx="0">
                  <c:v>5.5E-2</c:v>
                </c:pt>
                <c:pt idx="1">
                  <c:v>0.36199999999999999</c:v>
                </c:pt>
                <c:pt idx="2">
                  <c:v>-0.17499999999999999</c:v>
                </c:pt>
                <c:pt idx="3">
                  <c:v>7.0000000000000001E-3</c:v>
                </c:pt>
              </c:numCache>
            </c:numRef>
          </c:val>
          <c:smooth val="0"/>
        </c:ser>
        <c:dLbls>
          <c:showLegendKey val="0"/>
          <c:showVal val="0"/>
          <c:showCatName val="0"/>
          <c:showSerName val="0"/>
          <c:showPercent val="0"/>
          <c:showBubbleSize val="0"/>
        </c:dLbls>
        <c:marker val="1"/>
        <c:smooth val="0"/>
        <c:axId val="371204112"/>
        <c:axId val="371205792"/>
      </c:lineChart>
      <c:catAx>
        <c:axId val="3712203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SV"/>
          </a:p>
        </c:txPr>
        <c:crossAx val="371222032"/>
        <c:crosses val="autoZero"/>
        <c:auto val="1"/>
        <c:lblAlgn val="ctr"/>
        <c:lblOffset val="100"/>
        <c:noMultiLvlLbl val="0"/>
      </c:catAx>
      <c:valAx>
        <c:axId val="3712220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SV"/>
          </a:p>
        </c:txPr>
        <c:crossAx val="371220352"/>
        <c:crosses val="autoZero"/>
        <c:crossBetween val="between"/>
      </c:valAx>
      <c:valAx>
        <c:axId val="371205792"/>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SV"/>
          </a:p>
        </c:txPr>
        <c:crossAx val="371204112"/>
        <c:crosses val="max"/>
        <c:crossBetween val="between"/>
      </c:valAx>
      <c:catAx>
        <c:axId val="371204112"/>
        <c:scaling>
          <c:orientation val="minMax"/>
        </c:scaling>
        <c:delete val="1"/>
        <c:axPos val="b"/>
        <c:numFmt formatCode="General" sourceLinked="1"/>
        <c:majorTickMark val="out"/>
        <c:minorTickMark val="none"/>
        <c:tickLblPos val="nextTo"/>
        <c:crossAx val="371205792"/>
        <c:crosses val="autoZero"/>
        <c:auto val="1"/>
        <c:lblAlgn val="ctr"/>
        <c:lblOffset val="100"/>
        <c:noMultiLvlLbl val="0"/>
      </c:cat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SV"/>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S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2015</c:v>
                </c:pt>
              </c:strCache>
            </c:strRef>
          </c:tx>
          <c:spPr>
            <a:solidFill>
              <a:schemeClr val="accent6"/>
            </a:solidFill>
            <a:ln>
              <a:noFill/>
            </a:ln>
            <a:effectLst/>
          </c:spPr>
          <c:invertIfNegative val="0"/>
          <c:dLbls>
            <c:dLbl>
              <c:idx val="4"/>
              <c:layout>
                <c:manualLayout>
                  <c:x val="-2.546296296296296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9.2592592592592587E-3"/>
                  <c:y val="-5.158730158730166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6"/>
                <c:pt idx="0">
                  <c:v>INVADIR CARRIL</c:v>
                </c:pt>
                <c:pt idx="1">
                  <c:v>DISTRACCION DEL CONDUCTOR</c:v>
                </c:pt>
                <c:pt idx="2">
                  <c:v>NO RESPETAR SEÑAL DE PRIORIDAD</c:v>
                </c:pt>
                <c:pt idx="3">
                  <c:v>NO GUARDAR DISTANCIA REGLAMENTARIA</c:v>
                </c:pt>
                <c:pt idx="4">
                  <c:v>VELOCIDAD INADECUADA</c:v>
                </c:pt>
                <c:pt idx="5">
                  <c:v>ESTADO DE EBRIEDAD </c:v>
                </c:pt>
              </c:strCache>
            </c:strRef>
          </c:cat>
          <c:val>
            <c:numRef>
              <c:f>Hoja1!$B$2:$B$8</c:f>
              <c:numCache>
                <c:formatCode>General</c:formatCode>
                <c:ptCount val="7"/>
                <c:pt idx="0">
                  <c:v>4709</c:v>
                </c:pt>
                <c:pt idx="1">
                  <c:v>4992</c:v>
                </c:pt>
                <c:pt idx="2">
                  <c:v>3631</c:v>
                </c:pt>
                <c:pt idx="3">
                  <c:v>3522</c:v>
                </c:pt>
                <c:pt idx="4">
                  <c:v>1244</c:v>
                </c:pt>
                <c:pt idx="5">
                  <c:v>598</c:v>
                </c:pt>
              </c:numCache>
            </c:numRef>
          </c:val>
        </c:ser>
        <c:ser>
          <c:idx val="1"/>
          <c:order val="1"/>
          <c:tx>
            <c:strRef>
              <c:f>Hoja1!$C$1</c:f>
              <c:strCache>
                <c:ptCount val="1"/>
                <c:pt idx="0">
                  <c:v>2016</c:v>
                </c:pt>
              </c:strCache>
            </c:strRef>
          </c:tx>
          <c:spPr>
            <a:solidFill>
              <a:schemeClr val="accent5"/>
            </a:solidFill>
            <a:ln>
              <a:noFill/>
            </a:ln>
            <a:effectLst/>
          </c:spPr>
          <c:invertIfNegative val="0"/>
          <c:dLbls>
            <c:dLbl>
              <c:idx val="0"/>
              <c:layout>
                <c:manualLayout>
                  <c:x val="1.1574074074074073E-2"/>
                  <c:y val="6.34920634920634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4.761904761904758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203703703703703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620370370370362E-2"/>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148148148148147E-3"/>
                  <c:y val="8.73015873015872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6"/>
                <c:pt idx="0">
                  <c:v>INVADIR CARRIL</c:v>
                </c:pt>
                <c:pt idx="1">
                  <c:v>DISTRACCION DEL CONDUCTOR</c:v>
                </c:pt>
                <c:pt idx="2">
                  <c:v>NO RESPETAR SEÑAL DE PRIORIDAD</c:v>
                </c:pt>
                <c:pt idx="3">
                  <c:v>NO GUARDAR DISTANCIA REGLAMENTARIA</c:v>
                </c:pt>
                <c:pt idx="4">
                  <c:v>VELOCIDAD INADECUADA</c:v>
                </c:pt>
                <c:pt idx="5">
                  <c:v>ESTADO DE EBRIEDAD </c:v>
                </c:pt>
              </c:strCache>
            </c:strRef>
          </c:cat>
          <c:val>
            <c:numRef>
              <c:f>Hoja1!$C$2:$C$8</c:f>
              <c:numCache>
                <c:formatCode>General</c:formatCode>
                <c:ptCount val="7"/>
                <c:pt idx="0">
                  <c:v>5150</c:v>
                </c:pt>
                <c:pt idx="1">
                  <c:v>4734</c:v>
                </c:pt>
                <c:pt idx="2">
                  <c:v>4007</c:v>
                </c:pt>
                <c:pt idx="3">
                  <c:v>3577</c:v>
                </c:pt>
                <c:pt idx="4">
                  <c:v>1437</c:v>
                </c:pt>
                <c:pt idx="5">
                  <c:v>476</c:v>
                </c:pt>
              </c:numCache>
            </c:numRef>
          </c:val>
        </c:ser>
        <c:dLbls>
          <c:showLegendKey val="0"/>
          <c:showVal val="0"/>
          <c:showCatName val="0"/>
          <c:showSerName val="0"/>
          <c:showPercent val="0"/>
          <c:showBubbleSize val="0"/>
        </c:dLbls>
        <c:gapWidth val="269"/>
        <c:axId val="371212512"/>
        <c:axId val="371804176"/>
      </c:barChart>
      <c:lineChart>
        <c:grouping val="standard"/>
        <c:varyColors val="0"/>
        <c:ser>
          <c:idx val="2"/>
          <c:order val="2"/>
          <c:tx>
            <c:strRef>
              <c:f>Hoja1!$D$1</c:f>
              <c:strCache>
                <c:ptCount val="1"/>
                <c:pt idx="0">
                  <c:v>PORCENTUAL </c:v>
                </c:pt>
              </c:strCache>
            </c:strRef>
          </c:tx>
          <c:spPr>
            <a:ln w="38100" cap="rnd">
              <a:solidFill>
                <a:schemeClr val="accent4"/>
              </a:solidFill>
              <a:round/>
            </a:ln>
            <a:effectLst/>
          </c:spPr>
          <c:marker>
            <c:symbol val="none"/>
          </c:marker>
          <c:cat>
            <c:strRef>
              <c:f>Hoja1!$A$2:$A$8</c:f>
              <c:strCache>
                <c:ptCount val="6"/>
                <c:pt idx="0">
                  <c:v>INVADIR CARRIL</c:v>
                </c:pt>
                <c:pt idx="1">
                  <c:v>DISTRACCION DEL CONDUCTOR</c:v>
                </c:pt>
                <c:pt idx="2">
                  <c:v>NO RESPETAR SEÑAL DE PRIORIDAD</c:v>
                </c:pt>
                <c:pt idx="3">
                  <c:v>NO GUARDAR DISTANCIA REGLAMENTARIA</c:v>
                </c:pt>
                <c:pt idx="4">
                  <c:v>VELOCIDAD INADECUADA</c:v>
                </c:pt>
                <c:pt idx="5">
                  <c:v>ESTADO DE EBRIEDAD </c:v>
                </c:pt>
              </c:strCache>
            </c:strRef>
          </c:cat>
          <c:val>
            <c:numRef>
              <c:f>Hoja1!#REF!</c:f>
              <c:numCache>
                <c:formatCode>General</c:formatCode>
                <c:ptCount val="1"/>
                <c:pt idx="0">
                  <c:v>1</c:v>
                </c:pt>
              </c:numCache>
            </c:numRef>
          </c:val>
          <c:smooth val="0"/>
        </c:ser>
        <c:ser>
          <c:idx val="3"/>
          <c:order val="3"/>
          <c:tx>
            <c:strRef>
              <c:f>Hoja1!#REF!</c:f>
              <c:strCache>
                <c:ptCount val="1"/>
                <c:pt idx="0">
                  <c:v>#REF!</c:v>
                </c:pt>
              </c:strCache>
            </c:strRef>
          </c:tx>
          <c:spPr>
            <a:ln w="38100" cap="rnd">
              <a:solidFill>
                <a:schemeClr val="accent6">
                  <a:lumMod val="60000"/>
                </a:schemeClr>
              </a:solidFill>
              <a:round/>
            </a:ln>
            <a:effectLst/>
          </c:spPr>
          <c:marker>
            <c:symbol val="none"/>
          </c:marker>
          <c:dLbls>
            <c:dLbl>
              <c:idx val="0"/>
              <c:layout>
                <c:manualLayout>
                  <c:x val="-4.6296296296296294E-3"/>
                  <c:y val="-9.523809523809523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2437781360066642E-17"/>
                  <c:y val="-9.5238095238095233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3148148148148997E-3"/>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3148148148147301E-3"/>
                  <c:y val="-7.539682539682539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1574074074074073E-2"/>
                  <c:y val="-0.13095238095238101"/>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6296296296294602E-3"/>
                  <c:y val="-0.1904761904761904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Hoja1!$A$2:$A$8</c:f>
              <c:strCache>
                <c:ptCount val="6"/>
                <c:pt idx="0">
                  <c:v>INVADIR CARRIL</c:v>
                </c:pt>
                <c:pt idx="1">
                  <c:v>DISTRACCION DEL CONDUCTOR</c:v>
                </c:pt>
                <c:pt idx="2">
                  <c:v>NO RESPETAR SEÑAL DE PRIORIDAD</c:v>
                </c:pt>
                <c:pt idx="3">
                  <c:v>NO GUARDAR DISTANCIA REGLAMENTARIA</c:v>
                </c:pt>
                <c:pt idx="4">
                  <c:v>VELOCIDAD INADECUADA</c:v>
                </c:pt>
                <c:pt idx="5">
                  <c:v>ESTADO DE EBRIEDAD </c:v>
                </c:pt>
              </c:strCache>
            </c:strRef>
          </c:cat>
          <c:val>
            <c:numRef>
              <c:f>Hoja1!$D$2:$D$8</c:f>
              <c:numCache>
                <c:formatCode>0.00%</c:formatCode>
                <c:ptCount val="7"/>
                <c:pt idx="0">
                  <c:v>9.3700000000000006E-2</c:v>
                </c:pt>
                <c:pt idx="1">
                  <c:v>-5.1700000000000003E-2</c:v>
                </c:pt>
                <c:pt idx="2">
                  <c:v>0.10299999999999999</c:v>
                </c:pt>
                <c:pt idx="3">
                  <c:v>1.4999999999999999E-2</c:v>
                </c:pt>
                <c:pt idx="4">
                  <c:v>0.155</c:v>
                </c:pt>
                <c:pt idx="5" formatCode="0.0%">
                  <c:v>-0.21</c:v>
                </c:pt>
              </c:numCache>
            </c:numRef>
          </c:val>
          <c:smooth val="0"/>
        </c:ser>
        <c:dLbls>
          <c:showLegendKey val="0"/>
          <c:showVal val="0"/>
          <c:showCatName val="0"/>
          <c:showSerName val="0"/>
          <c:showPercent val="0"/>
          <c:showBubbleSize val="0"/>
        </c:dLbls>
        <c:marker val="1"/>
        <c:smooth val="0"/>
        <c:axId val="371814816"/>
        <c:axId val="371816496"/>
      </c:lineChart>
      <c:catAx>
        <c:axId val="37121251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SV"/>
          </a:p>
        </c:txPr>
        <c:crossAx val="371804176"/>
        <c:crosses val="autoZero"/>
        <c:auto val="0"/>
        <c:lblAlgn val="ctr"/>
        <c:lblOffset val="100"/>
        <c:noMultiLvlLbl val="0"/>
      </c:catAx>
      <c:valAx>
        <c:axId val="37180417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71212512"/>
        <c:crosses val="autoZero"/>
        <c:crossBetween val="between"/>
      </c:valAx>
      <c:valAx>
        <c:axId val="371816496"/>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71814816"/>
        <c:crosses val="max"/>
        <c:crossBetween val="between"/>
      </c:valAx>
      <c:catAx>
        <c:axId val="371814816"/>
        <c:scaling>
          <c:orientation val="minMax"/>
        </c:scaling>
        <c:delete val="1"/>
        <c:axPos val="b"/>
        <c:numFmt formatCode="General" sourceLinked="1"/>
        <c:majorTickMark val="out"/>
        <c:minorTickMark val="none"/>
        <c:tickLblPos val="nextTo"/>
        <c:crossAx val="371816496"/>
        <c:crosses val="autoZero"/>
        <c:auto val="1"/>
        <c:lblAlgn val="ctr"/>
        <c:lblOffset val="100"/>
        <c:noMultiLvlLbl val="0"/>
      </c:catAx>
      <c:spPr>
        <a:noFill/>
        <a:ln>
          <a:noFill/>
        </a:ln>
        <a:effectLst/>
      </c:spPr>
    </c:plotArea>
    <c:legend>
      <c:legendPos val="t"/>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2015</c:v>
                </c:pt>
              </c:strCache>
            </c:strRef>
          </c:tx>
          <c:spPr>
            <a:solidFill>
              <a:schemeClr val="accent6"/>
            </a:solidFill>
            <a:ln>
              <a:noFill/>
            </a:ln>
            <a:effectLst/>
          </c:spPr>
          <c:invertIfNegative val="0"/>
          <c:cat>
            <c:strRef>
              <c:f>Hoja1!$A$2:$A$7</c:f>
              <c:strCache>
                <c:ptCount val="5"/>
                <c:pt idx="0">
                  <c:v>0 a 15 años</c:v>
                </c:pt>
                <c:pt idx="1">
                  <c:v>16 a 30 años</c:v>
                </c:pt>
                <c:pt idx="2">
                  <c:v>31 a 50 años</c:v>
                </c:pt>
                <c:pt idx="3">
                  <c:v>51 a 70 años</c:v>
                </c:pt>
                <c:pt idx="4">
                  <c:v>71 años a más</c:v>
                </c:pt>
              </c:strCache>
            </c:strRef>
          </c:cat>
          <c:val>
            <c:numRef>
              <c:f>Hoja1!$B$2:$B$7</c:f>
              <c:numCache>
                <c:formatCode>General</c:formatCode>
                <c:ptCount val="6"/>
                <c:pt idx="0">
                  <c:v>54</c:v>
                </c:pt>
                <c:pt idx="1">
                  <c:v>299</c:v>
                </c:pt>
                <c:pt idx="2">
                  <c:v>409</c:v>
                </c:pt>
                <c:pt idx="3">
                  <c:v>244</c:v>
                </c:pt>
                <c:pt idx="4">
                  <c:v>143</c:v>
                </c:pt>
              </c:numCache>
            </c:numRef>
          </c:val>
        </c:ser>
        <c:ser>
          <c:idx val="1"/>
          <c:order val="1"/>
          <c:tx>
            <c:strRef>
              <c:f>Hoja1!$C$1</c:f>
              <c:strCache>
                <c:ptCount val="1"/>
                <c:pt idx="0">
                  <c:v>2016</c:v>
                </c:pt>
              </c:strCache>
            </c:strRef>
          </c:tx>
          <c:spPr>
            <a:solidFill>
              <a:schemeClr val="accent5"/>
            </a:solidFill>
            <a:ln>
              <a:noFill/>
            </a:ln>
            <a:effectLst/>
          </c:spPr>
          <c:invertIfNegative val="0"/>
          <c:cat>
            <c:strRef>
              <c:f>Hoja1!$A$2:$A$7</c:f>
              <c:strCache>
                <c:ptCount val="5"/>
                <c:pt idx="0">
                  <c:v>0 a 15 años</c:v>
                </c:pt>
                <c:pt idx="1">
                  <c:v>16 a 30 años</c:v>
                </c:pt>
                <c:pt idx="2">
                  <c:v>31 a 50 años</c:v>
                </c:pt>
                <c:pt idx="3">
                  <c:v>51 a 70 años</c:v>
                </c:pt>
                <c:pt idx="4">
                  <c:v>71 años a más</c:v>
                </c:pt>
              </c:strCache>
            </c:strRef>
          </c:cat>
          <c:val>
            <c:numRef>
              <c:f>Hoja1!$C$2:$C$7</c:f>
              <c:numCache>
                <c:formatCode>General</c:formatCode>
                <c:ptCount val="6"/>
                <c:pt idx="0">
                  <c:v>51</c:v>
                </c:pt>
                <c:pt idx="1">
                  <c:v>323</c:v>
                </c:pt>
                <c:pt idx="2">
                  <c:v>414</c:v>
                </c:pt>
                <c:pt idx="3">
                  <c:v>270</c:v>
                </c:pt>
                <c:pt idx="4">
                  <c:v>147</c:v>
                </c:pt>
              </c:numCache>
            </c:numRef>
          </c:val>
        </c:ser>
        <c:dLbls>
          <c:showLegendKey val="0"/>
          <c:showVal val="0"/>
          <c:showCatName val="0"/>
          <c:showSerName val="0"/>
          <c:showPercent val="0"/>
          <c:showBubbleSize val="0"/>
        </c:dLbls>
        <c:gapWidth val="269"/>
        <c:overlap val="-27"/>
        <c:axId val="371825456"/>
        <c:axId val="371826016"/>
      </c:barChart>
      <c:lineChart>
        <c:grouping val="standard"/>
        <c:varyColors val="0"/>
        <c:ser>
          <c:idx val="2"/>
          <c:order val="2"/>
          <c:tx>
            <c:strRef>
              <c:f>Hoja1!$D$1</c:f>
              <c:strCache>
                <c:ptCount val="1"/>
                <c:pt idx="0">
                  <c:v>Diferencia Porcentual</c:v>
                </c:pt>
              </c:strCache>
            </c:strRef>
          </c:tx>
          <c:spPr>
            <a:ln w="38100" cap="rnd">
              <a:solidFill>
                <a:schemeClr val="accent4"/>
              </a:solidFill>
              <a:round/>
            </a:ln>
            <a:effectLst/>
          </c:spPr>
          <c:marker>
            <c:symbol val="none"/>
          </c:marker>
          <c:dLbls>
            <c:dLbl>
              <c:idx val="0"/>
              <c:tx>
                <c:rich>
                  <a:bodyPr/>
                  <a:lstStyle/>
                  <a:p>
                    <a:r>
                      <a:rPr lang="en-US"/>
                      <a:t>-5.56%</a:t>
                    </a:r>
                  </a:p>
                </c:rich>
              </c:tx>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8.03%</a:t>
                    </a:r>
                  </a:p>
                </c:rich>
              </c:tx>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1.22%</a:t>
                    </a:r>
                  </a:p>
                </c:rich>
              </c:tx>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10.66%</a:t>
                    </a:r>
                  </a:p>
                </c:rich>
              </c:tx>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2.80%</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Hoja1!$A$2:$A$7</c:f>
              <c:strCache>
                <c:ptCount val="5"/>
                <c:pt idx="0">
                  <c:v>0 a 15 años</c:v>
                </c:pt>
                <c:pt idx="1">
                  <c:v>16 a 30 años</c:v>
                </c:pt>
                <c:pt idx="2">
                  <c:v>31 a 50 años</c:v>
                </c:pt>
                <c:pt idx="3">
                  <c:v>51 a 70 años</c:v>
                </c:pt>
                <c:pt idx="4">
                  <c:v>71 años a más</c:v>
                </c:pt>
              </c:strCache>
            </c:strRef>
          </c:cat>
          <c:val>
            <c:numRef>
              <c:f>Hoja1!$D$2:$D$7</c:f>
              <c:numCache>
                <c:formatCode>0.00%</c:formatCode>
                <c:ptCount val="6"/>
                <c:pt idx="0">
                  <c:v>-5.5599999999999997E-2</c:v>
                </c:pt>
                <c:pt idx="1">
                  <c:v>8.0600000000000005E-2</c:v>
                </c:pt>
                <c:pt idx="2">
                  <c:v>1.2200000000000001E-2</c:v>
                </c:pt>
                <c:pt idx="3">
                  <c:v>0.1066</c:v>
                </c:pt>
                <c:pt idx="4">
                  <c:v>2.8000000000000001E-2</c:v>
                </c:pt>
              </c:numCache>
            </c:numRef>
          </c:val>
          <c:smooth val="0"/>
        </c:ser>
        <c:dLbls>
          <c:showLegendKey val="0"/>
          <c:showVal val="0"/>
          <c:showCatName val="0"/>
          <c:showSerName val="0"/>
          <c:showPercent val="0"/>
          <c:showBubbleSize val="0"/>
        </c:dLbls>
        <c:marker val="1"/>
        <c:smooth val="0"/>
        <c:axId val="371829376"/>
        <c:axId val="371827696"/>
      </c:lineChart>
      <c:catAx>
        <c:axId val="3718254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SV"/>
          </a:p>
        </c:txPr>
        <c:crossAx val="371826016"/>
        <c:crosses val="autoZero"/>
        <c:auto val="1"/>
        <c:lblAlgn val="ctr"/>
        <c:lblOffset val="100"/>
        <c:noMultiLvlLbl val="0"/>
      </c:catAx>
      <c:valAx>
        <c:axId val="37182601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71825456"/>
        <c:crosses val="autoZero"/>
        <c:crossBetween val="between"/>
      </c:valAx>
      <c:valAx>
        <c:axId val="3718276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crossAx val="371829376"/>
        <c:crosses val="max"/>
        <c:crossBetween val="between"/>
      </c:valAx>
      <c:catAx>
        <c:axId val="371829376"/>
        <c:scaling>
          <c:orientation val="minMax"/>
        </c:scaling>
        <c:delete val="1"/>
        <c:axPos val="b"/>
        <c:numFmt formatCode="General" sourceLinked="1"/>
        <c:majorTickMark val="out"/>
        <c:minorTickMark val="none"/>
        <c:tickLblPos val="nextTo"/>
        <c:crossAx val="371827696"/>
        <c:crosses val="autoZero"/>
        <c:auto val="1"/>
        <c:lblAlgn val="ctr"/>
        <c:lblOffset val="100"/>
        <c:noMultiLvlLbl val="0"/>
      </c:cat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929139774132295E-2"/>
          <c:y val="0.14123201042822667"/>
          <c:w val="0.78521216097987756"/>
          <c:h val="0.64736986001749786"/>
        </c:manualLayout>
      </c:layout>
      <c:barChart>
        <c:barDir val="col"/>
        <c:grouping val="clustered"/>
        <c:varyColors val="0"/>
        <c:ser>
          <c:idx val="0"/>
          <c:order val="0"/>
          <c:tx>
            <c:strRef>
              <c:f>Hoja1!$A$3</c:f>
              <c:strCache>
                <c:ptCount val="1"/>
                <c:pt idx="0">
                  <c:v>2015</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Hoja1!$B$2:$D$2</c:f>
              <c:strCache>
                <c:ptCount val="3"/>
                <c:pt idx="0">
                  <c:v>ACC. MOTO</c:v>
                </c:pt>
                <c:pt idx="1">
                  <c:v>LES. ACC. MOTO</c:v>
                </c:pt>
                <c:pt idx="2">
                  <c:v>FALLECIDOS MOTO</c:v>
                </c:pt>
              </c:strCache>
            </c:strRef>
          </c:cat>
          <c:val>
            <c:numRef>
              <c:f>Hoja1!$B$3:$D$3</c:f>
              <c:numCache>
                <c:formatCode>General</c:formatCode>
                <c:ptCount val="3"/>
                <c:pt idx="0">
                  <c:v>1713</c:v>
                </c:pt>
                <c:pt idx="1">
                  <c:v>1515</c:v>
                </c:pt>
                <c:pt idx="2">
                  <c:v>180</c:v>
                </c:pt>
              </c:numCache>
            </c:numRef>
          </c:val>
          <c:extLst xmlns:c16r2="http://schemas.microsoft.com/office/drawing/2015/06/chart">
            <c:ext xmlns:c16="http://schemas.microsoft.com/office/drawing/2014/chart" uri="{C3380CC4-5D6E-409C-BE32-E72D297353CC}">
              <c16:uniqueId val="{00000000-D03D-4427-8DF2-933C93B461B4}"/>
            </c:ext>
          </c:extLst>
        </c:ser>
        <c:ser>
          <c:idx val="1"/>
          <c:order val="1"/>
          <c:tx>
            <c:strRef>
              <c:f>Hoja1!$A$4</c:f>
              <c:strCache>
                <c:ptCount val="1"/>
                <c:pt idx="0">
                  <c:v>2016</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Hoja1!$B$2:$D$2</c:f>
              <c:strCache>
                <c:ptCount val="3"/>
                <c:pt idx="0">
                  <c:v>ACC. MOTO</c:v>
                </c:pt>
                <c:pt idx="1">
                  <c:v>LES. ACC. MOTO</c:v>
                </c:pt>
                <c:pt idx="2">
                  <c:v>FALLECIDOS MOTO</c:v>
                </c:pt>
              </c:strCache>
            </c:strRef>
          </c:cat>
          <c:val>
            <c:numRef>
              <c:f>Hoja1!$B$4:$D$4</c:f>
              <c:numCache>
                <c:formatCode>General</c:formatCode>
                <c:ptCount val="3"/>
                <c:pt idx="0">
                  <c:v>2031</c:v>
                </c:pt>
                <c:pt idx="1">
                  <c:v>1822</c:v>
                </c:pt>
                <c:pt idx="2">
                  <c:v>240</c:v>
                </c:pt>
              </c:numCache>
            </c:numRef>
          </c:val>
          <c:extLst xmlns:c16r2="http://schemas.microsoft.com/office/drawing/2015/06/chart">
            <c:ext xmlns:c16="http://schemas.microsoft.com/office/drawing/2014/chart" uri="{C3380CC4-5D6E-409C-BE32-E72D297353CC}">
              <c16:uniqueId val="{00000001-D03D-4427-8DF2-933C93B461B4}"/>
            </c:ext>
          </c:extLst>
        </c:ser>
        <c:dLbls>
          <c:showLegendKey val="0"/>
          <c:showVal val="0"/>
          <c:showCatName val="0"/>
          <c:showSerName val="0"/>
          <c:showPercent val="0"/>
          <c:showBubbleSize val="0"/>
        </c:dLbls>
        <c:gapWidth val="219"/>
        <c:overlap val="-27"/>
        <c:axId val="371812576"/>
        <c:axId val="371832176"/>
      </c:barChart>
      <c:lineChart>
        <c:grouping val="standard"/>
        <c:varyColors val="0"/>
        <c:ser>
          <c:idx val="2"/>
          <c:order val="2"/>
          <c:tx>
            <c:strRef>
              <c:f>Hoja1!$A$5</c:f>
              <c:strCache>
                <c:ptCount val="1"/>
                <c:pt idx="0">
                  <c:v>% VARIACION ANUAL </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dLbls>
            <c:dLbl>
              <c:idx val="0"/>
              <c:layout>
                <c:manualLayout>
                  <c:x val="8.3333333333332829E-3"/>
                  <c:y val="-6.9444444444444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3D-4427-8DF2-933C93B461B4}"/>
                </c:ext>
                <c:ext xmlns:c15="http://schemas.microsoft.com/office/drawing/2012/chart" uri="{CE6537A1-D6FC-4f65-9D91-7224C49458BB}"/>
              </c:extLst>
            </c:dLbl>
            <c:dLbl>
              <c:idx val="1"/>
              <c:layout>
                <c:manualLayout>
                  <c:x val="2.7777777777777779E-3"/>
                  <c:y val="-6.48148148148148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3D-4427-8DF2-933C93B461B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Hoja1!$B$2:$D$2</c:f>
              <c:strCache>
                <c:ptCount val="3"/>
                <c:pt idx="0">
                  <c:v>ACC. MOTO</c:v>
                </c:pt>
                <c:pt idx="1">
                  <c:v>LES. ACC. MOTO</c:v>
                </c:pt>
                <c:pt idx="2">
                  <c:v>FALLECIDOS MOTO</c:v>
                </c:pt>
              </c:strCache>
            </c:strRef>
          </c:cat>
          <c:val>
            <c:numRef>
              <c:f>Hoja1!$B$5:$D$5</c:f>
              <c:numCache>
                <c:formatCode>0%</c:formatCode>
                <c:ptCount val="3"/>
                <c:pt idx="0">
                  <c:v>0.16</c:v>
                </c:pt>
                <c:pt idx="1">
                  <c:v>0.16850000000000001</c:v>
                </c:pt>
                <c:pt idx="2" formatCode="0.00%">
                  <c:v>0.25</c:v>
                </c:pt>
              </c:numCache>
            </c:numRef>
          </c:val>
          <c:smooth val="0"/>
          <c:extLst xmlns:c16r2="http://schemas.microsoft.com/office/drawing/2015/06/chart">
            <c:ext xmlns:c16="http://schemas.microsoft.com/office/drawing/2014/chart" uri="{C3380CC4-5D6E-409C-BE32-E72D297353CC}">
              <c16:uniqueId val="{00000004-D03D-4427-8DF2-933C93B461B4}"/>
            </c:ext>
          </c:extLst>
        </c:ser>
        <c:dLbls>
          <c:showLegendKey val="0"/>
          <c:showVal val="0"/>
          <c:showCatName val="0"/>
          <c:showSerName val="0"/>
          <c:showPercent val="0"/>
          <c:showBubbleSize val="0"/>
        </c:dLbls>
        <c:marker val="1"/>
        <c:smooth val="0"/>
        <c:axId val="371818736"/>
        <c:axId val="371805296"/>
      </c:lineChart>
      <c:catAx>
        <c:axId val="3718125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32176"/>
        <c:crosses val="autoZero"/>
        <c:auto val="1"/>
        <c:lblAlgn val="ctr"/>
        <c:lblOffset val="100"/>
        <c:noMultiLvlLbl val="0"/>
      </c:catAx>
      <c:valAx>
        <c:axId val="371832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12576"/>
        <c:crosses val="autoZero"/>
        <c:crossBetween val="between"/>
      </c:valAx>
      <c:valAx>
        <c:axId val="371805296"/>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18736"/>
        <c:crosses val="max"/>
        <c:crossBetween val="between"/>
      </c:valAx>
      <c:catAx>
        <c:axId val="371818736"/>
        <c:scaling>
          <c:orientation val="minMax"/>
        </c:scaling>
        <c:delete val="1"/>
        <c:axPos val="b"/>
        <c:numFmt formatCode="General" sourceLinked="1"/>
        <c:majorTickMark val="none"/>
        <c:minorTickMark val="none"/>
        <c:tickLblPos val="nextTo"/>
        <c:crossAx val="3718052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Hoja1!$A$2</c:f>
              <c:strCache>
                <c:ptCount val="1"/>
                <c:pt idx="0">
                  <c:v>2015</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ACCIDENTES</c:v>
                </c:pt>
                <c:pt idx="1">
                  <c:v>LESIONADOS</c:v>
                </c:pt>
                <c:pt idx="2">
                  <c:v>FALLECIDOS </c:v>
                </c:pt>
              </c:strCache>
            </c:strRef>
          </c:cat>
          <c:val>
            <c:numRef>
              <c:f>Hoja1!$B$2:$D$2</c:f>
              <c:numCache>
                <c:formatCode>General</c:formatCode>
                <c:ptCount val="3"/>
                <c:pt idx="0">
                  <c:v>20586</c:v>
                </c:pt>
                <c:pt idx="1">
                  <c:v>7951</c:v>
                </c:pt>
                <c:pt idx="2">
                  <c:v>969</c:v>
                </c:pt>
              </c:numCache>
            </c:numRef>
          </c:val>
          <c:extLst xmlns:c16r2="http://schemas.microsoft.com/office/drawing/2015/06/chart">
            <c:ext xmlns:c16="http://schemas.microsoft.com/office/drawing/2014/chart" uri="{C3380CC4-5D6E-409C-BE32-E72D297353CC}">
              <c16:uniqueId val="{00000000-3FA2-4BAA-BDDB-A75ACB4BA808}"/>
            </c:ext>
          </c:extLst>
        </c:ser>
        <c:ser>
          <c:idx val="1"/>
          <c:order val="1"/>
          <c:tx>
            <c:strRef>
              <c:f>Hoja1!$A$3</c:f>
              <c:strCache>
                <c:ptCount val="1"/>
                <c:pt idx="0">
                  <c:v>2016</c:v>
                </c:pt>
              </c:strCache>
            </c:strRef>
          </c:tx>
          <c:spPr>
            <a:solidFill>
              <a:schemeClr val="accent5"/>
            </a:solidFill>
            <a:ln>
              <a:noFill/>
            </a:ln>
            <a:effectLst/>
          </c:spPr>
          <c:invertIfNegative val="0"/>
          <c:dLbls>
            <c:dLbl>
              <c:idx val="0"/>
              <c:layout>
                <c:manualLayout>
                  <c:x val="1.9444444444444445E-2"/>
                  <c:y val="0.120370370370370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FA2-4BAA-BDDB-A75ACB4BA808}"/>
                </c:ext>
                <c:ext xmlns:c15="http://schemas.microsoft.com/office/drawing/2012/chart" uri="{CE6537A1-D6FC-4f65-9D91-7224C49458BB}"/>
              </c:extLst>
            </c:dLbl>
            <c:dLbl>
              <c:idx val="1"/>
              <c:layout>
                <c:manualLayout>
                  <c:x val="2.2222222222222223E-2"/>
                  <c:y val="0.185185185185185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FA2-4BAA-BDDB-A75ACB4BA808}"/>
                </c:ext>
                <c:ext xmlns:c15="http://schemas.microsoft.com/office/drawing/2012/chart" uri="{CE6537A1-D6FC-4f65-9D91-7224C49458BB}"/>
              </c:extLst>
            </c:dLbl>
            <c:dLbl>
              <c:idx val="2"/>
              <c:layout>
                <c:manualLayout>
                  <c:x val="-1.0185067526415994E-16"/>
                  <c:y val="1.38888888888888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FA2-4BAA-BDDB-A75ACB4BA80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ACCIDENTES</c:v>
                </c:pt>
                <c:pt idx="1">
                  <c:v>LESIONADOS</c:v>
                </c:pt>
                <c:pt idx="2">
                  <c:v>FALLECIDOS </c:v>
                </c:pt>
              </c:strCache>
            </c:strRef>
          </c:cat>
          <c:val>
            <c:numRef>
              <c:f>Hoja1!$B$3:$D$3</c:f>
              <c:numCache>
                <c:formatCode>General</c:formatCode>
                <c:ptCount val="3"/>
                <c:pt idx="0">
                  <c:v>20914</c:v>
                </c:pt>
                <c:pt idx="1">
                  <c:v>8167</c:v>
                </c:pt>
                <c:pt idx="2">
                  <c:v>971</c:v>
                </c:pt>
              </c:numCache>
            </c:numRef>
          </c:val>
          <c:extLst xmlns:c16r2="http://schemas.microsoft.com/office/drawing/2015/06/chart">
            <c:ext xmlns:c16="http://schemas.microsoft.com/office/drawing/2014/chart" uri="{C3380CC4-5D6E-409C-BE32-E72D297353CC}">
              <c16:uniqueId val="{00000004-3FA2-4BAA-BDDB-A75ACB4BA808}"/>
            </c:ext>
          </c:extLst>
        </c:ser>
        <c:dLbls>
          <c:showLegendKey val="0"/>
          <c:showVal val="0"/>
          <c:showCatName val="0"/>
          <c:showSerName val="0"/>
          <c:showPercent val="0"/>
          <c:showBubbleSize val="0"/>
        </c:dLbls>
        <c:gapWidth val="219"/>
        <c:overlap val="-27"/>
        <c:axId val="371808656"/>
        <c:axId val="371823776"/>
      </c:barChart>
      <c:lineChart>
        <c:grouping val="standard"/>
        <c:varyColors val="0"/>
        <c:ser>
          <c:idx val="2"/>
          <c:order val="2"/>
          <c:tx>
            <c:strRef>
              <c:f>Hoja1!$A$4</c:f>
              <c:strCache>
                <c:ptCount val="1"/>
                <c:pt idx="0">
                  <c:v>% VARIACION ANUAL </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20" b="0" i="0" u="none" strike="noStrike" kern="1200" baseline="0">
                    <a:solidFill>
                      <a:schemeClr val="tx1">
                        <a:lumMod val="75000"/>
                        <a:lumOff val="25000"/>
                      </a:schemeClr>
                    </a:solidFill>
                    <a:latin typeface="Arial Black" panose="020B0A04020102020204" pitchFamily="34" charset="0"/>
                    <a:ea typeface="+mn-ea"/>
                    <a:cs typeface="+mn-cs"/>
                  </a:defRPr>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Hoja1!$B$1:$D$1</c:f>
              <c:strCache>
                <c:ptCount val="3"/>
                <c:pt idx="0">
                  <c:v>ACCIDENTES</c:v>
                </c:pt>
                <c:pt idx="1">
                  <c:v>LESIONADOS</c:v>
                </c:pt>
                <c:pt idx="2">
                  <c:v>FALLECIDOS </c:v>
                </c:pt>
              </c:strCache>
            </c:strRef>
          </c:cat>
          <c:val>
            <c:numRef>
              <c:f>Hoja1!$B$4:$D$4</c:f>
              <c:numCache>
                <c:formatCode>0.00%</c:formatCode>
                <c:ptCount val="3"/>
                <c:pt idx="0">
                  <c:v>9.7999999999999997E-3</c:v>
                </c:pt>
                <c:pt idx="1">
                  <c:v>9.7000000000000003E-3</c:v>
                </c:pt>
                <c:pt idx="2">
                  <c:v>9.9000000000000008E-3</c:v>
                </c:pt>
              </c:numCache>
            </c:numRef>
          </c:val>
          <c:smooth val="0"/>
          <c:extLst xmlns:c16r2="http://schemas.microsoft.com/office/drawing/2015/06/chart">
            <c:ext xmlns:c16="http://schemas.microsoft.com/office/drawing/2014/chart" uri="{C3380CC4-5D6E-409C-BE32-E72D297353CC}">
              <c16:uniqueId val="{00000005-3FA2-4BAA-BDDB-A75ACB4BA808}"/>
            </c:ext>
          </c:extLst>
        </c:ser>
        <c:dLbls>
          <c:showLegendKey val="0"/>
          <c:showVal val="0"/>
          <c:showCatName val="0"/>
          <c:showSerName val="0"/>
          <c:showPercent val="0"/>
          <c:showBubbleSize val="0"/>
        </c:dLbls>
        <c:marker val="1"/>
        <c:smooth val="0"/>
        <c:axId val="371810896"/>
        <c:axId val="371832736"/>
      </c:lineChart>
      <c:catAx>
        <c:axId val="371808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23776"/>
        <c:crosses val="autoZero"/>
        <c:auto val="1"/>
        <c:lblAlgn val="ctr"/>
        <c:lblOffset val="100"/>
        <c:noMultiLvlLbl val="0"/>
      </c:catAx>
      <c:valAx>
        <c:axId val="37182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08656"/>
        <c:crosses val="autoZero"/>
        <c:crossBetween val="between"/>
      </c:valAx>
      <c:valAx>
        <c:axId val="371832736"/>
        <c:scaling>
          <c:orientation val="minMax"/>
        </c:scaling>
        <c:delete val="0"/>
        <c:axPos val="r"/>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Black" panose="020B0A04020102020204" pitchFamily="34" charset="0"/>
                <a:ea typeface="+mn-ea"/>
                <a:cs typeface="+mn-cs"/>
              </a:defRPr>
            </a:pPr>
            <a:endParaRPr lang="es-SV"/>
          </a:p>
        </c:txPr>
        <c:crossAx val="371810896"/>
        <c:crosses val="max"/>
        <c:crossBetween val="between"/>
      </c:valAx>
      <c:catAx>
        <c:axId val="371810896"/>
        <c:scaling>
          <c:orientation val="minMax"/>
        </c:scaling>
        <c:delete val="1"/>
        <c:axPos val="b"/>
        <c:numFmt formatCode="General" sourceLinked="1"/>
        <c:majorTickMark val="out"/>
        <c:minorTickMark val="none"/>
        <c:tickLblPos val="nextTo"/>
        <c:crossAx val="371832736"/>
        <c:crosses val="autoZero"/>
        <c:auto val="1"/>
        <c:lblAlgn val="ctr"/>
        <c:lblOffset val="100"/>
        <c:noMultiLvlLbl val="0"/>
      </c:catAx>
      <c:spPr>
        <a:noFill/>
        <a:ln>
          <a:noFill/>
        </a:ln>
        <a:effectLst/>
      </c:spPr>
    </c:plotArea>
    <c:legend>
      <c:legendPos val="b"/>
      <c:layout>
        <c:manualLayout>
          <c:xMode val="edge"/>
          <c:yMode val="edge"/>
          <c:x val="0"/>
          <c:y val="0.89709013564717643"/>
          <c:w val="0.48060700660889893"/>
          <c:h val="0.10265265589565169"/>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S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SV"/>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918524989473767"/>
          <c:y val="5.7597751381321824E-2"/>
          <c:w val="0.65140471890207585"/>
          <c:h val="0.61147751641454917"/>
        </c:manualLayout>
      </c:layout>
      <c:barChart>
        <c:barDir val="col"/>
        <c:grouping val="clustered"/>
        <c:varyColors val="0"/>
        <c:ser>
          <c:idx val="0"/>
          <c:order val="0"/>
          <c:tx>
            <c:strRef>
              <c:f>Hoja1!$B$1</c:f>
              <c:strCache>
                <c:ptCount val="1"/>
                <c:pt idx="0">
                  <c:v>PARQUE VEHICULAR EXCLUYENDO MOTOCICLETAS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4"/>
              <c:layout>
                <c:manualLayout>
                  <c:x val="3.9980009995002497E-3"/>
                  <c:y val="6.5199674001629694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3.998000999500249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Hoja1!$A$3:$A$8</c:f>
              <c:numCache>
                <c:formatCode>General</c:formatCode>
                <c:ptCount val="6"/>
                <c:pt idx="0">
                  <c:v>2011</c:v>
                </c:pt>
                <c:pt idx="1">
                  <c:v>2012</c:v>
                </c:pt>
                <c:pt idx="2">
                  <c:v>2013</c:v>
                </c:pt>
                <c:pt idx="3">
                  <c:v>2014</c:v>
                </c:pt>
                <c:pt idx="4">
                  <c:v>2015</c:v>
                </c:pt>
                <c:pt idx="5">
                  <c:v>2016</c:v>
                </c:pt>
              </c:numCache>
            </c:numRef>
          </c:cat>
          <c:val>
            <c:numRef>
              <c:f>Hoja1!$B$3:$B$8</c:f>
              <c:numCache>
                <c:formatCode>0</c:formatCode>
                <c:ptCount val="6"/>
                <c:pt idx="0">
                  <c:v>734930</c:v>
                </c:pt>
                <c:pt idx="1">
                  <c:v>770231</c:v>
                </c:pt>
                <c:pt idx="2">
                  <c:v>814231</c:v>
                </c:pt>
                <c:pt idx="3">
                  <c:v>864006</c:v>
                </c:pt>
                <c:pt idx="4">
                  <c:v>925448</c:v>
                </c:pt>
                <c:pt idx="5">
                  <c:v>1008078</c:v>
                </c:pt>
              </c:numCache>
            </c:numRef>
          </c:val>
        </c:ser>
        <c:ser>
          <c:idx val="2"/>
          <c:order val="2"/>
          <c:tx>
            <c:strRef>
              <c:f>Hoja1!$E$1</c:f>
              <c:strCache>
                <c:ptCount val="1"/>
                <c:pt idx="0">
                  <c:v>MOTOCICLETAS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1.3888888888888888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3333333333333332E-3"/>
                  <c:y val="5.5555555555555552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666666666666666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2222222222222223E-2"/>
                  <c:y val="9.72222222222221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9444444444444445E-2"/>
                  <c:y val="0.1111111111111110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5000000000000001E-2"/>
                  <c:y val="0.12037037037037036"/>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Hoja1!$A$3:$A$8</c:f>
              <c:numCache>
                <c:formatCode>General</c:formatCode>
                <c:ptCount val="6"/>
                <c:pt idx="0">
                  <c:v>2011</c:v>
                </c:pt>
                <c:pt idx="1">
                  <c:v>2012</c:v>
                </c:pt>
                <c:pt idx="2">
                  <c:v>2013</c:v>
                </c:pt>
                <c:pt idx="3">
                  <c:v>2014</c:v>
                </c:pt>
                <c:pt idx="4">
                  <c:v>2015</c:v>
                </c:pt>
                <c:pt idx="5">
                  <c:v>2016</c:v>
                </c:pt>
              </c:numCache>
            </c:numRef>
          </c:cat>
          <c:val>
            <c:numRef>
              <c:f>Hoja1!$E$3:$E$8</c:f>
              <c:numCache>
                <c:formatCode>0</c:formatCode>
                <c:ptCount val="6"/>
                <c:pt idx="0">
                  <c:v>77974</c:v>
                </c:pt>
                <c:pt idx="1">
                  <c:v>94769</c:v>
                </c:pt>
                <c:pt idx="2">
                  <c:v>116909</c:v>
                </c:pt>
                <c:pt idx="3">
                  <c:v>142646</c:v>
                </c:pt>
                <c:pt idx="4">
                  <c:v>171793</c:v>
                </c:pt>
                <c:pt idx="5">
                  <c:v>210030</c:v>
                </c:pt>
              </c:numCache>
            </c:numRef>
          </c:val>
        </c:ser>
        <c:dLbls>
          <c:showLegendKey val="0"/>
          <c:showVal val="0"/>
          <c:showCatName val="0"/>
          <c:showSerName val="0"/>
          <c:showPercent val="0"/>
          <c:showBubbleSize val="0"/>
        </c:dLbls>
        <c:gapWidth val="219"/>
        <c:axId val="371806416"/>
        <c:axId val="371812016"/>
      </c:barChart>
      <c:lineChart>
        <c:grouping val="standard"/>
        <c:varyColors val="0"/>
        <c:ser>
          <c:idx val="1"/>
          <c:order val="1"/>
          <c:tx>
            <c:strRef>
              <c:f>Hoja1!$D$1</c:f>
              <c:strCache>
                <c:ptCount val="1"/>
                <c:pt idx="0">
                  <c:v>% CRECIMIENTO DE VEHICULOS EXCLUYENDO MOTOCICLETAS</c:v>
                </c:pt>
              </c:strCache>
            </c:strRef>
          </c:tx>
          <c:spPr>
            <a:ln w="31750"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Hoja1!$A$2:$A$8</c:f>
              <c:numCache>
                <c:formatCode>General</c:formatCode>
                <c:ptCount val="7"/>
                <c:pt idx="0">
                  <c:v>2010</c:v>
                </c:pt>
                <c:pt idx="1">
                  <c:v>2011</c:v>
                </c:pt>
                <c:pt idx="2">
                  <c:v>2012</c:v>
                </c:pt>
                <c:pt idx="3">
                  <c:v>2013</c:v>
                </c:pt>
                <c:pt idx="4">
                  <c:v>2014</c:v>
                </c:pt>
                <c:pt idx="5">
                  <c:v>2015</c:v>
                </c:pt>
                <c:pt idx="6">
                  <c:v>2016</c:v>
                </c:pt>
              </c:numCache>
            </c:numRef>
          </c:cat>
          <c:val>
            <c:numRef>
              <c:f>Hoja1!$D$3:$D$8</c:f>
              <c:numCache>
                <c:formatCode>0.00%</c:formatCode>
                <c:ptCount val="6"/>
                <c:pt idx="0">
                  <c:v>3.0179745009728819E-2</c:v>
                </c:pt>
                <c:pt idx="1">
                  <c:v>4.5831705033944362E-2</c:v>
                </c:pt>
                <c:pt idx="2">
                  <c:v>5.4038718741978631E-2</c:v>
                </c:pt>
                <c:pt idx="3">
                  <c:v>5.7609553637359E-2</c:v>
                </c:pt>
                <c:pt idx="4">
                  <c:v>6.6391628703071373E-2</c:v>
                </c:pt>
                <c:pt idx="5">
                  <c:v>8.1967863597856516E-2</c:v>
                </c:pt>
              </c:numCache>
            </c:numRef>
          </c:val>
          <c:smooth val="0"/>
        </c:ser>
        <c:ser>
          <c:idx val="3"/>
          <c:order val="3"/>
          <c:tx>
            <c:strRef>
              <c:f>Hoja1!$G$1</c:f>
              <c:strCache>
                <c:ptCount val="1"/>
                <c:pt idx="0">
                  <c:v>% CRECIMIENTO DE MOTOCICLETAS</c:v>
                </c:pt>
              </c:strCache>
            </c:strRef>
          </c:tx>
          <c:spPr>
            <a:ln w="31750" cap="rnd">
              <a:solidFill>
                <a:schemeClr val="accent4"/>
              </a:solidFill>
              <a:round/>
            </a:ln>
            <a:effectLst>
              <a:outerShdw blurRad="40000" dist="23000" dir="5400000" rotWithShape="0">
                <a:srgbClr val="000000">
                  <a:alpha val="35000"/>
                </a:srgbClr>
              </a:outerShdw>
            </a:effectLst>
          </c:spPr>
          <c:marker>
            <c:symbol val="none"/>
          </c:marker>
          <c:dLbls>
            <c:dLbl>
              <c:idx val="3"/>
              <c:layout>
                <c:manualLayout>
                  <c:x val="-1.7991004497751199E-2"/>
                  <c:y val="-9.779951100244498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Hoja1!$A$2:$A$8</c:f>
              <c:numCache>
                <c:formatCode>General</c:formatCode>
                <c:ptCount val="7"/>
                <c:pt idx="0">
                  <c:v>2010</c:v>
                </c:pt>
                <c:pt idx="1">
                  <c:v>2011</c:v>
                </c:pt>
                <c:pt idx="2">
                  <c:v>2012</c:v>
                </c:pt>
                <c:pt idx="3">
                  <c:v>2013</c:v>
                </c:pt>
                <c:pt idx="4">
                  <c:v>2014</c:v>
                </c:pt>
                <c:pt idx="5">
                  <c:v>2015</c:v>
                </c:pt>
                <c:pt idx="6">
                  <c:v>2016</c:v>
                </c:pt>
              </c:numCache>
            </c:numRef>
          </c:cat>
          <c:val>
            <c:numRef>
              <c:f>Hoja1!$G$3:$G$8</c:f>
              <c:numCache>
                <c:formatCode>0.00%</c:formatCode>
                <c:ptCount val="6"/>
                <c:pt idx="0">
                  <c:v>0.13663528868597224</c:v>
                </c:pt>
                <c:pt idx="1">
                  <c:v>0.1772203990756471</c:v>
                </c:pt>
                <c:pt idx="2">
                  <c:v>0.18937806327998699</c:v>
                </c:pt>
                <c:pt idx="3">
                  <c:v>0.18042566913898742</c:v>
                </c:pt>
                <c:pt idx="4">
                  <c:v>0.16966349036340247</c:v>
                </c:pt>
                <c:pt idx="5">
                  <c:v>0.18205494453173357</c:v>
                </c:pt>
              </c:numCache>
            </c:numRef>
          </c:val>
          <c:smooth val="0"/>
        </c:ser>
        <c:dLbls>
          <c:showLegendKey val="0"/>
          <c:showVal val="0"/>
          <c:showCatName val="0"/>
          <c:showSerName val="0"/>
          <c:showPercent val="0"/>
          <c:showBubbleSize val="0"/>
        </c:dLbls>
        <c:marker val="1"/>
        <c:smooth val="0"/>
        <c:axId val="371801376"/>
        <c:axId val="371808096"/>
      </c:lineChart>
      <c:catAx>
        <c:axId val="37180641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es-SV"/>
          </a:p>
        </c:txPr>
        <c:crossAx val="371812016"/>
        <c:crosses val="autoZero"/>
        <c:auto val="1"/>
        <c:lblAlgn val="ctr"/>
        <c:lblOffset val="100"/>
        <c:noMultiLvlLbl val="0"/>
      </c:catAx>
      <c:valAx>
        <c:axId val="37181201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806416"/>
        <c:crosses val="autoZero"/>
        <c:crossBetween val="between"/>
        <c:majorUnit val="120000"/>
        <c:minorUnit val="1000"/>
      </c:valAx>
      <c:valAx>
        <c:axId val="371808096"/>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SV"/>
          </a:p>
        </c:txPr>
        <c:crossAx val="371801376"/>
        <c:crosses val="max"/>
        <c:crossBetween val="between"/>
      </c:valAx>
      <c:catAx>
        <c:axId val="371801376"/>
        <c:scaling>
          <c:orientation val="minMax"/>
        </c:scaling>
        <c:delete val="1"/>
        <c:axPos val="t"/>
        <c:numFmt formatCode="General" sourceLinked="1"/>
        <c:majorTickMark val="none"/>
        <c:minorTickMark val="none"/>
        <c:tickLblPos val="nextTo"/>
        <c:crossAx val="371808096"/>
        <c:crosses val="max"/>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50" b="0" i="0" u="none" strike="noStrike" kern="1200" baseline="0">
              <a:solidFill>
                <a:schemeClr val="tx2"/>
              </a:solidFill>
              <a:latin typeface="Arial Black" panose="020B0A04020102020204" pitchFamily="34" charset="0"/>
              <a:ea typeface="+mn-ea"/>
              <a:cs typeface="+mn-cs"/>
            </a:defRPr>
          </a:pPr>
          <a:endParaRPr lang="es-S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S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99819304931242"/>
          <c:y val="0.15040816748300162"/>
          <c:w val="0.77154916606185187"/>
          <c:h val="0.6517819524527938"/>
        </c:manualLayout>
      </c:layout>
      <c:barChart>
        <c:barDir val="col"/>
        <c:grouping val="clustered"/>
        <c:varyColors val="0"/>
        <c:ser>
          <c:idx val="0"/>
          <c:order val="0"/>
          <c:tx>
            <c:strRef>
              <c:f>PARQUEVEHICULARCRECIMIENTO!$B$2</c:f>
              <c:strCache>
                <c:ptCount val="1"/>
                <c:pt idx="0">
                  <c:v>PARQUE VEHICULAR</c:v>
                </c:pt>
              </c:strCache>
            </c:strRef>
          </c:tx>
          <c:spPr>
            <a:solidFill>
              <a:schemeClr val="accent1">
                <a:alpha val="85000"/>
              </a:schemeClr>
            </a:solidFill>
            <a:ln w="9525" cap="flat" cmpd="sng" algn="ctr">
              <a:solidFill>
                <a:schemeClr val="accent1">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PARQUEVEHICULARCRECIMIENTO!$A$4:$A$10</c:f>
              <c:numCache>
                <c:formatCode>General</c:formatCode>
                <c:ptCount val="7"/>
                <c:pt idx="0">
                  <c:v>2010</c:v>
                </c:pt>
                <c:pt idx="1">
                  <c:v>2011</c:v>
                </c:pt>
                <c:pt idx="2">
                  <c:v>2012</c:v>
                </c:pt>
                <c:pt idx="3">
                  <c:v>2013</c:v>
                </c:pt>
                <c:pt idx="4">
                  <c:v>2014</c:v>
                </c:pt>
                <c:pt idx="5">
                  <c:v>2015</c:v>
                </c:pt>
                <c:pt idx="6">
                  <c:v>2016</c:v>
                </c:pt>
              </c:numCache>
            </c:numRef>
          </c:cat>
          <c:val>
            <c:numRef>
              <c:f>PARQUEVEHICULARCRECIMIENTO!$B$4:$B$10</c:f>
              <c:numCache>
                <c:formatCode>#,##0</c:formatCode>
                <c:ptCount val="7"/>
                <c:pt idx="0">
                  <c:v>686647</c:v>
                </c:pt>
                <c:pt idx="1">
                  <c:v>724603</c:v>
                </c:pt>
                <c:pt idx="2">
                  <c:v>766885</c:v>
                </c:pt>
                <c:pt idx="3">
                  <c:v>809285</c:v>
                </c:pt>
                <c:pt idx="4">
                  <c:v>858459</c:v>
                </c:pt>
                <c:pt idx="5">
                  <c:v>923898</c:v>
                </c:pt>
                <c:pt idx="6">
                  <c:v>1008078</c:v>
                </c:pt>
              </c:numCache>
            </c:numRef>
          </c:val>
        </c:ser>
        <c:ser>
          <c:idx val="1"/>
          <c:order val="1"/>
          <c:tx>
            <c:strRef>
              <c:f>PARQUEVEHICULARCRECIMIENTO!$E$2</c:f>
              <c:strCache>
                <c:ptCount val="1"/>
                <c:pt idx="0">
                  <c:v>SINIESTROS VIALES</c:v>
                </c:pt>
              </c:strCache>
            </c:strRef>
          </c:tx>
          <c:spPr>
            <a:solidFill>
              <a:schemeClr val="accent2">
                <a:alpha val="85000"/>
              </a:schemeClr>
            </a:solidFill>
            <a:ln w="9525" cap="flat" cmpd="sng" algn="ctr">
              <a:solidFill>
                <a:schemeClr val="accent2">
                  <a:lumMod val="7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PARQUEVEHICULARCRECIMIENTO!$A$4:$A$10</c:f>
              <c:numCache>
                <c:formatCode>General</c:formatCode>
                <c:ptCount val="7"/>
                <c:pt idx="0">
                  <c:v>2010</c:v>
                </c:pt>
                <c:pt idx="1">
                  <c:v>2011</c:v>
                </c:pt>
                <c:pt idx="2">
                  <c:v>2012</c:v>
                </c:pt>
                <c:pt idx="3">
                  <c:v>2013</c:v>
                </c:pt>
                <c:pt idx="4">
                  <c:v>2014</c:v>
                </c:pt>
                <c:pt idx="5">
                  <c:v>2015</c:v>
                </c:pt>
                <c:pt idx="6">
                  <c:v>2016</c:v>
                </c:pt>
              </c:numCache>
            </c:numRef>
          </c:cat>
          <c:val>
            <c:numRef>
              <c:f>PARQUEVEHICULARCRECIMIENTO!$E$4:$E$10</c:f>
              <c:numCache>
                <c:formatCode>#,##0</c:formatCode>
                <c:ptCount val="7"/>
                <c:pt idx="0">
                  <c:v>20602</c:v>
                </c:pt>
                <c:pt idx="1">
                  <c:v>21477</c:v>
                </c:pt>
                <c:pt idx="2">
                  <c:v>22513</c:v>
                </c:pt>
                <c:pt idx="3">
                  <c:v>23098</c:v>
                </c:pt>
                <c:pt idx="4">
                  <c:v>23599</c:v>
                </c:pt>
                <c:pt idx="5">
                  <c:v>22281</c:v>
                </c:pt>
                <c:pt idx="6">
                  <c:v>22299</c:v>
                </c:pt>
              </c:numCache>
            </c:numRef>
          </c:val>
        </c:ser>
        <c:dLbls>
          <c:showLegendKey val="0"/>
          <c:showVal val="1"/>
          <c:showCatName val="0"/>
          <c:showSerName val="0"/>
          <c:showPercent val="0"/>
          <c:showBubbleSize val="0"/>
        </c:dLbls>
        <c:gapWidth val="65"/>
        <c:axId val="371819296"/>
        <c:axId val="371833296"/>
      </c:barChart>
      <c:lineChart>
        <c:grouping val="standard"/>
        <c:varyColors val="0"/>
        <c:ser>
          <c:idx val="2"/>
          <c:order val="2"/>
          <c:tx>
            <c:strRef>
              <c:f>PARQUEVEHICULARCRECIMIENTO!$D$2</c:f>
              <c:strCache>
                <c:ptCount val="1"/>
                <c:pt idx="0">
                  <c:v>CRECIMIENTO anual Parque Vehicular </c:v>
                </c:pt>
              </c:strCache>
            </c:strRef>
          </c:tx>
          <c:spPr>
            <a:ln w="6350" cap="flat" cmpd="sng" algn="ctr">
              <a:solidFill>
                <a:srgbClr val="002060"/>
              </a:solidFill>
              <a:prstDash val="solid"/>
              <a:miter lim="800000"/>
            </a:ln>
            <a:effectLst/>
          </c:spPr>
          <c:marker>
            <c:symbol val="diamond"/>
            <c:size val="4"/>
            <c:spPr>
              <a:solidFill>
                <a:srgbClr val="002060">
                  <a:alpha val="85000"/>
                </a:srgbClr>
              </a:solidFill>
              <a:ln w="6350" cap="sq" cmpd="sng" algn="ctr">
                <a:solidFill>
                  <a:srgbClr val="002060"/>
                </a:solidFill>
                <a:prstDash val="solid"/>
                <a:miter lim="800000"/>
              </a:ln>
              <a:effectLst/>
            </c:spPr>
          </c:marker>
          <c:dPt>
            <c:idx val="3"/>
            <c:marker>
              <c:symbol val="diamond"/>
              <c:size val="4"/>
              <c:spPr>
                <a:solidFill>
                  <a:srgbClr val="002060">
                    <a:alpha val="85000"/>
                  </a:srgbClr>
                </a:solidFill>
                <a:ln w="6350" cap="sq" cmpd="sng" algn="ctr">
                  <a:solidFill>
                    <a:srgbClr val="002060"/>
                  </a:solidFill>
                  <a:prstDash val="solid"/>
                  <a:miter lim="800000"/>
                </a:ln>
                <a:effectLst/>
              </c:spPr>
            </c:marker>
            <c:bubble3D val="0"/>
            <c:spPr>
              <a:ln w="1270" cap="flat" cmpd="sng" algn="ctr">
                <a:solidFill>
                  <a:srgbClr val="002060"/>
                </a:solidFill>
                <a:prstDash val="solid"/>
                <a:miter lim="800000"/>
              </a:ln>
              <a:effectLst/>
            </c:spPr>
          </c:dPt>
          <c:dLbls>
            <c:dLbl>
              <c:idx val="0"/>
              <c:layout>
                <c:manualLayout>
                  <c:x val="-4.1568996178512049E-2"/>
                  <c:y val="2.099737532808398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3756838082644266E-2"/>
                  <c:y val="3.1496062992125984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1568996178512049E-2"/>
                  <c:y val="3.1496062992125984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1568996178512049E-2"/>
                  <c:y val="2.79965004374453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3.938115427437984E-2"/>
                  <c:y val="3.149606299212598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1568996178512049E-2"/>
                  <c:y val="5.24934383202098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dk1">
                        <a:lumMod val="75000"/>
                        <a:lumOff val="25000"/>
                      </a:schemeClr>
                    </a:solidFill>
                    <a:latin typeface="+mn-lt"/>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PARQUEVEHICULARCRECIMIENTO!$A$4:$A$9</c:f>
              <c:numCache>
                <c:formatCode>General</c:formatCode>
                <c:ptCount val="6"/>
                <c:pt idx="0">
                  <c:v>2010</c:v>
                </c:pt>
                <c:pt idx="1">
                  <c:v>2011</c:v>
                </c:pt>
                <c:pt idx="2">
                  <c:v>2012</c:v>
                </c:pt>
                <c:pt idx="3">
                  <c:v>2013</c:v>
                </c:pt>
                <c:pt idx="4">
                  <c:v>2014</c:v>
                </c:pt>
                <c:pt idx="5">
                  <c:v>2015</c:v>
                </c:pt>
              </c:numCache>
            </c:numRef>
          </c:cat>
          <c:val>
            <c:numRef>
              <c:f>PARQUEVEHICULARCRECIMIENTO!$D$4:$D$10</c:f>
              <c:numCache>
                <c:formatCode>0%</c:formatCode>
                <c:ptCount val="7"/>
                <c:pt idx="0">
                  <c:v>4.6603276501608538E-2</c:v>
                </c:pt>
                <c:pt idx="1">
                  <c:v>5.2381786992325451E-2</c:v>
                </c:pt>
                <c:pt idx="2">
                  <c:v>5.5134733369410015E-2</c:v>
                </c:pt>
                <c:pt idx="3">
                  <c:v>5.2391926206466204E-2</c:v>
                </c:pt>
                <c:pt idx="4">
                  <c:v>5.7281710600040302E-2</c:v>
                </c:pt>
                <c:pt idx="5">
                  <c:v>7.0829247384451524E-2</c:v>
                </c:pt>
                <c:pt idx="6">
                  <c:v>8.3505443031194018E-2</c:v>
                </c:pt>
              </c:numCache>
            </c:numRef>
          </c:val>
          <c:smooth val="0"/>
        </c:ser>
        <c:dLbls>
          <c:showLegendKey val="0"/>
          <c:showVal val="0"/>
          <c:showCatName val="0"/>
          <c:showSerName val="0"/>
          <c:showPercent val="0"/>
          <c:showBubbleSize val="0"/>
        </c:dLbls>
        <c:marker val="1"/>
        <c:smooth val="0"/>
        <c:axId val="371828256"/>
        <c:axId val="371803056"/>
      </c:lineChart>
      <c:catAx>
        <c:axId val="371819296"/>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SV"/>
                  <a:t>Años</a:t>
                </a:r>
                <a:r>
                  <a:rPr lang="es-SV" baseline="0"/>
                  <a:t> en analisis </a:t>
                </a:r>
                <a:r>
                  <a:rPr lang="es-SV"/>
                  <a:t>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SV"/>
            </a:p>
          </c:tx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371833296"/>
        <c:crosses val="autoZero"/>
        <c:auto val="1"/>
        <c:lblAlgn val="ctr"/>
        <c:lblOffset val="100"/>
        <c:noMultiLvlLbl val="0"/>
      </c:catAx>
      <c:valAx>
        <c:axId val="37183329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SV"/>
                  <a:t>Cantidad de vehiculos</a:t>
                </a:r>
                <a:r>
                  <a:rPr lang="es-SV" baseline="0"/>
                  <a:t> y accidentes</a:t>
                </a:r>
                <a:endParaRPr lang="es-SV"/>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SV"/>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SV"/>
          </a:p>
        </c:txPr>
        <c:crossAx val="371819296"/>
        <c:crosses val="autoZero"/>
        <c:crossBetween val="between"/>
      </c:valAx>
      <c:valAx>
        <c:axId val="371803056"/>
        <c:scaling>
          <c:orientation val="minMax"/>
          <c:max val="0.30000000000000004"/>
        </c:scaling>
        <c:delete val="0"/>
        <c:axPos val="r"/>
        <c:title>
          <c:tx>
            <c:rich>
              <a:bodyPr rot="5400000" spcFirstLastPara="1" vertOverflow="ellipsis" wrap="square" anchor="ctr" anchorCtr="1"/>
              <a:lstStyle/>
              <a:p>
                <a:pPr>
                  <a:defRPr sz="900" b="1" i="0" u="none" strike="noStrike" kern="1200" baseline="0">
                    <a:solidFill>
                      <a:schemeClr val="dk1">
                        <a:lumMod val="75000"/>
                        <a:lumOff val="25000"/>
                      </a:schemeClr>
                    </a:solidFill>
                    <a:latin typeface="+mn-lt"/>
                    <a:ea typeface="+mn-ea"/>
                    <a:cs typeface="+mn-cs"/>
                  </a:defRPr>
                </a:pPr>
                <a:r>
                  <a:rPr lang="es-SV"/>
                  <a:t>Porcentaje</a:t>
                </a:r>
                <a:r>
                  <a:rPr lang="es-SV" baseline="0"/>
                  <a:t> de crecimiento por año</a:t>
                </a:r>
                <a:endParaRPr lang="es-SV"/>
              </a:p>
            </c:rich>
          </c:tx>
          <c:overlay val="0"/>
          <c:spPr>
            <a:noFill/>
            <a:ln>
              <a:noFill/>
            </a:ln>
            <a:effectLst/>
          </c:spPr>
          <c:txPr>
            <a:bodyPr rot="5400000" spcFirstLastPara="1" vertOverflow="ellipsis"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SV"/>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es-SV"/>
          </a:p>
        </c:txPr>
        <c:crossAx val="371828256"/>
        <c:crosses val="max"/>
        <c:crossBetween val="between"/>
      </c:valAx>
      <c:catAx>
        <c:axId val="371828256"/>
        <c:scaling>
          <c:orientation val="minMax"/>
        </c:scaling>
        <c:delete val="1"/>
        <c:axPos val="b"/>
        <c:numFmt formatCode="General" sourceLinked="1"/>
        <c:majorTickMark val="out"/>
        <c:minorTickMark val="none"/>
        <c:tickLblPos val="nextTo"/>
        <c:crossAx val="371803056"/>
        <c:crosses val="autoZero"/>
        <c:auto val="1"/>
        <c:lblAlgn val="ctr"/>
        <c:lblOffset val="100"/>
        <c:noMultiLvlLbl val="0"/>
      </c:catAx>
      <c:spPr>
        <a:noFill/>
        <a:ln>
          <a:noFill/>
        </a:ln>
        <a:effectLst/>
      </c:spPr>
    </c:plotArea>
    <c:legend>
      <c:legendPos val="b"/>
      <c:layout>
        <c:manualLayout>
          <c:xMode val="edge"/>
          <c:yMode val="edge"/>
          <c:x val="8.8727576740503175E-3"/>
          <c:y val="0.92694621833688129"/>
          <c:w val="0.9673812366103548"/>
          <c:h val="5.905553144439623E-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Arial Black" panose="020B0A04020102020204" pitchFamily="34" charset="0"/>
              <a:ea typeface="+mn-ea"/>
              <a:cs typeface="+mn-cs"/>
            </a:defRPr>
          </a:pPr>
          <a:endParaRPr lang="es-SV"/>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21">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4.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0.02188</cdr:x>
      <cdr:y>0.7691</cdr:y>
    </cdr:from>
    <cdr:to>
      <cdr:x>0.21146</cdr:x>
      <cdr:y>0.94966</cdr:y>
    </cdr:to>
    <cdr:sp macro="" textlink="">
      <cdr:nvSpPr>
        <cdr:cNvPr id="4" name="Rectángulo redondeado 3"/>
        <cdr:cNvSpPr/>
      </cdr:nvSpPr>
      <cdr:spPr>
        <a:xfrm xmlns:a="http://schemas.openxmlformats.org/drawingml/2006/main">
          <a:off x="100020" y="2109786"/>
          <a:ext cx="866760" cy="495312"/>
        </a:xfrm>
        <a:prstGeom xmlns:a="http://schemas.openxmlformats.org/drawingml/2006/main" prst="roundRect">
          <a:avLst/>
        </a:prstGeom>
      </cdr:spPr>
      <cdr:style>
        <a:lnRef xmlns:a="http://schemas.openxmlformats.org/drawingml/2006/main" idx="1">
          <a:schemeClr val="accent5"/>
        </a:lnRef>
        <a:fillRef xmlns:a="http://schemas.openxmlformats.org/drawingml/2006/main" idx="3">
          <a:schemeClr val="accent5"/>
        </a:fillRef>
        <a:effectRef xmlns:a="http://schemas.openxmlformats.org/drawingml/2006/main" idx="2">
          <a:schemeClr val="accent5"/>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US" sz="1100" b="0" i="0" baseline="0">
              <a:solidFill>
                <a:schemeClr val="lt1"/>
              </a:solidFill>
              <a:effectLst/>
              <a:latin typeface="+mn-lt"/>
              <a:ea typeface="+mn-ea"/>
              <a:cs typeface="+mn-cs"/>
            </a:rPr>
            <a:t>AUMENTO EL  2.9%</a:t>
          </a:r>
          <a:endParaRPr lang="es-SV">
            <a:effectLst/>
          </a:endParaRPr>
        </a:p>
        <a:p xmlns:a="http://schemas.openxmlformats.org/drawingml/2006/main">
          <a:r>
            <a:rPr lang="es-SV"/>
            <a:t>e</a:t>
          </a:r>
        </a:p>
      </cdr:txBody>
    </cdr:sp>
  </cdr:relSizeAnchor>
</c:userShapes>
</file>

<file path=word/drawings/drawing2.xml><?xml version="1.0" encoding="utf-8"?>
<c:userShapes xmlns:c="http://schemas.openxmlformats.org/drawingml/2006/chart">
  <cdr:relSizeAnchor xmlns:cdr="http://schemas.openxmlformats.org/drawingml/2006/chartDrawing">
    <cdr:from>
      <cdr:x>0.55538</cdr:x>
      <cdr:y>0.91431</cdr:y>
    </cdr:from>
    <cdr:to>
      <cdr:x>0.98185</cdr:x>
      <cdr:y>0.97665</cdr:y>
    </cdr:to>
    <cdr:sp macro="" textlink="">
      <cdr:nvSpPr>
        <cdr:cNvPr id="2" name="Rectángulo redondeado 1"/>
        <cdr:cNvSpPr/>
      </cdr:nvSpPr>
      <cdr:spPr>
        <a:xfrm xmlns:a="http://schemas.openxmlformats.org/drawingml/2006/main">
          <a:off x="3116853" y="3245480"/>
          <a:ext cx="2393402" cy="221289"/>
        </a:xfrm>
        <a:prstGeom xmlns:a="http://schemas.openxmlformats.org/drawingml/2006/main" prst="roundRect">
          <a:avLst/>
        </a:prstGeom>
        <a:ln xmlns:a="http://schemas.openxmlformats.org/drawingml/2006/main" w="38100"/>
      </cdr:spPr>
      <cdr:style>
        <a:lnRef xmlns:a="http://schemas.openxmlformats.org/drawingml/2006/main" idx="2">
          <a:schemeClr val="accent2"/>
        </a:lnRef>
        <a:fillRef xmlns:a="http://schemas.openxmlformats.org/drawingml/2006/main" idx="1">
          <a:schemeClr val="lt1"/>
        </a:fillRef>
        <a:effectRef xmlns:a="http://schemas.openxmlformats.org/drawingml/2006/main" idx="0">
          <a:schemeClr val="accent2"/>
        </a:effectRef>
        <a:fontRef xmlns:a="http://schemas.openxmlformats.org/drawingml/2006/main" idx="minor">
          <a:schemeClr val="dk1"/>
        </a:fontRef>
      </cdr:style>
      <cdr:txBody>
        <a:bodyPr xmlns:a="http://schemas.openxmlformats.org/drawingml/2006/main" vertOverflow="clip"/>
        <a:lstStyle xmlns:a="http://schemas.openxmlformats.org/drawingml/2006/main"/>
        <a:p xmlns:a="http://schemas.openxmlformats.org/drawingml/2006/main">
          <a:r>
            <a:rPr lang="es-SV" sz="800" b="1">
              <a:solidFill>
                <a:sysClr val="windowText" lastClr="000000"/>
              </a:solidFill>
            </a:rPr>
            <a:t>* NO</a:t>
          </a:r>
          <a:r>
            <a:rPr lang="es-SV" sz="800" b="1" baseline="0">
              <a:solidFill>
                <a:sysClr val="windowText" lastClr="000000"/>
              </a:solidFill>
            </a:rPr>
            <a:t> SE INCLUYEN ACCIDENTES DE MOTOCICLETAS</a:t>
          </a:r>
          <a:endParaRPr lang="es-SV" sz="800" b="1">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BF9E60-5010-4410-84C2-5194D8BCE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1532</Words>
  <Characters>8430</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CONASEVI</vt:lpstr>
    </vt:vector>
  </TitlesOfParts>
  <Company>FONDO PARA LA ATENCIÓN A VÍCTIMAS DE ACCIDENTES DE TRÁNSITO (FONAT)</Company>
  <LinksUpToDate>false</LinksUpToDate>
  <CharactersWithSpaces>9943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CONASEVI</dc:title>
  <dc:subject>Programa de Educación Vial</dc:subject>
  <dc:creator>Programa de Educación Vial CONASEVI</dc:creator>
  <cp:keywords/>
  <dc:description/>
  <cp:lastModifiedBy>Heysel Alarcon</cp:lastModifiedBy>
  <cp:revision>2</cp:revision>
  <cp:lastPrinted>2017-01-16T17:00:00Z</cp:lastPrinted>
  <dcterms:created xsi:type="dcterms:W3CDTF">2018-01-10T14:50:00Z</dcterms:created>
  <dcterms:modified xsi:type="dcterms:W3CDTF">2018-01-10T14:50:00Z</dcterms:modified>
</cp:coreProperties>
</file>