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B6D" w:rsidRPr="00C76749" w:rsidRDefault="00DC4B6D" w:rsidP="00D5252D">
      <w:pPr>
        <w:pStyle w:val="Default"/>
        <w:jc w:val="center"/>
        <w:rPr>
          <w:b/>
          <w:sz w:val="40"/>
          <w:szCs w:val="40"/>
        </w:rPr>
      </w:pPr>
      <w:r w:rsidRPr="00C76749">
        <w:rPr>
          <w:b/>
          <w:sz w:val="40"/>
          <w:szCs w:val="40"/>
        </w:rPr>
        <w:t>FONDO NACIONAL DE VIVIENDA POPULAR</w:t>
      </w:r>
    </w:p>
    <w:p w:rsidR="00DC4B6D" w:rsidRPr="00B65D13" w:rsidRDefault="00DC4B6D" w:rsidP="00D5252D">
      <w:pPr>
        <w:pStyle w:val="Default"/>
        <w:jc w:val="center"/>
        <w:rPr>
          <w:sz w:val="36"/>
          <w:szCs w:val="36"/>
        </w:rPr>
      </w:pPr>
      <w:r w:rsidRPr="00B65D13">
        <w:rPr>
          <w:sz w:val="36"/>
          <w:szCs w:val="36"/>
        </w:rPr>
        <w:t>OFICINA DE INFORMACIÓN Y RESPUESTA (OIR)</w:t>
      </w:r>
    </w:p>
    <w:p w:rsidR="00DC4B6D" w:rsidRPr="00B65D13" w:rsidRDefault="00DC4B6D" w:rsidP="00D5252D">
      <w:pPr>
        <w:pStyle w:val="Default"/>
        <w:jc w:val="center"/>
        <w:rPr>
          <w:sz w:val="36"/>
          <w:szCs w:val="36"/>
        </w:rPr>
      </w:pPr>
    </w:p>
    <w:p w:rsidR="00DC4B6D" w:rsidRDefault="00DC4B6D" w:rsidP="00D5252D">
      <w:pPr>
        <w:pStyle w:val="Default"/>
        <w:rPr>
          <w:sz w:val="28"/>
          <w:szCs w:val="28"/>
        </w:rPr>
      </w:pPr>
    </w:p>
    <w:p w:rsidR="00DC4B6D" w:rsidRDefault="00DC4B6D" w:rsidP="00D5252D">
      <w:pPr>
        <w:pStyle w:val="Default"/>
        <w:rPr>
          <w:sz w:val="28"/>
          <w:szCs w:val="28"/>
        </w:rPr>
      </w:pPr>
    </w:p>
    <w:p w:rsidR="001A0ED6" w:rsidRDefault="001A0ED6" w:rsidP="00D5252D">
      <w:pPr>
        <w:pStyle w:val="Default"/>
        <w:rPr>
          <w:sz w:val="28"/>
          <w:szCs w:val="28"/>
        </w:rPr>
      </w:pPr>
    </w:p>
    <w:p w:rsidR="001A0ED6" w:rsidRDefault="001A0ED6" w:rsidP="00D5252D">
      <w:pPr>
        <w:pStyle w:val="Default"/>
        <w:rPr>
          <w:sz w:val="28"/>
          <w:szCs w:val="28"/>
        </w:rPr>
      </w:pPr>
    </w:p>
    <w:p w:rsidR="00DC4B6D" w:rsidRDefault="00DC4B6D" w:rsidP="00D5252D">
      <w:pPr>
        <w:pStyle w:val="Default"/>
        <w:rPr>
          <w:sz w:val="28"/>
          <w:szCs w:val="28"/>
        </w:rPr>
      </w:pPr>
    </w:p>
    <w:p w:rsidR="00DC4B6D" w:rsidRDefault="00DC4B6D" w:rsidP="00D5252D">
      <w:pPr>
        <w:pStyle w:val="Default"/>
        <w:rPr>
          <w:sz w:val="28"/>
          <w:szCs w:val="28"/>
        </w:rPr>
      </w:pPr>
    </w:p>
    <w:p w:rsidR="00DC4B6D" w:rsidRDefault="00DC4B6D" w:rsidP="00D5252D">
      <w:pPr>
        <w:pStyle w:val="Default"/>
        <w:jc w:val="center"/>
        <w:rPr>
          <w:sz w:val="28"/>
          <w:szCs w:val="28"/>
        </w:rPr>
      </w:pPr>
      <w:r>
        <w:rPr>
          <w:noProof/>
          <w:lang w:val="es-SV" w:eastAsia="es-SV"/>
        </w:rPr>
        <w:drawing>
          <wp:inline distT="0" distB="0" distL="0" distR="0">
            <wp:extent cx="2521585" cy="1447800"/>
            <wp:effectExtent l="0" t="0" r="0" b="0"/>
            <wp:docPr id="2" name="Imagen 2" descr="Dib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buj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21585" cy="1447800"/>
                    </a:xfrm>
                    <a:prstGeom prst="rect">
                      <a:avLst/>
                    </a:prstGeom>
                    <a:noFill/>
                    <a:ln>
                      <a:noFill/>
                    </a:ln>
                  </pic:spPr>
                </pic:pic>
              </a:graphicData>
            </a:graphic>
          </wp:inline>
        </w:drawing>
      </w:r>
    </w:p>
    <w:p w:rsidR="00DC4B6D" w:rsidRDefault="00DC4B6D" w:rsidP="00D5252D">
      <w:pPr>
        <w:pStyle w:val="Default"/>
        <w:rPr>
          <w:sz w:val="28"/>
          <w:szCs w:val="28"/>
        </w:rPr>
      </w:pPr>
    </w:p>
    <w:p w:rsidR="00DC4B6D" w:rsidRDefault="00DC4B6D" w:rsidP="00D5252D">
      <w:pPr>
        <w:pStyle w:val="Default"/>
        <w:rPr>
          <w:sz w:val="28"/>
          <w:szCs w:val="28"/>
        </w:rPr>
      </w:pPr>
    </w:p>
    <w:p w:rsidR="00DC4B6D" w:rsidRDefault="00DC4B6D" w:rsidP="00D5252D">
      <w:pPr>
        <w:pStyle w:val="Default"/>
        <w:rPr>
          <w:sz w:val="28"/>
          <w:szCs w:val="28"/>
        </w:rPr>
      </w:pPr>
    </w:p>
    <w:p w:rsidR="00DC4B6D" w:rsidRDefault="00DC4B6D" w:rsidP="00D5252D">
      <w:pPr>
        <w:pStyle w:val="Default"/>
        <w:rPr>
          <w:sz w:val="28"/>
          <w:szCs w:val="28"/>
        </w:rPr>
      </w:pPr>
    </w:p>
    <w:p w:rsidR="00DC4B6D" w:rsidRDefault="00DC4B6D" w:rsidP="00D5252D">
      <w:pPr>
        <w:pStyle w:val="Default"/>
        <w:rPr>
          <w:sz w:val="28"/>
          <w:szCs w:val="28"/>
        </w:rPr>
      </w:pPr>
    </w:p>
    <w:p w:rsidR="00DC4B6D" w:rsidRDefault="00DC4B6D" w:rsidP="00D5252D">
      <w:pPr>
        <w:pStyle w:val="Default"/>
        <w:rPr>
          <w:sz w:val="28"/>
          <w:szCs w:val="28"/>
        </w:rPr>
      </w:pPr>
    </w:p>
    <w:p w:rsidR="00DC4B6D" w:rsidRDefault="00DC4B6D" w:rsidP="00D5252D">
      <w:pPr>
        <w:pStyle w:val="Default"/>
        <w:jc w:val="center"/>
        <w:rPr>
          <w:b/>
          <w:bCs/>
          <w:sz w:val="40"/>
          <w:szCs w:val="40"/>
        </w:rPr>
      </w:pPr>
      <w:r>
        <w:rPr>
          <w:b/>
          <w:bCs/>
          <w:sz w:val="40"/>
          <w:szCs w:val="40"/>
        </w:rPr>
        <w:t>GUIA DEL SISTEMA DE ARCHIVO INSTITUCIONAL DE FONAVIPO</w:t>
      </w:r>
    </w:p>
    <w:p w:rsidR="00DC4B6D" w:rsidRDefault="00DC4B6D" w:rsidP="00D5252D">
      <w:pPr>
        <w:pStyle w:val="Default"/>
        <w:jc w:val="center"/>
        <w:rPr>
          <w:b/>
          <w:bCs/>
          <w:sz w:val="40"/>
          <w:szCs w:val="40"/>
        </w:rPr>
      </w:pPr>
    </w:p>
    <w:p w:rsidR="00DC4B6D" w:rsidRPr="00B65D13" w:rsidRDefault="00DC4B6D" w:rsidP="00D5252D">
      <w:pPr>
        <w:pStyle w:val="Default"/>
        <w:jc w:val="center"/>
      </w:pPr>
      <w:r w:rsidRPr="00B65D13">
        <w:t xml:space="preserve"> SEGÚN LA NORMA INTERNACIONAL PARA DESCRIPCIÓN DE INSTITUCIONES</w:t>
      </w:r>
    </w:p>
    <w:p w:rsidR="00DC4B6D" w:rsidRPr="00B65D13" w:rsidRDefault="00DC4B6D" w:rsidP="00D5252D">
      <w:pPr>
        <w:pStyle w:val="Default"/>
        <w:jc w:val="center"/>
      </w:pPr>
      <w:r w:rsidRPr="00B65D13">
        <w:t>CON ACERVO ARCHIVÍSTICO</w:t>
      </w:r>
    </w:p>
    <w:p w:rsidR="00DC4B6D" w:rsidRPr="00B65D13" w:rsidRDefault="00DC4B6D" w:rsidP="00D5252D">
      <w:pPr>
        <w:pStyle w:val="Default"/>
        <w:jc w:val="center"/>
      </w:pPr>
      <w:r w:rsidRPr="00B65D13">
        <w:t>ISDIAH (1ª. Ed.)</w:t>
      </w:r>
    </w:p>
    <w:p w:rsidR="00DC4B6D" w:rsidRPr="00B65D13" w:rsidRDefault="00DC4B6D" w:rsidP="00D5252D">
      <w:pPr>
        <w:pStyle w:val="Default"/>
        <w:rPr>
          <w:b/>
          <w:bCs/>
        </w:rPr>
      </w:pPr>
    </w:p>
    <w:p w:rsidR="00DC4B6D" w:rsidRDefault="00DC4B6D" w:rsidP="00D5252D">
      <w:pPr>
        <w:pStyle w:val="Default"/>
        <w:rPr>
          <w:b/>
          <w:bCs/>
          <w:sz w:val="20"/>
          <w:szCs w:val="20"/>
        </w:rPr>
      </w:pPr>
    </w:p>
    <w:p w:rsidR="00DC4B6D" w:rsidRDefault="00DC4B6D" w:rsidP="00D5252D">
      <w:pPr>
        <w:pStyle w:val="Default"/>
        <w:rPr>
          <w:b/>
          <w:bCs/>
          <w:sz w:val="20"/>
          <w:szCs w:val="20"/>
        </w:rPr>
      </w:pPr>
    </w:p>
    <w:p w:rsidR="00DC4B6D" w:rsidRDefault="00DC4B6D" w:rsidP="00D5252D">
      <w:pPr>
        <w:pStyle w:val="Default"/>
        <w:rPr>
          <w:b/>
          <w:bCs/>
          <w:sz w:val="20"/>
          <w:szCs w:val="20"/>
        </w:rPr>
      </w:pPr>
    </w:p>
    <w:p w:rsidR="00DC4B6D" w:rsidRDefault="00DC4B6D" w:rsidP="00D5252D">
      <w:pPr>
        <w:pStyle w:val="Default"/>
        <w:rPr>
          <w:b/>
          <w:bCs/>
          <w:sz w:val="20"/>
          <w:szCs w:val="20"/>
        </w:rPr>
      </w:pPr>
    </w:p>
    <w:p w:rsidR="00DC4B6D" w:rsidRDefault="00DC4B6D" w:rsidP="00D5252D">
      <w:pPr>
        <w:pStyle w:val="Default"/>
        <w:rPr>
          <w:b/>
          <w:bCs/>
          <w:sz w:val="20"/>
          <w:szCs w:val="20"/>
        </w:rPr>
      </w:pPr>
    </w:p>
    <w:p w:rsidR="00DC4B6D" w:rsidRDefault="00DC4B6D" w:rsidP="00D5252D">
      <w:pPr>
        <w:pStyle w:val="Default"/>
        <w:rPr>
          <w:b/>
          <w:bCs/>
          <w:sz w:val="20"/>
          <w:szCs w:val="20"/>
        </w:rPr>
      </w:pPr>
    </w:p>
    <w:p w:rsidR="00DC4B6D" w:rsidRDefault="00DC4B6D" w:rsidP="00D5252D">
      <w:pPr>
        <w:pStyle w:val="Default"/>
        <w:rPr>
          <w:b/>
          <w:bCs/>
          <w:sz w:val="20"/>
          <w:szCs w:val="20"/>
        </w:rPr>
      </w:pPr>
    </w:p>
    <w:p w:rsidR="00DC4B6D" w:rsidRDefault="00DC4B6D" w:rsidP="00D5252D">
      <w:pPr>
        <w:pStyle w:val="Default"/>
        <w:rPr>
          <w:b/>
          <w:bCs/>
          <w:sz w:val="20"/>
          <w:szCs w:val="20"/>
        </w:rPr>
      </w:pPr>
    </w:p>
    <w:p w:rsidR="00DC4B6D" w:rsidRDefault="00DC4B6D" w:rsidP="00D5252D">
      <w:pPr>
        <w:pStyle w:val="Default"/>
        <w:rPr>
          <w:b/>
          <w:bCs/>
          <w:sz w:val="20"/>
          <w:szCs w:val="20"/>
        </w:rPr>
      </w:pPr>
    </w:p>
    <w:p w:rsidR="00DC4B6D" w:rsidRDefault="00DC4B6D" w:rsidP="00D5252D">
      <w:pPr>
        <w:pStyle w:val="Default"/>
        <w:rPr>
          <w:b/>
          <w:bCs/>
          <w:sz w:val="20"/>
          <w:szCs w:val="20"/>
        </w:rPr>
      </w:pPr>
    </w:p>
    <w:p w:rsidR="00DC4B6D" w:rsidRDefault="00DC4B6D" w:rsidP="00D5252D">
      <w:pPr>
        <w:pStyle w:val="Default"/>
        <w:rPr>
          <w:b/>
          <w:bCs/>
          <w:sz w:val="20"/>
          <w:szCs w:val="20"/>
        </w:rPr>
      </w:pPr>
    </w:p>
    <w:p w:rsidR="00DC4B6D" w:rsidRDefault="00DC4B6D" w:rsidP="00D5252D">
      <w:pPr>
        <w:pStyle w:val="Default"/>
        <w:jc w:val="center"/>
        <w:rPr>
          <w:b/>
          <w:bCs/>
          <w:sz w:val="28"/>
          <w:szCs w:val="28"/>
        </w:rPr>
      </w:pPr>
      <w:r w:rsidRPr="00B65D13">
        <w:rPr>
          <w:b/>
          <w:bCs/>
          <w:sz w:val="28"/>
          <w:szCs w:val="28"/>
        </w:rPr>
        <w:t xml:space="preserve">SAN SALVADOR, </w:t>
      </w:r>
      <w:r w:rsidR="00B247EE">
        <w:rPr>
          <w:b/>
          <w:bCs/>
          <w:sz w:val="28"/>
          <w:szCs w:val="28"/>
        </w:rPr>
        <w:t>DICIEMBRE 2016</w:t>
      </w:r>
    </w:p>
    <w:p w:rsidR="00DC4B6D" w:rsidRDefault="00DC4B6D" w:rsidP="00D5252D">
      <w:pPr>
        <w:pStyle w:val="Default"/>
        <w:jc w:val="center"/>
        <w:rPr>
          <w:sz w:val="28"/>
          <w:szCs w:val="28"/>
        </w:rPr>
      </w:pPr>
    </w:p>
    <w:p w:rsidR="00DC4B6D" w:rsidRDefault="00DC4B6D" w:rsidP="00D5252D">
      <w:pPr>
        <w:pStyle w:val="Default"/>
        <w:jc w:val="center"/>
        <w:rPr>
          <w:sz w:val="28"/>
          <w:szCs w:val="28"/>
        </w:rPr>
      </w:pPr>
    </w:p>
    <w:p w:rsidR="00D5252D" w:rsidRPr="00D5252D" w:rsidRDefault="00D5252D" w:rsidP="00D5252D">
      <w:pPr>
        <w:pStyle w:val="Default"/>
        <w:jc w:val="center"/>
        <w:rPr>
          <w:sz w:val="44"/>
          <w:szCs w:val="44"/>
        </w:rPr>
      </w:pPr>
      <w:r w:rsidRPr="00D5252D">
        <w:rPr>
          <w:sz w:val="44"/>
          <w:szCs w:val="44"/>
        </w:rPr>
        <w:t xml:space="preserve">INTRODUCCIÓN </w:t>
      </w: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Pr="00D5252D" w:rsidRDefault="00D5252D" w:rsidP="00D5252D">
      <w:pPr>
        <w:pStyle w:val="Default"/>
        <w:jc w:val="center"/>
        <w:rPr>
          <w:sz w:val="28"/>
          <w:szCs w:val="28"/>
        </w:rPr>
      </w:pPr>
    </w:p>
    <w:p w:rsidR="00D5252D" w:rsidRPr="00D5252D" w:rsidRDefault="00D5252D" w:rsidP="00D5252D">
      <w:pPr>
        <w:pStyle w:val="Default"/>
        <w:jc w:val="center"/>
        <w:rPr>
          <w:sz w:val="28"/>
          <w:szCs w:val="28"/>
        </w:rPr>
      </w:pPr>
    </w:p>
    <w:p w:rsidR="00DC4B6D" w:rsidRPr="00D5252D" w:rsidRDefault="00D5252D" w:rsidP="00D5252D">
      <w:pPr>
        <w:pStyle w:val="Default"/>
        <w:jc w:val="both"/>
        <w:rPr>
          <w:sz w:val="28"/>
          <w:szCs w:val="28"/>
        </w:rPr>
      </w:pPr>
      <w:r w:rsidRPr="00D5252D">
        <w:rPr>
          <w:sz w:val="28"/>
          <w:szCs w:val="28"/>
        </w:rPr>
        <w:t>En el marco del cumplimiento de la Ley de Acceso a la Información Pública LAIP, se ha elaborado esta guía de descripción institucional, la cual presenta información referente a los fondos documentales, organización administrativa, historia, marcos legales, servicios, espacios públicos y de acceso, así como la información detallada de los contactos de las personas encargadas de la Oficina de Información y Respuesta.</w:t>
      </w: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r>
        <w:rPr>
          <w:sz w:val="28"/>
          <w:szCs w:val="28"/>
        </w:rPr>
        <w:t>Sistema de Archivo Institucional</w:t>
      </w:r>
    </w:p>
    <w:p w:rsidR="00D5252D" w:rsidRDefault="00027302" w:rsidP="00D5252D">
      <w:pPr>
        <w:pStyle w:val="Default"/>
        <w:jc w:val="center"/>
        <w:rPr>
          <w:sz w:val="28"/>
          <w:szCs w:val="28"/>
        </w:rPr>
      </w:pPr>
      <w:r>
        <w:rPr>
          <w:noProof/>
          <w:sz w:val="28"/>
          <w:szCs w:val="28"/>
          <w:lang w:val="es-SV" w:eastAsia="es-SV"/>
        </w:rPr>
        <mc:AlternateContent>
          <mc:Choice Requires="wps">
            <w:drawing>
              <wp:anchor distT="0" distB="0" distL="114300" distR="114300" simplePos="0" relativeHeight="251659264" behindDoc="0" locked="0" layoutInCell="1" allowOverlap="1">
                <wp:simplePos x="0" y="0"/>
                <wp:positionH relativeFrom="column">
                  <wp:posOffset>-194310</wp:posOffset>
                </wp:positionH>
                <wp:positionV relativeFrom="paragraph">
                  <wp:posOffset>149225</wp:posOffset>
                </wp:positionV>
                <wp:extent cx="5943600" cy="447675"/>
                <wp:effectExtent l="0" t="0" r="19050" b="28575"/>
                <wp:wrapNone/>
                <wp:docPr id="3" name="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447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5252D" w:rsidRPr="00D5252D" w:rsidRDefault="00D5252D" w:rsidP="00D5252D">
                            <w:pPr>
                              <w:jc w:val="center"/>
                              <w:rPr>
                                <w:sz w:val="48"/>
                                <w:szCs w:val="48"/>
                              </w:rPr>
                            </w:pPr>
                            <w:r w:rsidRPr="00D5252D">
                              <w:rPr>
                                <w:sz w:val="48"/>
                                <w:szCs w:val="48"/>
                              </w:rPr>
                              <w:t>FONAVIPO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3 Rectángulo" o:spid="_x0000_s1026" style="position:absolute;left:0;text-align:left;margin-left:-15.3pt;margin-top:11.75pt;width:468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56jAIAAF8FAAAOAAAAZHJzL2Uyb0RvYy54bWysVMFu2zAMvQ/YPwi6r3bSpF2NOkXQosOA&#10;oCvaDj0rshQbk0RNUmJnf7Nv2Y+Nkh23a4sdhvkgSCL5SD4/6vyi04rshPMNmJJOjnJKhOFQNWZT&#10;0q8P1x8+UuIDMxVTYERJ98LTi8X7d+etLcQUalCVcARBjC9aW9I6BFtkmee10MwfgRUGjRKcZgGP&#10;bpNVjrWIrlU2zfOTrAVXWQdceI+3V72RLhK+lIKHL1J6EYgqKdYW0urSuo5rtjhnxcYxWzd8KIP9&#10;QxWaNQaTjlBXLDCydc0rKN1wBx5kOOKgM5Cy4SL1gN1M8hfd3NfMitQLkuPtSJP/f7D8ZnfrSFOV&#10;9JgSwzT+omNyh7T9+mk2WwWRoNb6Av3u7a2LLXq7Av7NoyH7wxIPfvDppNPRFxskXWJ7P7ItukA4&#10;Xs7PZscnOf4UjrbZ7PTkdB6zZaw4RFvnwycBmsRNSR2WlUhmu5UPvevBZSimz58qCXslYgnK3AmJ&#10;HWLGaYpO2hKXypEdQ1UwzoUJk95Us0r01/Mcv6GeMSJVlwAjsmyUGrEHgKjb19h9rYN/DBVJmmNw&#10;/rfC+uAxImUGE8Zg3RhwbwEo7GrI3PsfSOqpiSyFbt2hS9yuodqjFBz0M+Itv26Q9hXz4ZY5HAr8&#10;Uzjo4QsuUkFbUhh2lNTgfrx1H/1Rq2ilpMUhK6n/vmVOUKI+G1Tx2WQ2i1OZDrP56RQP7rll/dxi&#10;tvoS8I9N8EmxPG2jf1CHrXSgH/E9WMasaGKGY+6S8uAOh8vQDz++KFwsl8kNJ9GysDL3lkfwSHCU&#10;1UP3yJwdtBdQtTdwGEhWvJBg7xsjDSy3AWST9PnE60A9TnHS0PDixGfi+Tl5Pb2Li98AAAD//wMA&#10;UEsDBBQABgAIAAAAIQB2Ne+/4AAAAAkBAAAPAAAAZHJzL2Rvd25yZXYueG1sTI/dTsMwDEbvkXiH&#10;yEjcbQnbWrHSdEIIhhA/EhsPkDZeW2icqsm68vaYK7iz5aPP58s3k+vEiENoPWm4misQSJW3LdUa&#10;PvYPs2sQIRqypvOEGr4xwKY4P8tNZv2J3nHcxVpwCIXMaGhi7DMpQ9WgM2HueyS+HfzgTOR1qKUd&#10;zInDXScXSqXSmZb4Q2N6vGuw+todnYbHLb0dxnLYbz+f1MuzTe39a7LW+vJiur0BEXGKfzD86rM6&#10;FOxU+iPZIDoNs6VKGdWwWCYgGFirZAWi5GGlQBa5/N+g+AEAAP//AwBQSwECLQAUAAYACAAAACEA&#10;toM4kv4AAADhAQAAEwAAAAAAAAAAAAAAAAAAAAAAW0NvbnRlbnRfVHlwZXNdLnhtbFBLAQItABQA&#10;BgAIAAAAIQA4/SH/1gAAAJQBAAALAAAAAAAAAAAAAAAAAC8BAABfcmVscy8ucmVsc1BLAQItABQA&#10;BgAIAAAAIQB9N/56jAIAAF8FAAAOAAAAAAAAAAAAAAAAAC4CAABkcnMvZTJvRG9jLnhtbFBLAQIt&#10;ABQABgAIAAAAIQB2Ne+/4AAAAAkBAAAPAAAAAAAAAAAAAAAAAOYEAABkcnMvZG93bnJldi54bWxQ&#10;SwUGAAAAAAQABADzAAAA8wUAAAAA&#10;" fillcolor="#4f81bd [3204]" strokecolor="#243f60 [1604]" strokeweight="2pt">
                <v:path arrowok="t"/>
                <v:textbox>
                  <w:txbxContent>
                    <w:p w:rsidR="00D5252D" w:rsidRPr="00D5252D" w:rsidRDefault="00D5252D" w:rsidP="00D5252D">
                      <w:pPr>
                        <w:jc w:val="center"/>
                        <w:rPr>
                          <w:sz w:val="48"/>
                          <w:szCs w:val="48"/>
                        </w:rPr>
                      </w:pPr>
                      <w:r w:rsidRPr="00D5252D">
                        <w:rPr>
                          <w:sz w:val="48"/>
                          <w:szCs w:val="48"/>
                        </w:rPr>
                        <w:t>FONAVIPO</w:t>
                      </w:r>
                    </w:p>
                  </w:txbxContent>
                </v:textbox>
              </v:rect>
            </w:pict>
          </mc:Fallback>
        </mc:AlternateContent>
      </w:r>
    </w:p>
    <w:p w:rsidR="001A0ED6" w:rsidRDefault="001A0ED6" w:rsidP="00D5252D">
      <w:pPr>
        <w:pStyle w:val="Default"/>
        <w:jc w:val="center"/>
        <w:rPr>
          <w:sz w:val="28"/>
          <w:szCs w:val="28"/>
        </w:rPr>
      </w:pPr>
    </w:p>
    <w:p w:rsidR="00D5252D" w:rsidRDefault="00D5252D" w:rsidP="00D5252D">
      <w:pPr>
        <w:pStyle w:val="Default"/>
        <w:rPr>
          <w:rFonts w:ascii="Times New Roman" w:hAnsi="Times New Roman" w:cs="Times New Roman"/>
          <w:b/>
          <w:bCs/>
          <w:sz w:val="18"/>
          <w:szCs w:val="18"/>
        </w:rPr>
      </w:pPr>
    </w:p>
    <w:p w:rsidR="00D5252D" w:rsidRDefault="00027302" w:rsidP="00D5252D">
      <w:pPr>
        <w:pStyle w:val="Default"/>
        <w:rPr>
          <w:rFonts w:ascii="Times New Roman" w:hAnsi="Times New Roman" w:cs="Times New Roman"/>
          <w:b/>
          <w:bCs/>
          <w:sz w:val="18"/>
          <w:szCs w:val="18"/>
        </w:rPr>
      </w:pPr>
      <w:r>
        <w:rPr>
          <w:rFonts w:ascii="Times New Roman" w:hAnsi="Times New Roman" w:cs="Times New Roman"/>
          <w:b/>
          <w:bCs/>
          <w:noProof/>
          <w:sz w:val="18"/>
          <w:szCs w:val="18"/>
          <w:lang w:val="es-SV" w:eastAsia="es-SV"/>
        </w:rPr>
        <mc:AlternateContent>
          <mc:Choice Requires="wps">
            <w:drawing>
              <wp:anchor distT="0" distB="0" distL="114300" distR="114300" simplePos="0" relativeHeight="251660288" behindDoc="0" locked="0" layoutInCell="1" allowOverlap="1">
                <wp:simplePos x="0" y="0"/>
                <wp:positionH relativeFrom="column">
                  <wp:posOffset>-194310</wp:posOffset>
                </wp:positionH>
                <wp:positionV relativeFrom="paragraph">
                  <wp:posOffset>48260</wp:posOffset>
                </wp:positionV>
                <wp:extent cx="5943600" cy="352425"/>
                <wp:effectExtent l="0" t="0" r="19050" b="28575"/>
                <wp:wrapNone/>
                <wp:docPr id="4" name="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35242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D5252D" w:rsidRPr="000D2BF6" w:rsidRDefault="00D5252D" w:rsidP="00D5252D">
                            <w:pPr>
                              <w:pStyle w:val="Default"/>
                              <w:rPr>
                                <w:sz w:val="28"/>
                                <w:szCs w:val="28"/>
                              </w:rPr>
                            </w:pPr>
                            <w:r w:rsidRPr="000D2BF6">
                              <w:rPr>
                                <w:b/>
                                <w:bCs/>
                                <w:sz w:val="28"/>
                                <w:szCs w:val="28"/>
                              </w:rPr>
                              <w:t xml:space="preserve">1. AREA DE IDENTIFICACIÓN </w:t>
                            </w:r>
                          </w:p>
                          <w:p w:rsidR="00D5252D" w:rsidRDefault="00D5252D" w:rsidP="00D525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4 Rectángulo" o:spid="_x0000_s1027" style="position:absolute;margin-left:-15.3pt;margin-top:3.8pt;width:468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HYsigIAAGYFAAAOAAAAZHJzL2Uyb0RvYy54bWysVF9v0zAQf0fiO1h+Z0nbdLBo6VR1GkKq&#10;tmkb2rPr2E2E4zO226R8Gz4LX4yzk2ZjTCAh8mDlfL/79/PdnV90jSJ7YV0NuqCTk5QSoTmUtd4W&#10;9PPD1bsPlDjPdMkUaFHQg3D0YvH2zXlrcjGFClQpLEEn2uWtKWjlvcmTxPFKNMydgBEalRJswzyK&#10;dpuUlrXovVHJNE1PkxZsaSxw4RzeXvZKuoj+pRTc30jphCeqoJibj6eN5yacyeKc5VvLTFXzIQ32&#10;D1k0rNYYdHR1yTwjO1v/5qqpuQUH0p9waBKQsuYi1oDVTNIX1dxXzIhYC5LjzEiT+39u+fX+1pK6&#10;LGhGiWYNPlFG7pC2H9/1dqcgENQalyPu3tzaUKIza+BfHCqSXzRBcAOmk7YJWCyQdJHtw8i26Dzh&#10;eDk/y2anKT4KR91sPs2m8xAtYfnR2ljnPwpoSPgpqMW0Islsv3a+hx4hQzJ9/JiJPygRUlD6Tkis&#10;ECNOo3XsLbFSluwZdgXjXGg/61UVK0V/PU/xG/IZLWJ20WHwLGulRt+TP/nucx3wwVTE1hyN078b&#10;jxYxMmg/Gje1BvuaA+UnQwGyxx9J6qkJLPlu08XXj8hws4HygB1hoR8VZ/hVjeyvmfO3zOJs4IPh&#10;vPsbPKSCtqAw/FFSgf322n3AY8uilpIWZ62g7uuOWUGJ+qSxmc8mWRaGMwrZ/P0UBftcs3mu0btm&#10;BfhwE9wshsffgPfq+CstNI+4FpYhKqqY5hi7oNzbo7Dy/Q7AxcLFchlhOJCG+bW+Nzw4DzyH7nro&#10;Hpk1Qwt6bN5rOM4ly190Yo8NlhqWOw+yjm36xOvwAjjMsZWGxRO2xXM5op7W4+InAAAA//8DAFBL&#10;AwQUAAYACAAAACEAaM5hC90AAAAIAQAADwAAAGRycy9kb3ducmV2LnhtbEyPwU7DMBBE70j8g7VI&#10;3Fq7LQ0lzaZCFRXi2JYPcGITR43XUeym4e9ZTnAarWY087bYTb4Tox1iGwhhMVcgLNXBtNQgfJ4P&#10;sw2ImDQZ3QWyCN82wq68vyt0bsKNjnY8pUZwCcVcI7iU+lzKWDvrdZyH3hJ7X2HwOvE5NNIM+sbl&#10;vpNLpTLpdUu84HRv987Wl9PVI+jxI6zfxmYTltXwftinYzsZh/j4ML1uQSQ7pb8w/OIzOpTMVIUr&#10;mSg6hNlKZRxFeGZh/0Wtn0BUCNlqAbIs5P8Hyh8AAAD//wMAUEsBAi0AFAAGAAgAAAAhALaDOJL+&#10;AAAA4QEAABMAAAAAAAAAAAAAAAAAAAAAAFtDb250ZW50X1R5cGVzXS54bWxQSwECLQAUAAYACAAA&#10;ACEAOP0h/9YAAACUAQAACwAAAAAAAAAAAAAAAAAvAQAAX3JlbHMvLnJlbHNQSwECLQAUAAYACAAA&#10;ACEAG1R2LIoCAABmBQAADgAAAAAAAAAAAAAAAAAuAgAAZHJzL2Uyb0RvYy54bWxQSwECLQAUAAYA&#10;CAAAACEAaM5hC90AAAAIAQAADwAAAAAAAAAAAAAAAADkBAAAZHJzL2Rvd25yZXYueG1sUEsFBgAA&#10;AAAEAAQA8wAAAO4FAAAAAA==&#10;" fillcolor="#9bbb59 [3206]" strokecolor="#4e6128 [1606]" strokeweight="2pt">
                <v:path arrowok="t"/>
                <v:textbox>
                  <w:txbxContent>
                    <w:p w:rsidR="00D5252D" w:rsidRPr="000D2BF6" w:rsidRDefault="00D5252D" w:rsidP="00D5252D">
                      <w:pPr>
                        <w:pStyle w:val="Default"/>
                        <w:rPr>
                          <w:sz w:val="28"/>
                          <w:szCs w:val="28"/>
                        </w:rPr>
                      </w:pPr>
                      <w:r w:rsidRPr="000D2BF6">
                        <w:rPr>
                          <w:b/>
                          <w:bCs/>
                          <w:sz w:val="28"/>
                          <w:szCs w:val="28"/>
                        </w:rPr>
                        <w:t xml:space="preserve">1. AREA DE IDENTIFICACIÓN </w:t>
                      </w:r>
                    </w:p>
                    <w:p w:rsidR="00D5252D" w:rsidRDefault="00D5252D" w:rsidP="00D5252D">
                      <w:pPr>
                        <w:jc w:val="center"/>
                      </w:pPr>
                    </w:p>
                  </w:txbxContent>
                </v:textbox>
              </v:rect>
            </w:pict>
          </mc:Fallback>
        </mc:AlternateContent>
      </w:r>
    </w:p>
    <w:p w:rsidR="001A0ED6" w:rsidRDefault="001A0ED6" w:rsidP="00D5252D">
      <w:pPr>
        <w:pStyle w:val="Default"/>
        <w:jc w:val="center"/>
        <w:rPr>
          <w:sz w:val="28"/>
          <w:szCs w:val="28"/>
        </w:rPr>
      </w:pPr>
    </w:p>
    <w:tbl>
      <w:tblPr>
        <w:tblStyle w:val="Tablaconcuadrcula"/>
        <w:tblpPr w:leftFromText="141" w:rightFromText="141" w:vertAnchor="text" w:horzAnchor="margin" w:tblpX="-176" w:tblpY="127"/>
        <w:tblW w:w="9356" w:type="dxa"/>
        <w:tblLook w:val="04A0" w:firstRow="1" w:lastRow="0" w:firstColumn="1" w:lastColumn="0" w:noHBand="0" w:noVBand="1"/>
      </w:tblPr>
      <w:tblGrid>
        <w:gridCol w:w="2694"/>
        <w:gridCol w:w="6662"/>
      </w:tblGrid>
      <w:tr w:rsidR="00D5252D" w:rsidTr="00D5252D">
        <w:tc>
          <w:tcPr>
            <w:tcW w:w="2694" w:type="dxa"/>
          </w:tcPr>
          <w:p w:rsidR="00D5252D" w:rsidRPr="00D5252D" w:rsidRDefault="00D5252D" w:rsidP="00D5252D">
            <w:pPr>
              <w:pStyle w:val="Default"/>
              <w:rPr>
                <w:sz w:val="20"/>
                <w:szCs w:val="20"/>
              </w:rPr>
            </w:pPr>
            <w:r>
              <w:rPr>
                <w:b/>
                <w:bCs/>
                <w:sz w:val="20"/>
                <w:szCs w:val="20"/>
              </w:rPr>
              <w:t xml:space="preserve">1.1. Identificador </w:t>
            </w:r>
          </w:p>
        </w:tc>
        <w:tc>
          <w:tcPr>
            <w:tcW w:w="6662" w:type="dxa"/>
          </w:tcPr>
          <w:p w:rsidR="00D5252D" w:rsidRDefault="00D5252D" w:rsidP="00D5252D">
            <w:pPr>
              <w:pStyle w:val="Default"/>
              <w:rPr>
                <w:b/>
                <w:bCs/>
                <w:sz w:val="22"/>
                <w:szCs w:val="22"/>
              </w:rPr>
            </w:pPr>
            <w:r>
              <w:rPr>
                <w:b/>
                <w:bCs/>
                <w:sz w:val="22"/>
                <w:szCs w:val="22"/>
              </w:rPr>
              <w:t xml:space="preserve">SV-FONAVIPO </w:t>
            </w:r>
          </w:p>
          <w:p w:rsidR="00D5252D" w:rsidRDefault="00D5252D" w:rsidP="00D5252D">
            <w:pPr>
              <w:pStyle w:val="Default"/>
              <w:rPr>
                <w:sz w:val="22"/>
                <w:szCs w:val="22"/>
              </w:rPr>
            </w:pPr>
            <w:r>
              <w:rPr>
                <w:sz w:val="22"/>
                <w:szCs w:val="22"/>
              </w:rPr>
              <w:t>El Salvador-Fondo Nacional de Vivienda Popular</w:t>
            </w:r>
          </w:p>
          <w:p w:rsidR="00D5252D" w:rsidRDefault="00D5252D" w:rsidP="00D5252D">
            <w:pPr>
              <w:pStyle w:val="Default"/>
              <w:jc w:val="center"/>
              <w:rPr>
                <w:sz w:val="28"/>
                <w:szCs w:val="28"/>
              </w:rPr>
            </w:pPr>
          </w:p>
        </w:tc>
      </w:tr>
      <w:tr w:rsidR="00D5252D" w:rsidTr="00D5252D">
        <w:tc>
          <w:tcPr>
            <w:tcW w:w="2694" w:type="dxa"/>
          </w:tcPr>
          <w:p w:rsidR="00D5252D" w:rsidRDefault="00D5252D" w:rsidP="00D5252D">
            <w:pPr>
              <w:pStyle w:val="Default"/>
              <w:rPr>
                <w:sz w:val="28"/>
                <w:szCs w:val="28"/>
              </w:rPr>
            </w:pPr>
            <w:r>
              <w:rPr>
                <w:b/>
                <w:bCs/>
                <w:sz w:val="20"/>
                <w:szCs w:val="20"/>
              </w:rPr>
              <w:t>1.2. Forma autorizada del nombre</w:t>
            </w:r>
          </w:p>
        </w:tc>
        <w:tc>
          <w:tcPr>
            <w:tcW w:w="6662" w:type="dxa"/>
          </w:tcPr>
          <w:p w:rsidR="00D5252D" w:rsidRDefault="00D5252D" w:rsidP="00D5252D">
            <w:pPr>
              <w:pStyle w:val="Default"/>
              <w:rPr>
                <w:b/>
                <w:bCs/>
                <w:sz w:val="22"/>
                <w:szCs w:val="22"/>
              </w:rPr>
            </w:pPr>
            <w:r>
              <w:rPr>
                <w:b/>
                <w:bCs/>
                <w:sz w:val="22"/>
                <w:szCs w:val="22"/>
              </w:rPr>
              <w:t>FONDO NACIONAL DE VIVIENDA POPULAR</w:t>
            </w:r>
          </w:p>
          <w:p w:rsidR="00D5252D" w:rsidRDefault="00D5252D" w:rsidP="00D5252D">
            <w:pPr>
              <w:pStyle w:val="Default"/>
              <w:rPr>
                <w:sz w:val="22"/>
                <w:szCs w:val="22"/>
              </w:rPr>
            </w:pPr>
            <w:r>
              <w:rPr>
                <w:sz w:val="22"/>
                <w:szCs w:val="22"/>
              </w:rPr>
              <w:t>Archivo Central</w:t>
            </w:r>
          </w:p>
          <w:p w:rsidR="00D5252D" w:rsidRDefault="00D5252D" w:rsidP="00D5252D">
            <w:pPr>
              <w:pStyle w:val="Default"/>
              <w:jc w:val="center"/>
              <w:rPr>
                <w:sz w:val="28"/>
                <w:szCs w:val="28"/>
              </w:rPr>
            </w:pPr>
          </w:p>
        </w:tc>
      </w:tr>
      <w:tr w:rsidR="00D5252D" w:rsidTr="00D5252D">
        <w:tc>
          <w:tcPr>
            <w:tcW w:w="2694" w:type="dxa"/>
          </w:tcPr>
          <w:p w:rsidR="00D5252D" w:rsidRDefault="00D5252D" w:rsidP="00D5252D">
            <w:pPr>
              <w:pStyle w:val="Default"/>
              <w:rPr>
                <w:sz w:val="28"/>
                <w:szCs w:val="28"/>
              </w:rPr>
            </w:pPr>
            <w:r>
              <w:rPr>
                <w:b/>
                <w:bCs/>
                <w:sz w:val="20"/>
                <w:szCs w:val="20"/>
              </w:rPr>
              <w:t>1.3. Forma paralela del nombre</w:t>
            </w:r>
          </w:p>
        </w:tc>
        <w:tc>
          <w:tcPr>
            <w:tcW w:w="6662" w:type="dxa"/>
          </w:tcPr>
          <w:p w:rsidR="00D5252D" w:rsidRDefault="00D5252D" w:rsidP="00D5252D">
            <w:pPr>
              <w:pStyle w:val="Default"/>
              <w:rPr>
                <w:sz w:val="22"/>
                <w:szCs w:val="22"/>
              </w:rPr>
            </w:pPr>
            <w:r>
              <w:rPr>
                <w:b/>
                <w:bCs/>
                <w:sz w:val="22"/>
                <w:szCs w:val="22"/>
              </w:rPr>
              <w:t xml:space="preserve">FONAVIPO </w:t>
            </w:r>
          </w:p>
          <w:p w:rsidR="00D5252D" w:rsidRDefault="00D5252D" w:rsidP="00D5252D">
            <w:pPr>
              <w:pStyle w:val="Default"/>
              <w:rPr>
                <w:sz w:val="22"/>
                <w:szCs w:val="22"/>
              </w:rPr>
            </w:pPr>
            <w:r>
              <w:rPr>
                <w:sz w:val="22"/>
                <w:szCs w:val="22"/>
              </w:rPr>
              <w:t>Fondo Nacional de Vivienda Popular</w:t>
            </w:r>
          </w:p>
          <w:p w:rsidR="00D5252D" w:rsidRDefault="00D5252D" w:rsidP="00D5252D">
            <w:pPr>
              <w:pStyle w:val="Default"/>
              <w:jc w:val="center"/>
              <w:rPr>
                <w:sz w:val="28"/>
                <w:szCs w:val="28"/>
              </w:rPr>
            </w:pPr>
          </w:p>
        </w:tc>
      </w:tr>
      <w:tr w:rsidR="00D5252D" w:rsidTr="00D5252D">
        <w:tc>
          <w:tcPr>
            <w:tcW w:w="2694" w:type="dxa"/>
          </w:tcPr>
          <w:p w:rsidR="00D5252D" w:rsidRDefault="003500F7" w:rsidP="003500F7">
            <w:pPr>
              <w:pStyle w:val="Default"/>
              <w:rPr>
                <w:sz w:val="28"/>
                <w:szCs w:val="28"/>
              </w:rPr>
            </w:pPr>
            <w:r>
              <w:rPr>
                <w:b/>
                <w:bCs/>
                <w:sz w:val="20"/>
                <w:szCs w:val="20"/>
              </w:rPr>
              <w:t>1.4. Otras formas del nombre</w:t>
            </w:r>
          </w:p>
        </w:tc>
        <w:tc>
          <w:tcPr>
            <w:tcW w:w="6662" w:type="dxa"/>
          </w:tcPr>
          <w:p w:rsidR="00D5252D" w:rsidRPr="000D2BF6" w:rsidRDefault="003500F7" w:rsidP="000D2BF6">
            <w:pPr>
              <w:pStyle w:val="Default"/>
            </w:pPr>
            <w:r w:rsidRPr="000D2BF6">
              <w:t>N/A</w:t>
            </w:r>
          </w:p>
        </w:tc>
      </w:tr>
      <w:tr w:rsidR="00D5252D" w:rsidTr="00D5252D">
        <w:tc>
          <w:tcPr>
            <w:tcW w:w="2694" w:type="dxa"/>
          </w:tcPr>
          <w:p w:rsidR="00D5252D" w:rsidRDefault="000D2BF6" w:rsidP="000D2BF6">
            <w:pPr>
              <w:pStyle w:val="Default"/>
              <w:rPr>
                <w:sz w:val="28"/>
                <w:szCs w:val="28"/>
              </w:rPr>
            </w:pPr>
            <w:r>
              <w:rPr>
                <w:b/>
                <w:bCs/>
                <w:sz w:val="20"/>
                <w:szCs w:val="20"/>
              </w:rPr>
              <w:t>1.5. Tipo de institución que conserva los fondos de archivo</w:t>
            </w:r>
          </w:p>
        </w:tc>
        <w:tc>
          <w:tcPr>
            <w:tcW w:w="6662" w:type="dxa"/>
          </w:tcPr>
          <w:p w:rsidR="000D2BF6" w:rsidRDefault="000D2BF6" w:rsidP="000D2BF6">
            <w:pPr>
              <w:pStyle w:val="Default"/>
              <w:rPr>
                <w:sz w:val="22"/>
                <w:szCs w:val="22"/>
              </w:rPr>
            </w:pPr>
            <w:r>
              <w:rPr>
                <w:sz w:val="22"/>
                <w:szCs w:val="22"/>
              </w:rPr>
              <w:t xml:space="preserve">Autónoma </w:t>
            </w:r>
          </w:p>
          <w:p w:rsidR="00D5252D" w:rsidRDefault="000D2BF6" w:rsidP="000D2BF6">
            <w:pPr>
              <w:pStyle w:val="Default"/>
              <w:rPr>
                <w:sz w:val="28"/>
                <w:szCs w:val="28"/>
              </w:rPr>
            </w:pPr>
            <w:r>
              <w:rPr>
                <w:sz w:val="22"/>
                <w:szCs w:val="22"/>
              </w:rPr>
              <w:t>Ciclo vital: Archivo de Gestión, Archivo central</w:t>
            </w:r>
          </w:p>
        </w:tc>
      </w:tr>
    </w:tbl>
    <w:p w:rsidR="001A0ED6" w:rsidRDefault="001A0ED6" w:rsidP="00D5252D">
      <w:pPr>
        <w:pStyle w:val="Default"/>
        <w:jc w:val="center"/>
        <w:rPr>
          <w:sz w:val="28"/>
          <w:szCs w:val="28"/>
        </w:rPr>
      </w:pPr>
    </w:p>
    <w:p w:rsidR="001A0ED6" w:rsidRDefault="00027302" w:rsidP="00D5252D">
      <w:pPr>
        <w:pStyle w:val="Default"/>
        <w:jc w:val="center"/>
        <w:rPr>
          <w:sz w:val="28"/>
          <w:szCs w:val="28"/>
        </w:rPr>
      </w:pPr>
      <w:r>
        <w:rPr>
          <w:noProof/>
          <w:sz w:val="28"/>
          <w:szCs w:val="28"/>
          <w:lang w:val="es-SV" w:eastAsia="es-SV"/>
        </w:rPr>
        <mc:AlternateContent>
          <mc:Choice Requires="wps">
            <w:drawing>
              <wp:anchor distT="0" distB="0" distL="114300" distR="114300" simplePos="0" relativeHeight="251661312" behindDoc="0" locked="0" layoutInCell="1" allowOverlap="1">
                <wp:simplePos x="0" y="0"/>
                <wp:positionH relativeFrom="column">
                  <wp:posOffset>-193675</wp:posOffset>
                </wp:positionH>
                <wp:positionV relativeFrom="paragraph">
                  <wp:posOffset>57785</wp:posOffset>
                </wp:positionV>
                <wp:extent cx="5943600" cy="400050"/>
                <wp:effectExtent l="0" t="0" r="19050" b="19050"/>
                <wp:wrapNone/>
                <wp:docPr id="5"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40005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0D2BF6" w:rsidRPr="000D2BF6" w:rsidRDefault="000D2BF6" w:rsidP="000D2BF6">
                            <w:pPr>
                              <w:pStyle w:val="Default"/>
                              <w:rPr>
                                <w:sz w:val="28"/>
                                <w:szCs w:val="28"/>
                              </w:rPr>
                            </w:pPr>
                            <w:r w:rsidRPr="000D2BF6">
                              <w:rPr>
                                <w:b/>
                                <w:bCs/>
                                <w:sz w:val="28"/>
                                <w:szCs w:val="28"/>
                              </w:rPr>
                              <w:t xml:space="preserve">2. AREA DE CONTACTO </w:t>
                            </w:r>
                          </w:p>
                          <w:p w:rsidR="000D2BF6" w:rsidRDefault="000D2BF6" w:rsidP="000D2B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5 Rectángulo" o:spid="_x0000_s1028" style="position:absolute;left:0;text-align:left;margin-left:-15.25pt;margin-top:4.55pt;width:468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HbjAIAAGYFAAAOAAAAZHJzL2Uyb0RvYy54bWysVNtu2zAMfR+wfxD0vthJk2416hRBig4D&#10;grZoO/RZkaXYmCxqkhI7+5t9S39slHxZ1xUbMOxFkETykDy8nF+0tSIHYV0FOqfTSUqJ0ByKSu9y&#10;+vnh6t0HSpxnumAKtMjpUTh6sXz75rwxmZhBCaoQliCIdlljclp6b7IkcbwUNXMTMEKjUIKtmcen&#10;3SWFZQ2i1yqZpelp0oAtjAUunMPfy05IlxFfSsH9jZROeKJyirH5eNp4bsOZLM9ZtrPMlBXvw2D/&#10;EEXNKo1OR6hL5hnZ2+o3qLriFhxIP+FQJyBlxUXMAbOZpi+yuS+ZETEXJMeZkSb3/2D59eHWkqrI&#10;6YISzWos0YLcIW1P3/VuryAQ1BiXod69ubUhRWc2wL84FCS/SMLD9TqttHXQxQRJG9k+jmyL1hOO&#10;n4uz+clpikXhKJunabqI5UhYNlgb6/xHATUJl5xaDCuSzA4b54N/lg0qfTCd/xiJPyoRQlD6TkjM&#10;ED3OonXsLbFWlhwYdgXjXGh/0olKVojue4EBDfGMFtFlBAzIslJqxJ7+CbuLtdcPpiK25mic/t14&#10;tIieQfvRuK402NcAlJ+G8iFLstMfSOqoCSz5dtvG6s+GQm+hOGJHWOhGxRl+VSH7G+b8LbM4G1gw&#10;nHd/g4dU0OQU+hslJdhvr/0HfWxZlFLS4Kzl1H3dMysoUZ80NvPZdD4Pwxkf88X7GT7sc8n2uUTv&#10;6zVg4aa4WQyP16Dv1XCVFupHXAur4BVFTHP0nVPu7fBY+24H4GLhYrWKajiQhvmNvjc8gAeeQ3c9&#10;tI/Mmr4FPTbvNQxzybIXndjpBksNq70HWcU2DUx3vPYVwGGOdekXT9gWz99R6+d6XP4AAAD//wMA&#10;UEsDBBQABgAIAAAAIQArhrBi2wAAAAgBAAAPAAAAZHJzL2Rvd25yZXYueG1sTI/BTsMwEETvSPyD&#10;tUjcWjtBgTbEqVBFhTi25QM28ZJExOvIdtPw95gTHEczmnlT7RY7ipl8GBxryNYKBHHrzMCdho/z&#10;YbUBESKywdExafimALv69qbC0rgrH2k+xU6kEg4lauhjnEopQ9uTxbB2E3HyPp23GJP0nTQer6nc&#10;jjJX6lFaHDgt9DjRvqf263SxGnB+d8Xr3G1c3vi3wz4eh8X0Wt/fLS/PICIt8S8Mv/gJHerE1LgL&#10;myBGDasHVaSohm0GIvlbVSTdaHjKM5B1Jf8fqH8AAAD//wMAUEsBAi0AFAAGAAgAAAAhALaDOJL+&#10;AAAA4QEAABMAAAAAAAAAAAAAAAAAAAAAAFtDb250ZW50X1R5cGVzXS54bWxQSwECLQAUAAYACAAA&#10;ACEAOP0h/9YAAACUAQAACwAAAAAAAAAAAAAAAAAvAQAAX3JlbHMvLnJlbHNQSwECLQAUAAYACAAA&#10;ACEAGn3h24wCAABmBQAADgAAAAAAAAAAAAAAAAAuAgAAZHJzL2Uyb0RvYy54bWxQSwECLQAUAAYA&#10;CAAAACEAK4awYtsAAAAIAQAADwAAAAAAAAAAAAAAAADmBAAAZHJzL2Rvd25yZXYueG1sUEsFBgAA&#10;AAAEAAQA8wAAAO4FAAAAAA==&#10;" fillcolor="#9bbb59 [3206]" strokecolor="#4e6128 [1606]" strokeweight="2pt">
                <v:path arrowok="t"/>
                <v:textbox>
                  <w:txbxContent>
                    <w:p w:rsidR="000D2BF6" w:rsidRPr="000D2BF6" w:rsidRDefault="000D2BF6" w:rsidP="000D2BF6">
                      <w:pPr>
                        <w:pStyle w:val="Default"/>
                        <w:rPr>
                          <w:sz w:val="28"/>
                          <w:szCs w:val="28"/>
                        </w:rPr>
                      </w:pPr>
                      <w:r w:rsidRPr="000D2BF6">
                        <w:rPr>
                          <w:b/>
                          <w:bCs/>
                          <w:sz w:val="28"/>
                          <w:szCs w:val="28"/>
                        </w:rPr>
                        <w:t xml:space="preserve">2. AREA DE CONTACTO </w:t>
                      </w:r>
                    </w:p>
                    <w:p w:rsidR="000D2BF6" w:rsidRDefault="000D2BF6" w:rsidP="000D2BF6">
                      <w:pPr>
                        <w:jc w:val="center"/>
                      </w:pPr>
                    </w:p>
                  </w:txbxContent>
                </v:textbox>
              </v:rect>
            </w:pict>
          </mc:Fallback>
        </mc:AlternateContent>
      </w:r>
    </w:p>
    <w:p w:rsidR="001A0ED6" w:rsidRDefault="001A0ED6" w:rsidP="00D5252D">
      <w:pPr>
        <w:pStyle w:val="Default"/>
        <w:jc w:val="center"/>
        <w:rPr>
          <w:sz w:val="28"/>
          <w:szCs w:val="28"/>
        </w:rPr>
      </w:pPr>
    </w:p>
    <w:tbl>
      <w:tblPr>
        <w:tblStyle w:val="Tablaconcuadrcula"/>
        <w:tblpPr w:leftFromText="141" w:rightFromText="141" w:vertAnchor="text" w:horzAnchor="margin" w:tblpX="-176" w:tblpY="66"/>
        <w:tblW w:w="9322" w:type="dxa"/>
        <w:tblLook w:val="04A0" w:firstRow="1" w:lastRow="0" w:firstColumn="1" w:lastColumn="0" w:noHBand="0" w:noVBand="1"/>
      </w:tblPr>
      <w:tblGrid>
        <w:gridCol w:w="2660"/>
        <w:gridCol w:w="6662"/>
      </w:tblGrid>
      <w:tr w:rsidR="000D2BF6" w:rsidTr="00813AD7">
        <w:tc>
          <w:tcPr>
            <w:tcW w:w="2660" w:type="dxa"/>
          </w:tcPr>
          <w:p w:rsidR="000D2BF6" w:rsidRDefault="000D2BF6" w:rsidP="000D2BF6">
            <w:pPr>
              <w:pStyle w:val="Default"/>
              <w:rPr>
                <w:sz w:val="28"/>
                <w:szCs w:val="28"/>
              </w:rPr>
            </w:pPr>
            <w:r>
              <w:rPr>
                <w:b/>
                <w:bCs/>
                <w:sz w:val="22"/>
                <w:szCs w:val="22"/>
              </w:rPr>
              <w:t>2.1. Localización y dirección</w:t>
            </w:r>
          </w:p>
        </w:tc>
        <w:tc>
          <w:tcPr>
            <w:tcW w:w="6662" w:type="dxa"/>
          </w:tcPr>
          <w:p w:rsidR="000D2BF6" w:rsidRDefault="000D2BF6" w:rsidP="000D2BF6">
            <w:pPr>
              <w:pStyle w:val="Default"/>
              <w:rPr>
                <w:sz w:val="22"/>
                <w:szCs w:val="22"/>
              </w:rPr>
            </w:pPr>
            <w:r>
              <w:rPr>
                <w:sz w:val="22"/>
                <w:szCs w:val="22"/>
              </w:rPr>
              <w:t xml:space="preserve">Oficina de Información y Respuesta (OIR) </w:t>
            </w:r>
          </w:p>
          <w:p w:rsidR="000D2BF6" w:rsidRDefault="000D2BF6" w:rsidP="000D2BF6">
            <w:pPr>
              <w:pStyle w:val="Default"/>
              <w:rPr>
                <w:sz w:val="22"/>
                <w:szCs w:val="22"/>
              </w:rPr>
            </w:pPr>
            <w:r>
              <w:rPr>
                <w:sz w:val="22"/>
                <w:szCs w:val="22"/>
              </w:rPr>
              <w:t xml:space="preserve">Archivo Central </w:t>
            </w:r>
          </w:p>
          <w:p w:rsidR="000D2BF6" w:rsidRDefault="000D2BF6" w:rsidP="000D2BF6">
            <w:pPr>
              <w:pStyle w:val="Default"/>
              <w:rPr>
                <w:sz w:val="28"/>
                <w:szCs w:val="28"/>
              </w:rPr>
            </w:pPr>
            <w:r>
              <w:rPr>
                <w:sz w:val="22"/>
                <w:szCs w:val="22"/>
              </w:rPr>
              <w:t xml:space="preserve">Alameda Juan Pablo II entre 37 y 39 ave. </w:t>
            </w:r>
            <w:proofErr w:type="spellStart"/>
            <w:r>
              <w:rPr>
                <w:sz w:val="22"/>
                <w:szCs w:val="22"/>
              </w:rPr>
              <w:t>Nte</w:t>
            </w:r>
            <w:proofErr w:type="spellEnd"/>
            <w:r>
              <w:rPr>
                <w:sz w:val="22"/>
                <w:szCs w:val="22"/>
              </w:rPr>
              <w:t>. Edificio FONAVIPO</w:t>
            </w:r>
          </w:p>
        </w:tc>
      </w:tr>
      <w:tr w:rsidR="000D2BF6" w:rsidTr="00813AD7">
        <w:tc>
          <w:tcPr>
            <w:tcW w:w="2660" w:type="dxa"/>
          </w:tcPr>
          <w:p w:rsidR="000D2BF6" w:rsidRDefault="000D2BF6" w:rsidP="000D2BF6">
            <w:pPr>
              <w:pStyle w:val="Default"/>
              <w:rPr>
                <w:sz w:val="28"/>
                <w:szCs w:val="28"/>
              </w:rPr>
            </w:pPr>
            <w:r>
              <w:rPr>
                <w:b/>
                <w:bCs/>
                <w:sz w:val="22"/>
                <w:szCs w:val="22"/>
              </w:rPr>
              <w:t>2.2. Teléfono, fax, correo electrónico</w:t>
            </w:r>
          </w:p>
        </w:tc>
        <w:tc>
          <w:tcPr>
            <w:tcW w:w="6662" w:type="dxa"/>
          </w:tcPr>
          <w:p w:rsidR="000D2BF6" w:rsidRDefault="000D2BF6" w:rsidP="000D2BF6">
            <w:pPr>
              <w:pStyle w:val="Default"/>
              <w:rPr>
                <w:sz w:val="22"/>
                <w:szCs w:val="22"/>
              </w:rPr>
            </w:pPr>
            <w:r>
              <w:rPr>
                <w:sz w:val="22"/>
                <w:szCs w:val="22"/>
              </w:rPr>
              <w:t xml:space="preserve">Oficina de Información y Respuesta (OIR) </w:t>
            </w:r>
          </w:p>
          <w:p w:rsidR="000D2BF6" w:rsidRDefault="000D2BF6" w:rsidP="000D2BF6">
            <w:pPr>
              <w:pStyle w:val="Default"/>
              <w:rPr>
                <w:sz w:val="28"/>
                <w:szCs w:val="28"/>
              </w:rPr>
            </w:pPr>
            <w:r>
              <w:rPr>
                <w:sz w:val="22"/>
                <w:szCs w:val="22"/>
              </w:rPr>
              <w:t>Teléfonos (PBX): (503) 2257-8888 y (503) 2257-8854 e-mail: oir@fonavipo.gob.sv</w:t>
            </w:r>
          </w:p>
        </w:tc>
      </w:tr>
      <w:tr w:rsidR="000D2BF6" w:rsidTr="00813AD7">
        <w:tc>
          <w:tcPr>
            <w:tcW w:w="2660" w:type="dxa"/>
          </w:tcPr>
          <w:p w:rsidR="000D2BF6" w:rsidRDefault="000D2BF6" w:rsidP="000D2BF6">
            <w:pPr>
              <w:pStyle w:val="Default"/>
              <w:rPr>
                <w:sz w:val="28"/>
                <w:szCs w:val="28"/>
              </w:rPr>
            </w:pPr>
            <w:r>
              <w:rPr>
                <w:b/>
                <w:bCs/>
                <w:sz w:val="22"/>
                <w:szCs w:val="22"/>
              </w:rPr>
              <w:t>2.3. Personas de contacto</w:t>
            </w:r>
          </w:p>
        </w:tc>
        <w:tc>
          <w:tcPr>
            <w:tcW w:w="6662" w:type="dxa"/>
          </w:tcPr>
          <w:p w:rsidR="000D2BF6" w:rsidRDefault="000D2BF6" w:rsidP="000D2BF6">
            <w:pPr>
              <w:pStyle w:val="Default"/>
              <w:rPr>
                <w:sz w:val="22"/>
                <w:szCs w:val="22"/>
              </w:rPr>
            </w:pPr>
            <w:r>
              <w:rPr>
                <w:sz w:val="22"/>
                <w:szCs w:val="22"/>
              </w:rPr>
              <w:t xml:space="preserve">Oficial de Información </w:t>
            </w:r>
          </w:p>
          <w:p w:rsidR="000D2BF6" w:rsidRDefault="00B247EE" w:rsidP="000D2BF6">
            <w:pPr>
              <w:pStyle w:val="Default"/>
              <w:rPr>
                <w:sz w:val="22"/>
                <w:szCs w:val="22"/>
              </w:rPr>
            </w:pPr>
            <w:r>
              <w:rPr>
                <w:sz w:val="22"/>
                <w:szCs w:val="22"/>
              </w:rPr>
              <w:t>Lic. Nancy Argumedo</w:t>
            </w:r>
          </w:p>
          <w:p w:rsidR="000D2BF6" w:rsidRDefault="000D2BF6" w:rsidP="000D2BF6">
            <w:pPr>
              <w:pStyle w:val="Default"/>
              <w:rPr>
                <w:sz w:val="22"/>
                <w:szCs w:val="22"/>
              </w:rPr>
            </w:pPr>
            <w:r>
              <w:rPr>
                <w:sz w:val="22"/>
                <w:szCs w:val="22"/>
              </w:rPr>
              <w:t xml:space="preserve">e-mail : </w:t>
            </w:r>
            <w:r w:rsidR="00B247EE" w:rsidRPr="00B247EE">
              <w:rPr>
                <w:sz w:val="22"/>
                <w:szCs w:val="22"/>
              </w:rPr>
              <w:t>nancy.argumedo@fonavipo.gob.sv</w:t>
            </w:r>
          </w:p>
          <w:p w:rsidR="000D2BF6" w:rsidRDefault="000D2BF6" w:rsidP="000D2BF6">
            <w:pPr>
              <w:pStyle w:val="Default"/>
              <w:rPr>
                <w:sz w:val="22"/>
                <w:szCs w:val="22"/>
              </w:rPr>
            </w:pPr>
            <w:r>
              <w:rPr>
                <w:sz w:val="22"/>
                <w:szCs w:val="22"/>
              </w:rPr>
              <w:t xml:space="preserve">Responsable de Archivo Institucional </w:t>
            </w:r>
          </w:p>
          <w:p w:rsidR="000D2BF6" w:rsidRDefault="000D2BF6" w:rsidP="000D2BF6">
            <w:pPr>
              <w:pStyle w:val="Default"/>
              <w:rPr>
                <w:sz w:val="22"/>
                <w:szCs w:val="22"/>
              </w:rPr>
            </w:pPr>
            <w:r>
              <w:rPr>
                <w:sz w:val="22"/>
                <w:szCs w:val="22"/>
              </w:rPr>
              <w:t xml:space="preserve">Rodolfo Ramos Vega </w:t>
            </w:r>
          </w:p>
          <w:p w:rsidR="000D2BF6" w:rsidRDefault="000D2BF6" w:rsidP="000D2BF6">
            <w:pPr>
              <w:pStyle w:val="Default"/>
              <w:rPr>
                <w:sz w:val="28"/>
                <w:szCs w:val="28"/>
              </w:rPr>
            </w:pPr>
            <w:r>
              <w:rPr>
                <w:sz w:val="22"/>
                <w:szCs w:val="22"/>
              </w:rPr>
              <w:t>e-mail: rodolfo.ramos@fonavipo.gob.sv</w:t>
            </w:r>
          </w:p>
        </w:tc>
      </w:tr>
    </w:tbl>
    <w:p w:rsidR="001A0ED6" w:rsidRDefault="001A0ED6" w:rsidP="00D5252D">
      <w:pPr>
        <w:pStyle w:val="Default"/>
        <w:jc w:val="center"/>
        <w:rPr>
          <w:sz w:val="28"/>
          <w:szCs w:val="28"/>
        </w:rPr>
      </w:pPr>
    </w:p>
    <w:p w:rsidR="001A0ED6" w:rsidRDefault="00027302" w:rsidP="00D5252D">
      <w:pPr>
        <w:pStyle w:val="Default"/>
        <w:jc w:val="center"/>
        <w:rPr>
          <w:sz w:val="28"/>
          <w:szCs w:val="28"/>
        </w:rPr>
      </w:pPr>
      <w:r>
        <w:rPr>
          <w:noProof/>
          <w:sz w:val="28"/>
          <w:szCs w:val="28"/>
          <w:lang w:val="es-SV" w:eastAsia="es-SV"/>
        </w:rPr>
        <mc:AlternateContent>
          <mc:Choice Requires="wps">
            <w:drawing>
              <wp:anchor distT="0" distB="0" distL="114300" distR="114300" simplePos="0" relativeHeight="251662336" behindDoc="0" locked="0" layoutInCell="1" allowOverlap="1">
                <wp:simplePos x="0" y="0"/>
                <wp:positionH relativeFrom="column">
                  <wp:posOffset>-194310</wp:posOffset>
                </wp:positionH>
                <wp:positionV relativeFrom="paragraph">
                  <wp:posOffset>198120</wp:posOffset>
                </wp:positionV>
                <wp:extent cx="5943600" cy="419100"/>
                <wp:effectExtent l="0" t="0" r="19050" b="19050"/>
                <wp:wrapNone/>
                <wp:docPr id="7" name="7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41910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0D2BF6" w:rsidRPr="000D2BF6" w:rsidRDefault="000D2BF6" w:rsidP="000D2BF6">
                            <w:pPr>
                              <w:pStyle w:val="Default"/>
                              <w:rPr>
                                <w:sz w:val="28"/>
                                <w:szCs w:val="28"/>
                              </w:rPr>
                            </w:pPr>
                            <w:r w:rsidRPr="000D2BF6">
                              <w:rPr>
                                <w:b/>
                                <w:bCs/>
                                <w:sz w:val="28"/>
                                <w:szCs w:val="28"/>
                              </w:rPr>
                              <w:t xml:space="preserve">3. AREA DE DESCRIPCIÓN </w:t>
                            </w:r>
                          </w:p>
                          <w:p w:rsidR="000D2BF6" w:rsidRDefault="000D2BF6" w:rsidP="000D2B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7 Rectángulo" o:spid="_x0000_s1029" style="position:absolute;left:0;text-align:left;margin-left:-15.3pt;margin-top:15.6pt;width:468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2bPigIAAGYFAAAOAAAAZHJzL2Uyb0RvYy54bWysVNtu2zAMfR+wfxD0vtpO03Y16hRBiw4D&#10;gjZoO/RZkaXYmCxqkhI7+5t9y35slHxZ1xUbMMwPhiiSR+Th5eKyaxTZC+tq0AXNjlJKhOZQ1npb&#10;0E+PN+/eU+I80yVToEVBD8LRy8XbNxetycUMKlClsARBtMtbU9DKe5MnieOVaJg7AiM0KiXYhnkU&#10;7TYpLWsRvVHJLE1PkxZsaSxw4RzeXvdKuoj4Ugru76R0whNVUIzNx7+N/034J4sLlm8tM1XNhzDY&#10;P0TRsFrjoxPUNfOM7Gz9G1RTcwsOpD/i0CQgZc1FzAGzydIX2TxUzIiYC5LjzEST+3+w/Ha/tqQu&#10;C3pGiWYNluiM3CNt37/p7U5BIKg1Lke7B7O2IUVnVsA/O1Qkv2iC4AabTtom2GKCpItsHya2RecJ&#10;x8uT8/nxaYpF4aibZ+cZngMoy0dvY53/IKAh4VBQi2FFktl+5XxvOpoMwfTvx0j8QYkQgtL3QmKG&#10;+OIsesfeElfKkj3DrmCcC+2Pe1XFStFfn6T4DfFMHjG6CBiQZa3UhJ39CbuPdbAPriK25uSc/t15&#10;8ogvg/aTc1NrsK8BKJ8NCcjefiSppyaw5LtNF6t/PBZ6A+UBO8JCPyrO8Jsa2V8x59fM4mxgwXDe&#10;/R3+pIK2oDCcKKnAfn3tPthjy6KWkhZnraDuy45ZQYn6qLGZz7P5PAxnFOYnZzMU7HPN5rlG75or&#10;wMJluFkMj8dg79V4lBaaJ1wLy/Aqqpjm+HZBubejcOX7HYCLhYvlMprhQBrmV/rB8AAeeA7d9dg9&#10;MWuGFvTYvLcwziXLX3Ribxs8NSx3HmQd2zQw3fM6VACHObbSsHjCtnguR6uf63HxAwAA//8DAFBL&#10;AwQUAAYACAAAACEAppFfft0AAAAJAQAADwAAAGRycy9kb3ducmV2LnhtbEyPwU7DMAyG70i8Q2Qk&#10;bluyjo3RNZ3QxIQ4buMB3MY01RqnarKuvD3hBDdb/vT7+4vd5Dox0hBazxoWcwWCuPam5UbD5/kw&#10;24AIEdlg55k0fFOAXXl/V2Bu/I2PNJ5iI1IIhxw12Bj7XMpQW3IY5r4nTrcvPziMaR0aaQa8pXDX&#10;yUyptXTYcvpgsae9pfpyujoNOH741dvYbHxWDe+HfTy2k7FaPz5Mr1sQkab4B8OvflKHMjlV/som&#10;iE7DbKnWCdWwXGQgEvCiVk8gqjQ8ZyDLQv5vUP4AAAD//wMAUEsBAi0AFAAGAAgAAAAhALaDOJL+&#10;AAAA4QEAABMAAAAAAAAAAAAAAAAAAAAAAFtDb250ZW50X1R5cGVzXS54bWxQSwECLQAUAAYACAAA&#10;ACEAOP0h/9YAAACUAQAACwAAAAAAAAAAAAAAAAAvAQAAX3JlbHMvLnJlbHNQSwECLQAUAAYACAAA&#10;ACEAQFNmz4oCAABmBQAADgAAAAAAAAAAAAAAAAAuAgAAZHJzL2Uyb0RvYy54bWxQSwECLQAUAAYA&#10;CAAAACEAppFfft0AAAAJAQAADwAAAAAAAAAAAAAAAADkBAAAZHJzL2Rvd25yZXYueG1sUEsFBgAA&#10;AAAEAAQA8wAAAO4FAAAAAA==&#10;" fillcolor="#9bbb59 [3206]" strokecolor="#4e6128 [1606]" strokeweight="2pt">
                <v:path arrowok="t"/>
                <v:textbox>
                  <w:txbxContent>
                    <w:p w:rsidR="000D2BF6" w:rsidRPr="000D2BF6" w:rsidRDefault="000D2BF6" w:rsidP="000D2BF6">
                      <w:pPr>
                        <w:pStyle w:val="Default"/>
                        <w:rPr>
                          <w:sz w:val="28"/>
                          <w:szCs w:val="28"/>
                        </w:rPr>
                      </w:pPr>
                      <w:r w:rsidRPr="000D2BF6">
                        <w:rPr>
                          <w:b/>
                          <w:bCs/>
                          <w:sz w:val="28"/>
                          <w:szCs w:val="28"/>
                        </w:rPr>
                        <w:t xml:space="preserve">3. AREA DE DESCRIPCIÓN </w:t>
                      </w:r>
                    </w:p>
                    <w:p w:rsidR="000D2BF6" w:rsidRDefault="000D2BF6" w:rsidP="000D2BF6">
                      <w:pPr>
                        <w:jc w:val="center"/>
                      </w:pPr>
                    </w:p>
                  </w:txbxContent>
                </v:textbox>
              </v:rect>
            </w:pict>
          </mc:Fallback>
        </mc:AlternateContent>
      </w:r>
    </w:p>
    <w:p w:rsidR="001A0ED6" w:rsidRDefault="001A0ED6" w:rsidP="00D5252D">
      <w:pPr>
        <w:pStyle w:val="Default"/>
        <w:jc w:val="center"/>
        <w:rPr>
          <w:sz w:val="28"/>
          <w:szCs w:val="28"/>
        </w:rPr>
      </w:pPr>
    </w:p>
    <w:p w:rsidR="001A0ED6" w:rsidRDefault="001A0ED6" w:rsidP="00D5252D">
      <w:pPr>
        <w:pStyle w:val="Default"/>
        <w:jc w:val="center"/>
        <w:rPr>
          <w:sz w:val="28"/>
          <w:szCs w:val="28"/>
        </w:rPr>
      </w:pPr>
    </w:p>
    <w:tbl>
      <w:tblPr>
        <w:tblStyle w:val="Tablaconcuadrcula"/>
        <w:tblW w:w="9356" w:type="dxa"/>
        <w:tblInd w:w="-176" w:type="dxa"/>
        <w:tblLook w:val="04A0" w:firstRow="1" w:lastRow="0" w:firstColumn="1" w:lastColumn="0" w:noHBand="0" w:noVBand="1"/>
      </w:tblPr>
      <w:tblGrid>
        <w:gridCol w:w="2694"/>
        <w:gridCol w:w="6662"/>
      </w:tblGrid>
      <w:tr w:rsidR="000D2BF6" w:rsidTr="00813AD7">
        <w:tc>
          <w:tcPr>
            <w:tcW w:w="2694" w:type="dxa"/>
          </w:tcPr>
          <w:p w:rsidR="00B95650" w:rsidRDefault="00B95650" w:rsidP="00B95650">
            <w:pPr>
              <w:pStyle w:val="Default"/>
              <w:rPr>
                <w:sz w:val="22"/>
                <w:szCs w:val="22"/>
              </w:rPr>
            </w:pPr>
            <w:r>
              <w:rPr>
                <w:b/>
                <w:bCs/>
                <w:sz w:val="22"/>
                <w:szCs w:val="22"/>
              </w:rPr>
              <w:t xml:space="preserve">3.1. Historia de la Institución que custodia los fondos de archivo </w:t>
            </w:r>
          </w:p>
          <w:p w:rsidR="000D2BF6" w:rsidRDefault="000D2BF6" w:rsidP="00D5252D">
            <w:pPr>
              <w:pStyle w:val="Default"/>
              <w:jc w:val="center"/>
              <w:rPr>
                <w:sz w:val="28"/>
                <w:szCs w:val="28"/>
              </w:rPr>
            </w:pPr>
          </w:p>
        </w:tc>
        <w:tc>
          <w:tcPr>
            <w:tcW w:w="6662" w:type="dxa"/>
          </w:tcPr>
          <w:p w:rsidR="00B95650" w:rsidRPr="00D80784" w:rsidRDefault="00B95650" w:rsidP="00B95650">
            <w:pPr>
              <w:autoSpaceDE w:val="0"/>
              <w:autoSpaceDN w:val="0"/>
              <w:adjustRightInd w:val="0"/>
              <w:rPr>
                <w:rFonts w:asciiTheme="majorHAnsi" w:hAnsiTheme="majorHAnsi" w:cs="Calibri"/>
              </w:rPr>
            </w:pPr>
            <w:r w:rsidRPr="00D80784">
              <w:rPr>
                <w:rFonts w:asciiTheme="majorHAnsi" w:hAnsiTheme="majorHAnsi" w:cs="Calibri"/>
              </w:rPr>
              <w:t>El Fondo Nacional de Vivienda Popular, FONAVIPO tiene como objetivo fundamental facilitar a las familias salvadoreñas de más bajos ingresos, el acceso al crédito que les permita solucionar su problema de vivienda y procurar las condiciones más favorables para el financiamiento</w:t>
            </w:r>
          </w:p>
          <w:p w:rsidR="00B95650" w:rsidRPr="00D80784" w:rsidRDefault="00B95650" w:rsidP="00B95650">
            <w:pPr>
              <w:autoSpaceDE w:val="0"/>
              <w:autoSpaceDN w:val="0"/>
              <w:adjustRightInd w:val="0"/>
              <w:rPr>
                <w:rFonts w:asciiTheme="majorHAnsi" w:hAnsiTheme="majorHAnsi" w:cs="Calibri"/>
              </w:rPr>
            </w:pPr>
            <w:proofErr w:type="gramStart"/>
            <w:r w:rsidRPr="00D80784">
              <w:rPr>
                <w:rFonts w:asciiTheme="majorHAnsi" w:hAnsiTheme="majorHAnsi" w:cs="Calibri"/>
              </w:rPr>
              <w:t>habitacional</w:t>
            </w:r>
            <w:proofErr w:type="gramEnd"/>
            <w:r w:rsidRPr="00D80784">
              <w:rPr>
                <w:rFonts w:asciiTheme="majorHAnsi" w:hAnsiTheme="majorHAnsi" w:cs="Calibri"/>
              </w:rPr>
              <w:t xml:space="preserve"> de interés social. La población beneficiada con las acciones del Fondo, son aquellas cuyo ingreso mensual sea inferior o igual al monto de cuatro salarios mínimos.</w:t>
            </w:r>
          </w:p>
          <w:p w:rsidR="00B95650" w:rsidRPr="00D80784" w:rsidRDefault="00B95650" w:rsidP="00B95650">
            <w:pPr>
              <w:autoSpaceDE w:val="0"/>
              <w:autoSpaceDN w:val="0"/>
              <w:adjustRightInd w:val="0"/>
              <w:rPr>
                <w:rFonts w:asciiTheme="majorHAnsi" w:hAnsiTheme="majorHAnsi" w:cs="Calibri"/>
              </w:rPr>
            </w:pPr>
            <w:r w:rsidRPr="00D80784">
              <w:rPr>
                <w:rFonts w:asciiTheme="majorHAnsi" w:hAnsiTheme="majorHAnsi" w:cs="Calibri"/>
              </w:rPr>
              <w:t>De acuerdo a la Encuesta de Hogares de Propósitos Múltiples (EHPM), más del 85% de los hogares salvadoreños perciben ingresos mensuales menores a cuatro salarios mínimos.</w:t>
            </w:r>
          </w:p>
          <w:p w:rsidR="000D2BF6" w:rsidRPr="00D80784" w:rsidRDefault="00B95650" w:rsidP="00D80784">
            <w:pPr>
              <w:autoSpaceDE w:val="0"/>
              <w:autoSpaceDN w:val="0"/>
              <w:adjustRightInd w:val="0"/>
              <w:rPr>
                <w:rFonts w:asciiTheme="majorHAnsi" w:hAnsiTheme="majorHAnsi" w:cs="Calibri"/>
              </w:rPr>
            </w:pPr>
            <w:r w:rsidRPr="00D80784">
              <w:rPr>
                <w:rFonts w:asciiTheme="majorHAnsi" w:hAnsiTheme="majorHAnsi" w:cs="Calibri"/>
              </w:rPr>
              <w:t>FONAVIPO, de 1992 a 2011 ha beneficiado y atendido a las familias salvadoreñas a través de sus programas de Créditos, Contribuciones y Desarrollo de Proyectos Habitacionales; generando las condiciones necesarias para que puedan resolver su situación habitacional.</w:t>
            </w:r>
          </w:p>
        </w:tc>
      </w:tr>
      <w:tr w:rsidR="000D2BF6" w:rsidTr="00813AD7">
        <w:tc>
          <w:tcPr>
            <w:tcW w:w="2694" w:type="dxa"/>
          </w:tcPr>
          <w:p w:rsidR="000D2BF6" w:rsidRPr="00B95650" w:rsidRDefault="00B95650" w:rsidP="00B95650">
            <w:pPr>
              <w:pStyle w:val="Default"/>
              <w:rPr>
                <w:sz w:val="22"/>
                <w:szCs w:val="22"/>
              </w:rPr>
            </w:pPr>
            <w:r>
              <w:rPr>
                <w:b/>
                <w:bCs/>
                <w:sz w:val="22"/>
                <w:szCs w:val="22"/>
              </w:rPr>
              <w:t xml:space="preserve">3.2. Contexto cultural y geográfico </w:t>
            </w:r>
          </w:p>
        </w:tc>
        <w:tc>
          <w:tcPr>
            <w:tcW w:w="6662" w:type="dxa"/>
          </w:tcPr>
          <w:p w:rsidR="00B95650" w:rsidRDefault="00B95650" w:rsidP="00B95650">
            <w:pPr>
              <w:pStyle w:val="Default"/>
              <w:rPr>
                <w:sz w:val="22"/>
                <w:szCs w:val="22"/>
              </w:rPr>
            </w:pPr>
            <w:r>
              <w:rPr>
                <w:sz w:val="22"/>
                <w:szCs w:val="22"/>
              </w:rPr>
              <w:t xml:space="preserve">Ubicado frente a la Alameda Juan Pablo II, una de las arterias con mayor afluencia vehicular, con un promedio de circulación de seis mil vehículos por hora. </w:t>
            </w:r>
          </w:p>
          <w:p w:rsidR="00B95650" w:rsidRDefault="00B95650" w:rsidP="00B95650">
            <w:pPr>
              <w:pStyle w:val="Default"/>
              <w:rPr>
                <w:sz w:val="22"/>
                <w:szCs w:val="22"/>
              </w:rPr>
            </w:pPr>
            <w:r>
              <w:rPr>
                <w:sz w:val="22"/>
                <w:szCs w:val="22"/>
              </w:rPr>
              <w:t xml:space="preserve">Nombrada así desde 1983, debido al recorrido que realizó su santidad Juan Pablo II, en su primera visita al país; se extiende desde la Terminal de Oriente hasta la 75 av. Norte en la colonia Escalón, con un aproximado de 55 cuadras de extensión. </w:t>
            </w:r>
          </w:p>
          <w:p w:rsidR="00B95650" w:rsidRDefault="00B95650" w:rsidP="00B95650">
            <w:r>
              <w:t xml:space="preserve">Los fondos documentales que se generan son únicos en su naturaleza; adquiriendo un incalculable valor para el patrimonio científico-cultural del país, ya que podemos encontrar documentación valiosa referente a los índices económicos. </w:t>
            </w:r>
          </w:p>
          <w:p w:rsidR="000D2BF6" w:rsidRDefault="000D2BF6" w:rsidP="00D5252D">
            <w:pPr>
              <w:pStyle w:val="Default"/>
              <w:jc w:val="center"/>
              <w:rPr>
                <w:sz w:val="28"/>
                <w:szCs w:val="28"/>
              </w:rPr>
            </w:pPr>
          </w:p>
        </w:tc>
      </w:tr>
      <w:tr w:rsidR="000D2BF6" w:rsidTr="00813AD7">
        <w:tc>
          <w:tcPr>
            <w:tcW w:w="2694" w:type="dxa"/>
          </w:tcPr>
          <w:p w:rsidR="00B95650" w:rsidRDefault="00B95650" w:rsidP="00B95650">
            <w:pPr>
              <w:pStyle w:val="Default"/>
              <w:rPr>
                <w:sz w:val="22"/>
                <w:szCs w:val="22"/>
              </w:rPr>
            </w:pPr>
            <w:r>
              <w:rPr>
                <w:b/>
                <w:bCs/>
                <w:sz w:val="22"/>
                <w:szCs w:val="22"/>
              </w:rPr>
              <w:t xml:space="preserve">3.3. Atribuciones/fuentes legales </w:t>
            </w:r>
          </w:p>
          <w:p w:rsidR="000D2BF6" w:rsidRDefault="000D2BF6" w:rsidP="00D5252D">
            <w:pPr>
              <w:pStyle w:val="Default"/>
              <w:jc w:val="center"/>
              <w:rPr>
                <w:sz w:val="28"/>
                <w:szCs w:val="28"/>
              </w:rPr>
            </w:pPr>
          </w:p>
        </w:tc>
        <w:tc>
          <w:tcPr>
            <w:tcW w:w="6662" w:type="dxa"/>
          </w:tcPr>
          <w:p w:rsidR="00B95650" w:rsidRPr="0090557F" w:rsidRDefault="00B95650" w:rsidP="00B95650">
            <w:pPr>
              <w:autoSpaceDE w:val="0"/>
              <w:autoSpaceDN w:val="0"/>
              <w:adjustRightInd w:val="0"/>
              <w:rPr>
                <w:rFonts w:asciiTheme="majorHAnsi" w:hAnsiTheme="majorHAnsi" w:cs="Times New Roman"/>
              </w:rPr>
            </w:pPr>
            <w:r w:rsidRPr="0090557F">
              <w:rPr>
                <w:rFonts w:asciiTheme="majorHAnsi" w:hAnsiTheme="majorHAnsi" w:cs="Times New Roman"/>
              </w:rPr>
              <w:t>Ley Aprobada 28/5/92 Publicada en Diario Oficial No. 99 Tomo 315 del 8 /06/92. Vigente a</w:t>
            </w:r>
          </w:p>
          <w:p w:rsidR="00B95650" w:rsidRPr="0090557F" w:rsidRDefault="00B95650" w:rsidP="00B95650">
            <w:pPr>
              <w:autoSpaceDE w:val="0"/>
              <w:autoSpaceDN w:val="0"/>
              <w:adjustRightInd w:val="0"/>
              <w:rPr>
                <w:rFonts w:asciiTheme="majorHAnsi" w:hAnsiTheme="majorHAnsi" w:cs="Times New Roman"/>
              </w:rPr>
            </w:pPr>
            <w:proofErr w:type="gramStart"/>
            <w:r w:rsidRPr="0090557F">
              <w:rPr>
                <w:rFonts w:asciiTheme="majorHAnsi" w:hAnsiTheme="majorHAnsi" w:cs="Times New Roman"/>
              </w:rPr>
              <w:t>partir</w:t>
            </w:r>
            <w:proofErr w:type="gramEnd"/>
            <w:r w:rsidRPr="0090557F">
              <w:rPr>
                <w:rFonts w:asciiTheme="majorHAnsi" w:hAnsiTheme="majorHAnsi" w:cs="Times New Roman"/>
              </w:rPr>
              <w:t xml:space="preserve"> de 17/06/92.</w:t>
            </w:r>
          </w:p>
          <w:p w:rsidR="00B95650" w:rsidRPr="0090557F" w:rsidRDefault="00B95650" w:rsidP="00B95650">
            <w:pPr>
              <w:autoSpaceDE w:val="0"/>
              <w:autoSpaceDN w:val="0"/>
              <w:adjustRightInd w:val="0"/>
              <w:rPr>
                <w:rFonts w:asciiTheme="majorHAnsi" w:hAnsiTheme="majorHAnsi" w:cs="Times New Roman"/>
              </w:rPr>
            </w:pPr>
            <w:r w:rsidRPr="0090557F">
              <w:rPr>
                <w:rFonts w:asciiTheme="majorHAnsi" w:hAnsiTheme="majorHAnsi" w:cs="Times New Roman"/>
              </w:rPr>
              <w:t>*Reformada por D.L. 592 el 29/04/99 Publicada en Diario Oficial No. 98 Tomo 343 del 27 de</w:t>
            </w:r>
          </w:p>
          <w:p w:rsidR="00B95650" w:rsidRPr="0090557F" w:rsidRDefault="00B95650" w:rsidP="00B95650">
            <w:pPr>
              <w:autoSpaceDE w:val="0"/>
              <w:autoSpaceDN w:val="0"/>
              <w:adjustRightInd w:val="0"/>
              <w:rPr>
                <w:rFonts w:asciiTheme="majorHAnsi" w:hAnsiTheme="majorHAnsi" w:cs="Times New Roman"/>
              </w:rPr>
            </w:pPr>
            <w:proofErr w:type="gramStart"/>
            <w:r w:rsidRPr="0090557F">
              <w:rPr>
                <w:rFonts w:asciiTheme="majorHAnsi" w:hAnsiTheme="majorHAnsi" w:cs="Times New Roman"/>
              </w:rPr>
              <w:t>mayo</w:t>
            </w:r>
            <w:proofErr w:type="gramEnd"/>
            <w:r w:rsidRPr="0090557F">
              <w:rPr>
                <w:rFonts w:asciiTheme="majorHAnsi" w:hAnsiTheme="majorHAnsi" w:cs="Times New Roman"/>
              </w:rPr>
              <w:t xml:space="preserve"> de 1999.</w:t>
            </w:r>
          </w:p>
          <w:p w:rsidR="00B95650" w:rsidRPr="0090557F" w:rsidRDefault="00B95650" w:rsidP="00B95650">
            <w:pPr>
              <w:autoSpaceDE w:val="0"/>
              <w:autoSpaceDN w:val="0"/>
              <w:adjustRightInd w:val="0"/>
              <w:rPr>
                <w:rFonts w:asciiTheme="majorHAnsi" w:hAnsiTheme="majorHAnsi" w:cs="Times New Roman"/>
              </w:rPr>
            </w:pPr>
            <w:r w:rsidRPr="0090557F">
              <w:rPr>
                <w:rFonts w:asciiTheme="majorHAnsi" w:hAnsiTheme="majorHAnsi" w:cs="Times New Roman"/>
              </w:rPr>
              <w:t>**Reformada por D.L: 528 el 30/08/01 Publicada en Diario Oficial No. 1 77 Tomo 352 del 20</w:t>
            </w:r>
          </w:p>
          <w:p w:rsidR="00B95650" w:rsidRPr="0090557F" w:rsidRDefault="00B95650" w:rsidP="00B95650">
            <w:pPr>
              <w:autoSpaceDE w:val="0"/>
              <w:autoSpaceDN w:val="0"/>
              <w:adjustRightInd w:val="0"/>
              <w:rPr>
                <w:rFonts w:asciiTheme="majorHAnsi" w:hAnsiTheme="majorHAnsi" w:cs="Times New Roman"/>
              </w:rPr>
            </w:pPr>
            <w:proofErr w:type="gramStart"/>
            <w:r w:rsidRPr="0090557F">
              <w:rPr>
                <w:rFonts w:asciiTheme="majorHAnsi" w:hAnsiTheme="majorHAnsi" w:cs="Times New Roman"/>
              </w:rPr>
              <w:t>de</w:t>
            </w:r>
            <w:proofErr w:type="gramEnd"/>
            <w:r w:rsidRPr="0090557F">
              <w:rPr>
                <w:rFonts w:asciiTheme="majorHAnsi" w:hAnsiTheme="majorHAnsi" w:cs="Times New Roman"/>
              </w:rPr>
              <w:t xml:space="preserve"> septiembre de 2001.</w:t>
            </w:r>
          </w:p>
          <w:p w:rsidR="000D2BF6" w:rsidRPr="00B95650" w:rsidRDefault="00B95650" w:rsidP="00B95650">
            <w:pPr>
              <w:rPr>
                <w:rFonts w:ascii="Times New Roman" w:hAnsi="Times New Roman" w:cs="Times New Roman"/>
                <w:sz w:val="19"/>
                <w:szCs w:val="19"/>
              </w:rPr>
            </w:pPr>
            <w:r w:rsidRPr="0090557F">
              <w:rPr>
                <w:rFonts w:asciiTheme="majorHAnsi" w:hAnsiTheme="majorHAnsi" w:cs="Times New Roman"/>
                <w:sz w:val="19"/>
                <w:szCs w:val="19"/>
              </w:rPr>
              <w:t>33</w:t>
            </w:r>
          </w:p>
        </w:tc>
      </w:tr>
      <w:tr w:rsidR="00B95650" w:rsidTr="00813AD7">
        <w:tc>
          <w:tcPr>
            <w:tcW w:w="2694" w:type="dxa"/>
          </w:tcPr>
          <w:p w:rsidR="00213F82" w:rsidRDefault="00213F82" w:rsidP="00B95650">
            <w:pPr>
              <w:pStyle w:val="Default"/>
              <w:rPr>
                <w:b/>
                <w:bCs/>
                <w:sz w:val="22"/>
                <w:szCs w:val="22"/>
              </w:rPr>
            </w:pPr>
          </w:p>
          <w:p w:rsidR="00B95650" w:rsidRDefault="00213F82" w:rsidP="00B95650">
            <w:pPr>
              <w:pStyle w:val="Default"/>
              <w:rPr>
                <w:b/>
                <w:bCs/>
                <w:sz w:val="22"/>
                <w:szCs w:val="22"/>
              </w:rPr>
            </w:pPr>
            <w:r>
              <w:rPr>
                <w:b/>
                <w:bCs/>
                <w:sz w:val="22"/>
                <w:szCs w:val="22"/>
              </w:rPr>
              <w:t>3.4. Estructura administrativa</w:t>
            </w:r>
          </w:p>
        </w:tc>
        <w:tc>
          <w:tcPr>
            <w:tcW w:w="6662" w:type="dxa"/>
          </w:tcPr>
          <w:p w:rsidR="00B95650" w:rsidRDefault="00B95650" w:rsidP="00B95650">
            <w:pPr>
              <w:autoSpaceDE w:val="0"/>
              <w:autoSpaceDN w:val="0"/>
              <w:adjustRightInd w:val="0"/>
              <w:rPr>
                <w:rFonts w:ascii="Times New Roman" w:hAnsi="Times New Roman" w:cs="Times New Roman"/>
              </w:rPr>
            </w:pPr>
          </w:p>
          <w:p w:rsidR="00813AD7" w:rsidRDefault="00813AD7" w:rsidP="00B247EE">
            <w:pPr>
              <w:autoSpaceDE w:val="0"/>
              <w:autoSpaceDN w:val="0"/>
              <w:adjustRightInd w:val="0"/>
              <w:ind w:left="1310"/>
              <w:rPr>
                <w:rFonts w:ascii="Times New Roman" w:hAnsi="Times New Roman" w:cs="Times New Roman"/>
              </w:rPr>
            </w:pPr>
          </w:p>
          <w:p w:rsidR="00813AD7" w:rsidRDefault="00813AD7" w:rsidP="00B95650">
            <w:pPr>
              <w:autoSpaceDE w:val="0"/>
              <w:autoSpaceDN w:val="0"/>
              <w:adjustRightInd w:val="0"/>
              <w:rPr>
                <w:rFonts w:ascii="Times New Roman" w:hAnsi="Times New Roman" w:cs="Times New Roman"/>
              </w:rPr>
            </w:pPr>
          </w:p>
          <w:p w:rsidR="00813AD7" w:rsidRDefault="00B247EE" w:rsidP="00B247EE">
            <w:pPr>
              <w:autoSpaceDE w:val="0"/>
              <w:autoSpaceDN w:val="0"/>
              <w:adjustRightInd w:val="0"/>
              <w:ind w:left="1310"/>
              <w:rPr>
                <w:rFonts w:ascii="Times New Roman" w:hAnsi="Times New Roman" w:cs="Times New Roman"/>
              </w:rPr>
            </w:pPr>
            <w:r>
              <w:rPr>
                <w:noProof/>
                <w:lang w:val="es-SV" w:eastAsia="es-SV"/>
              </w:rPr>
              <w:drawing>
                <wp:inline distT="0" distB="0" distL="0" distR="0" wp14:anchorId="640EAE18" wp14:editId="2239C27C">
                  <wp:extent cx="2362200" cy="3294966"/>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362200" cy="3294966"/>
                          </a:xfrm>
                          <a:prstGeom prst="rect">
                            <a:avLst/>
                          </a:prstGeom>
                        </pic:spPr>
                      </pic:pic>
                    </a:graphicData>
                  </a:graphic>
                </wp:inline>
              </w:drawing>
            </w:r>
          </w:p>
          <w:p w:rsidR="00B95650" w:rsidRDefault="00B95650" w:rsidP="00B95650">
            <w:pPr>
              <w:autoSpaceDE w:val="0"/>
              <w:autoSpaceDN w:val="0"/>
              <w:adjustRightInd w:val="0"/>
              <w:rPr>
                <w:rFonts w:ascii="Times New Roman" w:hAnsi="Times New Roman" w:cs="Times New Roman"/>
              </w:rPr>
            </w:pPr>
          </w:p>
        </w:tc>
      </w:tr>
      <w:tr w:rsidR="003B3614" w:rsidTr="00813AD7">
        <w:tc>
          <w:tcPr>
            <w:tcW w:w="2694" w:type="dxa"/>
          </w:tcPr>
          <w:p w:rsidR="003B3614" w:rsidRDefault="003B3614" w:rsidP="003B3614">
            <w:pPr>
              <w:pStyle w:val="Default"/>
              <w:rPr>
                <w:sz w:val="22"/>
                <w:szCs w:val="22"/>
              </w:rPr>
            </w:pPr>
            <w:r>
              <w:rPr>
                <w:b/>
                <w:bCs/>
                <w:sz w:val="22"/>
                <w:szCs w:val="22"/>
              </w:rPr>
              <w:t xml:space="preserve">3.5. Gestión de documentos y política de ingreso </w:t>
            </w:r>
          </w:p>
          <w:p w:rsidR="003B3614" w:rsidRDefault="003B3614" w:rsidP="00B95650">
            <w:pPr>
              <w:pStyle w:val="Default"/>
              <w:rPr>
                <w:b/>
                <w:bCs/>
                <w:sz w:val="22"/>
                <w:szCs w:val="22"/>
              </w:rPr>
            </w:pPr>
          </w:p>
        </w:tc>
        <w:tc>
          <w:tcPr>
            <w:tcW w:w="6662" w:type="dxa"/>
          </w:tcPr>
          <w:p w:rsidR="003B3614" w:rsidRPr="00C955ED" w:rsidRDefault="003B3614" w:rsidP="003B3614">
            <w:pPr>
              <w:pStyle w:val="Default"/>
              <w:rPr>
                <w:rFonts w:asciiTheme="majorHAnsi" w:hAnsiTheme="majorHAnsi"/>
                <w:sz w:val="22"/>
                <w:szCs w:val="22"/>
              </w:rPr>
            </w:pPr>
            <w:r w:rsidRPr="00C955ED">
              <w:rPr>
                <w:rFonts w:asciiTheme="majorHAnsi" w:hAnsiTheme="majorHAnsi"/>
                <w:sz w:val="22"/>
                <w:szCs w:val="22"/>
              </w:rPr>
              <w:t>En nuestro sistema de archivo institucional, la gestión de los documentos se vuelve dinámica y fluida entre los diferentes archivos que lo conforman, (Archivo de Gestión, Archivo Central) las transferencias en el Sistema de Archivos Institucional se realiza</w:t>
            </w:r>
            <w:r w:rsidR="00D80784">
              <w:rPr>
                <w:rFonts w:asciiTheme="majorHAnsi" w:hAnsiTheme="majorHAnsi"/>
                <w:sz w:val="22"/>
                <w:szCs w:val="22"/>
              </w:rPr>
              <w:t>n</w:t>
            </w:r>
            <w:r w:rsidRPr="00C955ED">
              <w:rPr>
                <w:rFonts w:asciiTheme="majorHAnsi" w:hAnsiTheme="majorHAnsi"/>
                <w:sz w:val="22"/>
                <w:szCs w:val="22"/>
              </w:rPr>
              <w:t xml:space="preserve"> de manera coordinada y eficiente promoviendo el orden y facilitando la consulta de los documentos. </w:t>
            </w:r>
          </w:p>
          <w:p w:rsidR="003B3614" w:rsidRPr="00C955ED" w:rsidRDefault="003B3614" w:rsidP="003B3614">
            <w:pPr>
              <w:pStyle w:val="Default"/>
              <w:rPr>
                <w:rFonts w:asciiTheme="majorHAnsi" w:hAnsiTheme="majorHAnsi"/>
                <w:sz w:val="22"/>
                <w:szCs w:val="22"/>
              </w:rPr>
            </w:pPr>
            <w:r w:rsidRPr="00C955ED">
              <w:rPr>
                <w:rFonts w:asciiTheme="majorHAnsi" w:hAnsiTheme="majorHAnsi"/>
                <w:sz w:val="22"/>
                <w:szCs w:val="22"/>
              </w:rPr>
              <w:t xml:space="preserve">Los ingresos de documentación se producen por : </w:t>
            </w:r>
          </w:p>
          <w:p w:rsidR="003B3614" w:rsidRPr="00C955ED" w:rsidRDefault="003B3614" w:rsidP="0065192B">
            <w:pPr>
              <w:pStyle w:val="Default"/>
              <w:rPr>
                <w:rFonts w:asciiTheme="majorHAnsi" w:hAnsiTheme="majorHAnsi"/>
                <w:noProof/>
                <w:lang w:eastAsia="es-ES"/>
              </w:rPr>
            </w:pPr>
            <w:r w:rsidRPr="00C955ED">
              <w:rPr>
                <w:rFonts w:asciiTheme="majorHAnsi" w:hAnsiTheme="majorHAnsi"/>
                <w:sz w:val="22"/>
                <w:szCs w:val="22"/>
              </w:rPr>
              <w:t>Gen</w:t>
            </w:r>
            <w:r w:rsidR="0065192B" w:rsidRPr="00C955ED">
              <w:rPr>
                <w:rFonts w:asciiTheme="majorHAnsi" w:hAnsiTheme="majorHAnsi"/>
                <w:sz w:val="22"/>
                <w:szCs w:val="22"/>
              </w:rPr>
              <w:t>eración Propia y  Transferencias</w:t>
            </w:r>
          </w:p>
        </w:tc>
      </w:tr>
      <w:tr w:rsidR="003B3614" w:rsidTr="00813AD7">
        <w:tc>
          <w:tcPr>
            <w:tcW w:w="2694" w:type="dxa"/>
          </w:tcPr>
          <w:p w:rsidR="003B3614" w:rsidRPr="005F1AF3" w:rsidRDefault="003B3614" w:rsidP="003B3614">
            <w:pPr>
              <w:pStyle w:val="Default"/>
              <w:rPr>
                <w:sz w:val="22"/>
                <w:szCs w:val="22"/>
              </w:rPr>
            </w:pPr>
            <w:r>
              <w:rPr>
                <w:b/>
                <w:bCs/>
                <w:sz w:val="22"/>
                <w:szCs w:val="22"/>
              </w:rPr>
              <w:t xml:space="preserve">3.6. Edificio </w:t>
            </w:r>
          </w:p>
        </w:tc>
        <w:tc>
          <w:tcPr>
            <w:tcW w:w="6662" w:type="dxa"/>
          </w:tcPr>
          <w:p w:rsidR="00C955ED" w:rsidRPr="005F1AF3" w:rsidRDefault="00C955ED" w:rsidP="00C955ED">
            <w:pPr>
              <w:jc w:val="both"/>
              <w:rPr>
                <w:rFonts w:asciiTheme="majorHAnsi" w:hAnsiTheme="majorHAnsi" w:cs="Calibri"/>
              </w:rPr>
            </w:pPr>
            <w:r w:rsidRPr="005F1AF3">
              <w:rPr>
                <w:rFonts w:asciiTheme="majorHAnsi" w:hAnsiTheme="majorHAnsi" w:cs="Calibri"/>
              </w:rPr>
              <w:t xml:space="preserve">Sede única, </w:t>
            </w:r>
            <w:r w:rsidR="003B3614" w:rsidRPr="005F1AF3">
              <w:rPr>
                <w:rFonts w:asciiTheme="majorHAnsi" w:hAnsiTheme="majorHAnsi" w:cs="Calibri"/>
              </w:rPr>
              <w:t>Edificio FONAVIPO,</w:t>
            </w:r>
            <w:r w:rsidRPr="005F1AF3">
              <w:rPr>
                <w:rFonts w:asciiTheme="majorHAnsi" w:hAnsiTheme="majorHAnsi" w:cs="Calibri"/>
              </w:rPr>
              <w:t xml:space="preserve"> 4 niveles, bajo el concepto de marcos estructurales, según detalle:</w:t>
            </w:r>
          </w:p>
          <w:p w:rsidR="00D56103" w:rsidRPr="005F1AF3" w:rsidRDefault="00C955ED" w:rsidP="00C955ED">
            <w:pPr>
              <w:jc w:val="both"/>
              <w:rPr>
                <w:rFonts w:asciiTheme="majorHAnsi" w:hAnsiTheme="majorHAnsi" w:cs="Calibri"/>
              </w:rPr>
            </w:pPr>
            <w:r w:rsidRPr="005F1AF3">
              <w:rPr>
                <w:rFonts w:asciiTheme="majorHAnsi" w:hAnsiTheme="majorHAnsi" w:cs="Calibri"/>
              </w:rPr>
              <w:t>1er NIVEL: Oficinas de las Unidades  Ju</w:t>
            </w:r>
            <w:r w:rsidR="00D56103" w:rsidRPr="005F1AF3">
              <w:rPr>
                <w:rFonts w:asciiTheme="majorHAnsi" w:hAnsiTheme="majorHAnsi" w:cs="Calibri"/>
              </w:rPr>
              <w:t>rídica, UACI, Gerencia de Inclusión Social, Gerencia de Desarrollo de Proyectos Habitacionales, Centro de Información y Asesoría al Usuario, OIR y Recepción, parqueo de visitas.</w:t>
            </w:r>
          </w:p>
          <w:p w:rsidR="00D56103" w:rsidRPr="005F1AF3" w:rsidRDefault="00D56103" w:rsidP="00C955ED">
            <w:pPr>
              <w:jc w:val="both"/>
              <w:rPr>
                <w:rFonts w:asciiTheme="majorHAnsi" w:hAnsiTheme="majorHAnsi" w:cs="Calibri"/>
              </w:rPr>
            </w:pPr>
            <w:r w:rsidRPr="005F1AF3">
              <w:rPr>
                <w:rFonts w:asciiTheme="majorHAnsi" w:hAnsiTheme="majorHAnsi" w:cs="Calibri"/>
              </w:rPr>
              <w:t>2do. NIVEL: Presidencia, Dirección Ejecutiva, Comunicaciones, Tesorería, Desarrollo Institucional, Gerencia de Finanzas, Administrativa, Tecnología de la Información.</w:t>
            </w:r>
          </w:p>
          <w:p w:rsidR="00D56103" w:rsidRPr="005F1AF3" w:rsidRDefault="00D56103" w:rsidP="00C955ED">
            <w:pPr>
              <w:jc w:val="both"/>
              <w:rPr>
                <w:rFonts w:asciiTheme="majorHAnsi" w:hAnsiTheme="majorHAnsi" w:cs="Calibri"/>
              </w:rPr>
            </w:pPr>
            <w:r w:rsidRPr="005F1AF3">
              <w:rPr>
                <w:rFonts w:asciiTheme="majorHAnsi" w:hAnsiTheme="majorHAnsi" w:cs="Calibri"/>
              </w:rPr>
              <w:t>3er. NIVEL: Gerencia de Créditos, Riesgos, Auditoría Interna, Sala de Capacitaciones, salón de usos múltiples.</w:t>
            </w:r>
          </w:p>
          <w:p w:rsidR="00D80784" w:rsidRPr="005F1AF3" w:rsidRDefault="00D56103" w:rsidP="00C955ED">
            <w:pPr>
              <w:jc w:val="both"/>
              <w:rPr>
                <w:rFonts w:asciiTheme="majorHAnsi" w:hAnsiTheme="majorHAnsi" w:cs="Calibri"/>
              </w:rPr>
            </w:pPr>
            <w:r w:rsidRPr="005F1AF3">
              <w:rPr>
                <w:rFonts w:asciiTheme="majorHAnsi" w:hAnsiTheme="majorHAnsi" w:cs="Calibri"/>
              </w:rPr>
              <w:t xml:space="preserve">Sótano: Archivo y Proveeduría, clínica empresarial, bodega, parqueo para vehículos institucionales y empleados de la Institución. </w:t>
            </w:r>
          </w:p>
          <w:p w:rsidR="003B3614" w:rsidRPr="00C955ED" w:rsidRDefault="00D80784" w:rsidP="005F1AF3">
            <w:pPr>
              <w:jc w:val="both"/>
              <w:rPr>
                <w:rFonts w:asciiTheme="majorHAnsi" w:hAnsiTheme="majorHAnsi"/>
              </w:rPr>
            </w:pPr>
            <w:r w:rsidRPr="005F1AF3">
              <w:rPr>
                <w:rFonts w:asciiTheme="majorHAnsi" w:hAnsiTheme="majorHAnsi" w:cs="Calibri"/>
              </w:rPr>
              <w:t>Baños en todos los niveles y elevador.</w:t>
            </w:r>
          </w:p>
        </w:tc>
      </w:tr>
      <w:tr w:rsidR="003B3614" w:rsidTr="00813AD7">
        <w:tc>
          <w:tcPr>
            <w:tcW w:w="2694" w:type="dxa"/>
          </w:tcPr>
          <w:p w:rsidR="003B3614" w:rsidRDefault="003B3614" w:rsidP="003B3614">
            <w:pPr>
              <w:pStyle w:val="Default"/>
              <w:rPr>
                <w:b/>
                <w:bCs/>
                <w:sz w:val="22"/>
                <w:szCs w:val="22"/>
              </w:rPr>
            </w:pPr>
            <w:r w:rsidRPr="00C955ED">
              <w:rPr>
                <w:b/>
                <w:bCs/>
                <w:sz w:val="22"/>
                <w:szCs w:val="22"/>
              </w:rPr>
              <w:t>3.7. Fondos</w:t>
            </w:r>
          </w:p>
        </w:tc>
        <w:tc>
          <w:tcPr>
            <w:tcW w:w="6662" w:type="dxa"/>
          </w:tcPr>
          <w:p w:rsidR="00027302" w:rsidRPr="00C955ED" w:rsidRDefault="00027302" w:rsidP="00027302">
            <w:pPr>
              <w:autoSpaceDE w:val="0"/>
              <w:autoSpaceDN w:val="0"/>
              <w:adjustRightInd w:val="0"/>
              <w:rPr>
                <w:rFonts w:asciiTheme="majorHAnsi" w:hAnsiTheme="majorHAnsi" w:cs="Calibri"/>
              </w:rPr>
            </w:pPr>
            <w:r w:rsidRPr="00C955ED">
              <w:rPr>
                <w:rFonts w:asciiTheme="majorHAnsi" w:hAnsiTheme="majorHAnsi" w:cs="Calibri"/>
              </w:rPr>
              <w:t>Con el objetivo primordial de cumplir con la visión y misión institucional, que es apoyar a las familias de escasos recursos a obtener soluciones habitacionales, FONAVIPO ha tenido un rol estratégico en el año 2011; primero como banca de segundo piso canalizando recursos con Instituciones Autorizadas para que estas realicen créditos a la población objetivo de FONAVIPO, y segundo, como uno de los dinamizadores del sector vivienda en apoyo al programa Casa para</w:t>
            </w:r>
            <w:r w:rsidR="00485D4B">
              <w:rPr>
                <w:rFonts w:asciiTheme="majorHAnsi" w:hAnsiTheme="majorHAnsi" w:cs="Calibri"/>
              </w:rPr>
              <w:t xml:space="preserve"> </w:t>
            </w:r>
            <w:r w:rsidRPr="00C955ED">
              <w:rPr>
                <w:rFonts w:asciiTheme="majorHAnsi" w:hAnsiTheme="majorHAnsi" w:cs="Calibri"/>
              </w:rPr>
              <w:t>Todos.</w:t>
            </w:r>
          </w:p>
          <w:p w:rsidR="00027302" w:rsidRPr="00C955ED" w:rsidRDefault="00027302" w:rsidP="00027302">
            <w:pPr>
              <w:autoSpaceDE w:val="0"/>
              <w:autoSpaceDN w:val="0"/>
              <w:adjustRightInd w:val="0"/>
              <w:rPr>
                <w:rFonts w:asciiTheme="majorHAnsi" w:hAnsiTheme="majorHAnsi" w:cs="Calibri"/>
              </w:rPr>
            </w:pPr>
            <w:r w:rsidRPr="00C955ED">
              <w:rPr>
                <w:rFonts w:asciiTheme="majorHAnsi" w:hAnsiTheme="majorHAnsi" w:cs="Calibri"/>
              </w:rPr>
              <w:t>Cumplir con dichos roles han significado grandes retos para la administración en la obtención de recursos, para lo cual se han mantenido las alianzas estratégi</w:t>
            </w:r>
            <w:r w:rsidR="000D29F9" w:rsidRPr="00C955ED">
              <w:rPr>
                <w:rFonts w:asciiTheme="majorHAnsi" w:hAnsiTheme="majorHAnsi" w:cs="Calibri"/>
              </w:rPr>
              <w:t xml:space="preserve">cas con proveedores de recursos </w:t>
            </w:r>
            <w:r w:rsidRPr="00C955ED">
              <w:rPr>
                <w:rFonts w:asciiTheme="majorHAnsi" w:hAnsiTheme="majorHAnsi" w:cs="Calibri"/>
              </w:rPr>
              <w:t>como el Banco Centroamericano de Integración Económica (BCIE), a través de líneas especiales y de la banca nacional.</w:t>
            </w:r>
          </w:p>
          <w:p w:rsidR="00027302" w:rsidRPr="00C955ED" w:rsidRDefault="00027302" w:rsidP="00027302">
            <w:pPr>
              <w:autoSpaceDE w:val="0"/>
              <w:autoSpaceDN w:val="0"/>
              <w:adjustRightInd w:val="0"/>
              <w:rPr>
                <w:rFonts w:asciiTheme="majorHAnsi" w:hAnsiTheme="majorHAnsi" w:cs="Calibri"/>
              </w:rPr>
            </w:pPr>
            <w:r w:rsidRPr="00C955ED">
              <w:rPr>
                <w:rFonts w:asciiTheme="majorHAnsi" w:hAnsiTheme="majorHAnsi" w:cs="Calibri"/>
              </w:rPr>
              <w:t>Por otra parte, se han enfrentado desafíos importantes, tales como lo son la contracción de sus indicadores de rentabilidad y el sostenimiento del saldo de cartera, que es el principal generador de ingresos, ante el aumento de su carga operativa necesaria para el desarrollo normal de sus operaciones en el área de desarrollo de proyectos habitacionales de interés social.</w:t>
            </w:r>
          </w:p>
          <w:p w:rsidR="003B3614" w:rsidRPr="00C955ED" w:rsidRDefault="003B3614" w:rsidP="00465071">
            <w:pPr>
              <w:rPr>
                <w:rFonts w:asciiTheme="majorHAnsi" w:hAnsiTheme="majorHAnsi" w:cs="Calibri"/>
              </w:rPr>
            </w:pPr>
          </w:p>
        </w:tc>
      </w:tr>
      <w:tr w:rsidR="003B3614" w:rsidTr="00813AD7">
        <w:tc>
          <w:tcPr>
            <w:tcW w:w="2694" w:type="dxa"/>
          </w:tcPr>
          <w:p w:rsidR="003B3614" w:rsidRPr="00465071" w:rsidRDefault="003B3614" w:rsidP="003B3614">
            <w:pPr>
              <w:pStyle w:val="Default"/>
              <w:rPr>
                <w:sz w:val="22"/>
                <w:szCs w:val="22"/>
              </w:rPr>
            </w:pPr>
            <w:r>
              <w:rPr>
                <w:b/>
                <w:bCs/>
                <w:sz w:val="22"/>
                <w:szCs w:val="22"/>
              </w:rPr>
              <w:t xml:space="preserve">3.8. Instrumentos de descripción, guías y publicaciones </w:t>
            </w:r>
          </w:p>
        </w:tc>
        <w:tc>
          <w:tcPr>
            <w:tcW w:w="6662" w:type="dxa"/>
          </w:tcPr>
          <w:p w:rsidR="003B3614" w:rsidRPr="00C955ED" w:rsidRDefault="003B3614" w:rsidP="003B3614">
            <w:pPr>
              <w:rPr>
                <w:rFonts w:asciiTheme="majorHAnsi" w:hAnsiTheme="majorHAnsi" w:cs="Calibri"/>
              </w:rPr>
            </w:pPr>
            <w:r w:rsidRPr="00C955ED">
              <w:rPr>
                <w:rFonts w:asciiTheme="majorHAnsi" w:hAnsiTheme="majorHAnsi" w:cs="Calibri"/>
              </w:rPr>
              <w:t>Encuestas de satisfacción al cliente interno, externo, directos, finales y proveedores.  Memoria de labores.  Rendición de Cuentas.</w:t>
            </w:r>
          </w:p>
          <w:p w:rsidR="003B3614" w:rsidRDefault="003B3614" w:rsidP="003B3614">
            <w:pPr>
              <w:rPr>
                <w:rFonts w:ascii="Calibri" w:hAnsi="Calibri" w:cs="Calibri"/>
              </w:rPr>
            </w:pPr>
          </w:p>
        </w:tc>
      </w:tr>
    </w:tbl>
    <w:p w:rsidR="001A0ED6" w:rsidRDefault="00027302" w:rsidP="00D5252D">
      <w:pPr>
        <w:pStyle w:val="Default"/>
        <w:jc w:val="center"/>
        <w:rPr>
          <w:sz w:val="28"/>
          <w:szCs w:val="28"/>
        </w:rPr>
      </w:pPr>
      <w:r>
        <w:rPr>
          <w:noProof/>
          <w:sz w:val="28"/>
          <w:szCs w:val="28"/>
          <w:lang w:val="es-SV" w:eastAsia="es-SV"/>
        </w:rPr>
        <mc:AlternateContent>
          <mc:Choice Requires="wps">
            <w:drawing>
              <wp:anchor distT="0" distB="0" distL="114300" distR="114300" simplePos="0" relativeHeight="251664384" behindDoc="0" locked="0" layoutInCell="1" allowOverlap="1">
                <wp:simplePos x="0" y="0"/>
                <wp:positionH relativeFrom="column">
                  <wp:posOffset>-184785</wp:posOffset>
                </wp:positionH>
                <wp:positionV relativeFrom="paragraph">
                  <wp:posOffset>100330</wp:posOffset>
                </wp:positionV>
                <wp:extent cx="5953125" cy="523875"/>
                <wp:effectExtent l="0" t="0" r="28575" b="28575"/>
                <wp:wrapNone/>
                <wp:docPr id="9" name="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52387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813AD7" w:rsidRPr="00813AD7" w:rsidRDefault="00813AD7" w:rsidP="00813AD7">
                            <w:pPr>
                              <w:pStyle w:val="Default"/>
                              <w:rPr>
                                <w:sz w:val="28"/>
                                <w:szCs w:val="28"/>
                              </w:rPr>
                            </w:pPr>
                            <w:r w:rsidRPr="00813AD7">
                              <w:rPr>
                                <w:b/>
                                <w:bCs/>
                                <w:sz w:val="28"/>
                                <w:szCs w:val="28"/>
                              </w:rPr>
                              <w:t xml:space="preserve">4. AREA DE ACCESO </w:t>
                            </w:r>
                          </w:p>
                          <w:p w:rsidR="00813AD7" w:rsidRDefault="00813AD7" w:rsidP="00813A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9 Rectángulo" o:spid="_x0000_s1030" style="position:absolute;left:0;text-align:left;margin-left:-14.55pt;margin-top:7.9pt;width:468.7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kbhigIAAGYFAAAOAAAAZHJzL2Uyb0RvYy54bWysVN1u0zAUvkfiHSzfszRdw9Zo6VRtGkKq&#10;tmob2rXr2E2E42Nst2l5G56FF+PY+WGMCSRELqwcn//P3zkXl4dGkb2wrgZd0PRkQonQHMpabwv6&#10;6fHm3TklzjNdMgVaFPQoHL1cvH1z0ZpcTKECVQpLMIh2eWsKWnlv8iRxvBINcydghEalBNswj6Ld&#10;JqVlLUZvVDKdTN4nLdjSWODCOby97pR0EeNLKbi/k9IJT1RBsTYfTxvPTTiTxQXLt5aZquZ9Gewf&#10;qmhYrTHpGOqaeUZ2tv4tVFNzCw6kP+HQJCBlzUXsAbtJJy+6eaiYEbEXBMeZESb3/8Ly2/3akros&#10;6JwSzRp8ojm5R9i+f9PbnYIAUGtcjnYPZm1Di86sgH92qEh+0QTB9TYHaZtgiw2SQ0T7OKItDp5w&#10;vMzm2Wk6zSjhqMump+dnWciWsHzwNtb5DwIaEn4KarGsCDLbr5zvTAeTvpguf6zEH5UIJSh9LyR2&#10;iBmn0TtyS1wpS/YMWcE4F9qfdqqKlaK7zib49fWMHrG6GDBElrVSY+z0T7G7Wnv74CoiNUfnyd+d&#10;R4+YGbQfnZtag30tgPJp34Ds7AeQOmgCSv6wOcTXnw0PvYHyiIyw0I2KM/ymRvRXzPk1szgbOEU4&#10;7/4OD6mgLSj0f5RUYL++dh/skbKopaTFWSuo+7JjVlCiPmok8zydzcJwRmGWnU1RsM81m+cavWuu&#10;AB8uxc1iePwN9l4Nv9JC84RrYRmyooppjrkLyr0dhCvf7QBcLFwsl9EMB9Iwv9IPhofgAefArsfD&#10;E7Omp6BH8t7CMJcsf8HEzjZ4aljuPMg60jQg3eHavwAOc6RSv3jCtnguR6uf63HxAwAA//8DAFBL&#10;AwQUAAYACAAAACEAd36N5twAAAAJAQAADwAAAGRycy9kb3ducmV2LnhtbEyPwU7DMBBE70j8g7VI&#10;3FqngaI0jVOhigpxbMsHbGI3jojXke2m4e9ZTnDb0TzNzlS72Q1iMiH2nhSslhkIQ63XPXUKPs+H&#10;RQEiJiSNgyej4NtE2NX3dxWW2t/oaKZT6gSHUCxRgU1pLKWMrTUO49KPhti7+OAwsQyd1AFvHO4G&#10;mWfZi3TYE3+wOJq9Ne3X6eoU4PTh129TV/i8Ce+HfTr2s7ZKPT7Mr1sQyczpD4bf+lwdau7U+Cvp&#10;KAYFi3yzYpSNNU9gYJMVzyAaPoonkHUl/y+ofwAAAP//AwBQSwECLQAUAAYACAAAACEAtoM4kv4A&#10;AADhAQAAEwAAAAAAAAAAAAAAAAAAAAAAW0NvbnRlbnRfVHlwZXNdLnhtbFBLAQItABQABgAIAAAA&#10;IQA4/SH/1gAAAJQBAAALAAAAAAAAAAAAAAAAAC8BAABfcmVscy8ucmVsc1BLAQItABQABgAIAAAA&#10;IQDyakbhigIAAGYFAAAOAAAAAAAAAAAAAAAAAC4CAABkcnMvZTJvRG9jLnhtbFBLAQItABQABgAI&#10;AAAAIQB3fo3m3AAAAAkBAAAPAAAAAAAAAAAAAAAAAOQEAABkcnMvZG93bnJldi54bWxQSwUGAAAA&#10;AAQABADzAAAA7QUAAAAA&#10;" fillcolor="#9bbb59 [3206]" strokecolor="#4e6128 [1606]" strokeweight="2pt">
                <v:path arrowok="t"/>
                <v:textbox>
                  <w:txbxContent>
                    <w:p w:rsidR="00813AD7" w:rsidRPr="00813AD7" w:rsidRDefault="00813AD7" w:rsidP="00813AD7">
                      <w:pPr>
                        <w:pStyle w:val="Default"/>
                        <w:rPr>
                          <w:sz w:val="28"/>
                          <w:szCs w:val="28"/>
                        </w:rPr>
                      </w:pPr>
                      <w:r w:rsidRPr="00813AD7">
                        <w:rPr>
                          <w:b/>
                          <w:bCs/>
                          <w:sz w:val="28"/>
                          <w:szCs w:val="28"/>
                        </w:rPr>
                        <w:t xml:space="preserve">4. AREA DE ACCESO </w:t>
                      </w:r>
                    </w:p>
                    <w:p w:rsidR="00813AD7" w:rsidRDefault="00813AD7" w:rsidP="00813AD7">
                      <w:pPr>
                        <w:jc w:val="center"/>
                      </w:pPr>
                    </w:p>
                  </w:txbxContent>
                </v:textbox>
              </v:rect>
            </w:pict>
          </mc:Fallback>
        </mc:AlternateContent>
      </w:r>
    </w:p>
    <w:p w:rsidR="001A0ED6" w:rsidRDefault="001A0ED6" w:rsidP="00D5252D">
      <w:pPr>
        <w:pStyle w:val="Default"/>
        <w:jc w:val="center"/>
        <w:rPr>
          <w:sz w:val="28"/>
          <w:szCs w:val="28"/>
        </w:rPr>
      </w:pPr>
    </w:p>
    <w:p w:rsidR="001A0ED6" w:rsidRDefault="001A0ED6" w:rsidP="00D5252D">
      <w:pPr>
        <w:pStyle w:val="Default"/>
        <w:jc w:val="center"/>
        <w:rPr>
          <w:sz w:val="28"/>
          <w:szCs w:val="28"/>
        </w:rPr>
      </w:pPr>
    </w:p>
    <w:tbl>
      <w:tblPr>
        <w:tblStyle w:val="Tablaconcuadrcula"/>
        <w:tblW w:w="9356" w:type="dxa"/>
        <w:tblInd w:w="-176" w:type="dxa"/>
        <w:tblLook w:val="04A0" w:firstRow="1" w:lastRow="0" w:firstColumn="1" w:lastColumn="0" w:noHBand="0" w:noVBand="1"/>
      </w:tblPr>
      <w:tblGrid>
        <w:gridCol w:w="2694"/>
        <w:gridCol w:w="6662"/>
      </w:tblGrid>
      <w:tr w:rsidR="00813AD7" w:rsidTr="005C5658">
        <w:tc>
          <w:tcPr>
            <w:tcW w:w="2694" w:type="dxa"/>
          </w:tcPr>
          <w:p w:rsidR="005C5658" w:rsidRDefault="005C5658" w:rsidP="005C5658">
            <w:pPr>
              <w:pStyle w:val="Default"/>
              <w:rPr>
                <w:b/>
                <w:bCs/>
                <w:sz w:val="22"/>
                <w:szCs w:val="22"/>
              </w:rPr>
            </w:pPr>
            <w:r>
              <w:rPr>
                <w:b/>
                <w:bCs/>
                <w:sz w:val="22"/>
                <w:szCs w:val="22"/>
              </w:rPr>
              <w:t>4.1. Horarios de Atención</w:t>
            </w:r>
          </w:p>
          <w:p w:rsidR="00813AD7" w:rsidRDefault="00813AD7" w:rsidP="00D5252D">
            <w:pPr>
              <w:pStyle w:val="Default"/>
              <w:jc w:val="center"/>
              <w:rPr>
                <w:sz w:val="28"/>
                <w:szCs w:val="28"/>
              </w:rPr>
            </w:pPr>
          </w:p>
        </w:tc>
        <w:tc>
          <w:tcPr>
            <w:tcW w:w="6662" w:type="dxa"/>
          </w:tcPr>
          <w:p w:rsidR="005C5658" w:rsidRDefault="005C5658" w:rsidP="005C5658">
            <w:pPr>
              <w:pStyle w:val="Default"/>
              <w:rPr>
                <w:sz w:val="22"/>
                <w:szCs w:val="22"/>
              </w:rPr>
            </w:pPr>
            <w:r>
              <w:rPr>
                <w:sz w:val="22"/>
                <w:szCs w:val="22"/>
              </w:rPr>
              <w:t xml:space="preserve">Atención al público: lunes a jueves de 8:00 am a 4:30 pm , sin cerrar al medio día </w:t>
            </w:r>
          </w:p>
          <w:p w:rsidR="005C5658" w:rsidRDefault="005C5658" w:rsidP="005C5658">
            <w:pPr>
              <w:pStyle w:val="Default"/>
              <w:rPr>
                <w:sz w:val="22"/>
                <w:szCs w:val="22"/>
              </w:rPr>
            </w:pPr>
            <w:r>
              <w:rPr>
                <w:sz w:val="22"/>
                <w:szCs w:val="22"/>
              </w:rPr>
              <w:t>Viernes: de 8:00 am a 3</w:t>
            </w:r>
            <w:r w:rsidR="00C955ED">
              <w:rPr>
                <w:sz w:val="22"/>
                <w:szCs w:val="22"/>
              </w:rPr>
              <w:t>:30 pm, sin cerrar al medio día.</w:t>
            </w:r>
          </w:p>
          <w:p w:rsidR="005C5658" w:rsidRDefault="005C5658" w:rsidP="005C5658">
            <w:pPr>
              <w:pStyle w:val="Default"/>
              <w:rPr>
                <w:sz w:val="22"/>
                <w:szCs w:val="22"/>
              </w:rPr>
            </w:pPr>
            <w:r>
              <w:rPr>
                <w:sz w:val="22"/>
                <w:szCs w:val="22"/>
              </w:rPr>
              <w:t xml:space="preserve">Cerrado al público: sábado y domingo. </w:t>
            </w:r>
          </w:p>
          <w:p w:rsidR="00813AD7" w:rsidRPr="005C5658" w:rsidRDefault="005C5658" w:rsidP="005C5658">
            <w:pPr>
              <w:pStyle w:val="Default"/>
              <w:rPr>
                <w:sz w:val="22"/>
                <w:szCs w:val="22"/>
              </w:rPr>
            </w:pPr>
            <w:r>
              <w:rPr>
                <w:sz w:val="22"/>
                <w:szCs w:val="22"/>
              </w:rPr>
              <w:t xml:space="preserve">Festivos: Semana Santa. 1 de mayo. 10 de mayo. Vacaciones de agosto. 15 de septiembre. 2 de noviembre. 23 de diciembre al 02 de enero. </w:t>
            </w:r>
          </w:p>
        </w:tc>
      </w:tr>
      <w:tr w:rsidR="00813AD7" w:rsidTr="005C5658">
        <w:tc>
          <w:tcPr>
            <w:tcW w:w="2694" w:type="dxa"/>
          </w:tcPr>
          <w:p w:rsidR="005C5658" w:rsidRDefault="005C5658" w:rsidP="005C5658">
            <w:pPr>
              <w:pStyle w:val="Default"/>
              <w:rPr>
                <w:b/>
                <w:bCs/>
                <w:sz w:val="22"/>
                <w:szCs w:val="22"/>
              </w:rPr>
            </w:pPr>
            <w:r>
              <w:rPr>
                <w:b/>
                <w:bCs/>
                <w:sz w:val="22"/>
                <w:szCs w:val="22"/>
              </w:rPr>
              <w:t xml:space="preserve">4.2. Condiciones y requisitos para el uso y el acceso </w:t>
            </w:r>
          </w:p>
          <w:p w:rsidR="00485D4B" w:rsidRDefault="00485D4B" w:rsidP="005C5658">
            <w:pPr>
              <w:pStyle w:val="Default"/>
              <w:rPr>
                <w:b/>
                <w:bCs/>
                <w:sz w:val="22"/>
                <w:szCs w:val="22"/>
              </w:rPr>
            </w:pPr>
          </w:p>
          <w:p w:rsidR="00813AD7" w:rsidRDefault="00813AD7" w:rsidP="00D5252D">
            <w:pPr>
              <w:pStyle w:val="Default"/>
              <w:jc w:val="center"/>
              <w:rPr>
                <w:sz w:val="28"/>
                <w:szCs w:val="28"/>
              </w:rPr>
            </w:pPr>
          </w:p>
        </w:tc>
        <w:tc>
          <w:tcPr>
            <w:tcW w:w="6662" w:type="dxa"/>
          </w:tcPr>
          <w:p w:rsidR="005C5658" w:rsidRDefault="005C5658" w:rsidP="005C5658">
            <w:pPr>
              <w:pStyle w:val="Default"/>
              <w:rPr>
                <w:sz w:val="22"/>
                <w:szCs w:val="22"/>
              </w:rPr>
            </w:pPr>
            <w:r>
              <w:rPr>
                <w:sz w:val="22"/>
                <w:szCs w:val="22"/>
              </w:rPr>
              <w:t xml:space="preserve">Para su ingreso presentar Documento Único de Identidad Personal con el personal de vigilancia de la institución. </w:t>
            </w:r>
          </w:p>
          <w:p w:rsidR="00485D4B" w:rsidRDefault="00485D4B" w:rsidP="005C5658">
            <w:pPr>
              <w:pStyle w:val="Default"/>
              <w:rPr>
                <w:sz w:val="22"/>
                <w:szCs w:val="22"/>
              </w:rPr>
            </w:pPr>
          </w:p>
          <w:p w:rsidR="00813AD7" w:rsidRDefault="005C5658" w:rsidP="005C5658">
            <w:pPr>
              <w:pStyle w:val="Default"/>
              <w:rPr>
                <w:sz w:val="28"/>
                <w:szCs w:val="28"/>
              </w:rPr>
            </w:pPr>
            <w:r>
              <w:rPr>
                <w:sz w:val="22"/>
                <w:szCs w:val="22"/>
              </w:rPr>
              <w:t>Para consultas se debe complementar el formulario respectivo.</w:t>
            </w:r>
          </w:p>
        </w:tc>
      </w:tr>
      <w:tr w:rsidR="00813AD7" w:rsidTr="005C5658">
        <w:tc>
          <w:tcPr>
            <w:tcW w:w="2694" w:type="dxa"/>
          </w:tcPr>
          <w:p w:rsidR="005C5658" w:rsidRDefault="005C5658" w:rsidP="005C5658">
            <w:pPr>
              <w:pStyle w:val="Default"/>
              <w:rPr>
                <w:b/>
                <w:bCs/>
                <w:sz w:val="22"/>
                <w:szCs w:val="22"/>
              </w:rPr>
            </w:pPr>
            <w:r>
              <w:rPr>
                <w:b/>
                <w:bCs/>
                <w:sz w:val="22"/>
                <w:szCs w:val="22"/>
              </w:rPr>
              <w:t xml:space="preserve">4.3. Accesibilidad </w:t>
            </w:r>
          </w:p>
          <w:p w:rsidR="00813AD7" w:rsidRDefault="00813AD7" w:rsidP="00D5252D">
            <w:pPr>
              <w:pStyle w:val="Default"/>
              <w:jc w:val="center"/>
              <w:rPr>
                <w:sz w:val="28"/>
                <w:szCs w:val="28"/>
              </w:rPr>
            </w:pPr>
          </w:p>
        </w:tc>
        <w:tc>
          <w:tcPr>
            <w:tcW w:w="6662" w:type="dxa"/>
          </w:tcPr>
          <w:p w:rsidR="005C5658" w:rsidRDefault="005C5658" w:rsidP="005C5658">
            <w:pPr>
              <w:pStyle w:val="Default"/>
              <w:rPr>
                <w:sz w:val="22"/>
                <w:szCs w:val="22"/>
              </w:rPr>
            </w:pPr>
            <w:r>
              <w:rPr>
                <w:sz w:val="22"/>
                <w:szCs w:val="22"/>
              </w:rPr>
              <w:t>La entrada principal a FONAVIPO es sobre la Alameda Juan Pablo II,  entrando por la puerta principal. Pasando por la recepción se enc</w:t>
            </w:r>
            <w:r w:rsidR="00C955ED">
              <w:rPr>
                <w:sz w:val="22"/>
                <w:szCs w:val="22"/>
              </w:rPr>
              <w:t>uentra</w:t>
            </w:r>
            <w:r>
              <w:rPr>
                <w:sz w:val="22"/>
                <w:szCs w:val="22"/>
              </w:rPr>
              <w:t xml:space="preserve"> la Oficina de Información y Respuesta. </w:t>
            </w:r>
          </w:p>
          <w:p w:rsidR="005C5658" w:rsidRDefault="005C5658" w:rsidP="005C5658">
            <w:pPr>
              <w:pStyle w:val="Default"/>
              <w:rPr>
                <w:sz w:val="22"/>
                <w:szCs w:val="22"/>
              </w:rPr>
            </w:pPr>
            <w:r>
              <w:rPr>
                <w:sz w:val="22"/>
                <w:szCs w:val="22"/>
              </w:rPr>
              <w:t>Las instalaciones generales de FONAVIPO cuentan con accesibilidad para discapacitados en silla de ruedas, y parqueo exclusivo para ellos.</w:t>
            </w:r>
          </w:p>
          <w:p w:rsidR="00813AD7" w:rsidRDefault="00813AD7" w:rsidP="00D5252D">
            <w:pPr>
              <w:pStyle w:val="Default"/>
              <w:jc w:val="center"/>
              <w:rPr>
                <w:sz w:val="28"/>
                <w:szCs w:val="28"/>
              </w:rPr>
            </w:pPr>
          </w:p>
        </w:tc>
      </w:tr>
    </w:tbl>
    <w:p w:rsidR="001A0ED6" w:rsidRDefault="001A0ED6" w:rsidP="00D5252D">
      <w:pPr>
        <w:pStyle w:val="Default"/>
        <w:jc w:val="center"/>
        <w:rPr>
          <w:sz w:val="28"/>
          <w:szCs w:val="28"/>
        </w:rPr>
      </w:pPr>
    </w:p>
    <w:p w:rsidR="001A0ED6" w:rsidRDefault="00027302" w:rsidP="00D5252D">
      <w:pPr>
        <w:pStyle w:val="Default"/>
        <w:jc w:val="center"/>
        <w:rPr>
          <w:sz w:val="28"/>
          <w:szCs w:val="28"/>
        </w:rPr>
      </w:pPr>
      <w:r>
        <w:rPr>
          <w:noProof/>
          <w:sz w:val="28"/>
          <w:szCs w:val="28"/>
          <w:lang w:val="es-SV" w:eastAsia="es-SV"/>
        </w:rPr>
        <mc:AlternateContent>
          <mc:Choice Requires="wps">
            <w:drawing>
              <wp:anchor distT="0" distB="0" distL="114300" distR="114300" simplePos="0" relativeHeight="251665408" behindDoc="0" locked="0" layoutInCell="1" allowOverlap="1">
                <wp:simplePos x="0" y="0"/>
                <wp:positionH relativeFrom="column">
                  <wp:posOffset>-184785</wp:posOffset>
                </wp:positionH>
                <wp:positionV relativeFrom="paragraph">
                  <wp:posOffset>63500</wp:posOffset>
                </wp:positionV>
                <wp:extent cx="5905500" cy="447675"/>
                <wp:effectExtent l="0" t="0" r="19050" b="28575"/>
                <wp:wrapNone/>
                <wp:docPr id="10" name="1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0" cy="44767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5C5658" w:rsidRPr="005C5658" w:rsidRDefault="005C5658" w:rsidP="005C5658">
                            <w:pPr>
                              <w:pStyle w:val="Default"/>
                              <w:rPr>
                                <w:sz w:val="28"/>
                                <w:szCs w:val="28"/>
                              </w:rPr>
                            </w:pPr>
                            <w:r w:rsidRPr="005C5658">
                              <w:rPr>
                                <w:b/>
                                <w:bCs/>
                                <w:sz w:val="28"/>
                                <w:szCs w:val="28"/>
                              </w:rPr>
                              <w:t xml:space="preserve">5. AREA DE SERVICIOS </w:t>
                            </w:r>
                          </w:p>
                          <w:p w:rsidR="005C5658" w:rsidRDefault="005C5658" w:rsidP="005C56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10 Rectángulo" o:spid="_x0000_s1031" style="position:absolute;left:0;text-align:left;margin-left:-14.55pt;margin-top:5pt;width:465pt;height:3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kymigIAAGgFAAAOAAAAZHJzL2Uyb0RvYy54bWysVM1u2zAMvg/YOwi6L7azpF2NOkWQosOA&#10;oC3aDj0rshQbk0VNUmJnb7Nn2YuNkh2364oNGHYRJJH8SH78Ob/oGkX2wroadEGzSUqJ0BzKWm8L&#10;+vnh6t0HSpxnumQKtCjoQTh6sXj75rw1uZhCBaoUliCIdnlrClp5b/IkcbwSDXMTMEKjUIJtmMen&#10;3SalZS2iNyqZpulJ0oItjQUunMPfy15IFxFfSsH9jZROeKIKirH5eNp4bsKZLM5ZvrXMVDUfwmD/&#10;EEXDao1OR6hL5hnZ2fo3qKbmFhxIP+HQJCBlzUXMAbPJ0hfZ3FfMiJgLkuPMSJP7f7D8en9rSV1i&#10;7ZAezRqsUZaSOyTux3e93SkIFLXG5ah5b25tSNKZNfAvDgXJL5LwcINOJ20TdDFF0kW+DyPfovOE&#10;4+f8LJ3PU/TLUTabnZ6czoO3hOVHa2Od/yigIeFSUIthRZrZfu18r3pUGYLp/cdI/EGJEILSd0Ji&#10;juhxGq1jd4mVsmTPsC8Y50L7972oYqXovzEyjK13MlrE6CJgQJa1UiN29ifsHmbQD6YiNudonP7d&#10;eLSInkH70bipNdjXAJTPhgRkr38kqacmsOS7TRfrH6kPPxsoD9gTFvphcYZf1cj+mjl/yyxOBxYM&#10;J97f4CEVtAWF4UZJBfbba/9BH5sWpZS0OG0FdV93zApK1CeN7XyWzWZhPONjNj+d4sM+l2yeS/Su&#10;WQEWLsPdYni8Bn2vjldpoXnExbAMXlHENEffBeXeHh8r328BXC1cLJdRDUfSML/W94YH8MBz6K6H&#10;7pFZM7Sgx+a9huNksvxFJ/a6wVLDcudB1rFNn3gdKoDjHFtpWD1hXzx/R62nBbn4CQAA//8DAFBL&#10;AwQUAAYACAAAACEAoJ6zJ9sAAAAJAQAADwAAAGRycy9kb3ducmV2LnhtbEyPQWrDMBBF94XeQUyh&#10;u0SKIcV2LYcQGkqXSXMA2ZpaJtbIWIrj3r7TVbsc/uPP+9Vu8YOYcYp9IA2btQKB1AbbU6fh8nlc&#10;5SBiMmTNEAg1fGOEXf34UJnShjudcD6nTnAJxdJocCmNpZSxdehNXIcRibOvMHmT+Jw6aSdz53I/&#10;yEypF+lNT/zBmREPDtvr+eY1mPkjbN/mLg9ZM70fD+nUL9Zp/fy07F9BJFzSHwy/+qwONTs14UY2&#10;ikHDKis2jHKgeBMDhVIFiEZDrrYg60r+X1D/AAAA//8DAFBLAQItABQABgAIAAAAIQC2gziS/gAA&#10;AOEBAAATAAAAAAAAAAAAAAAAAAAAAABbQ29udGVudF9UeXBlc10ueG1sUEsBAi0AFAAGAAgAAAAh&#10;ADj9If/WAAAAlAEAAAsAAAAAAAAAAAAAAAAALwEAAF9yZWxzLy5yZWxzUEsBAi0AFAAGAAgAAAAh&#10;AMZmTKaKAgAAaAUAAA4AAAAAAAAAAAAAAAAALgIAAGRycy9lMm9Eb2MueG1sUEsBAi0AFAAGAAgA&#10;AAAhAKCesyfbAAAACQEAAA8AAAAAAAAAAAAAAAAA5AQAAGRycy9kb3ducmV2LnhtbFBLBQYAAAAA&#10;BAAEAPMAAADsBQAAAAA=&#10;" fillcolor="#9bbb59 [3206]" strokecolor="#4e6128 [1606]" strokeweight="2pt">
                <v:path arrowok="t"/>
                <v:textbox>
                  <w:txbxContent>
                    <w:p w:rsidR="005C5658" w:rsidRPr="005C5658" w:rsidRDefault="005C5658" w:rsidP="005C5658">
                      <w:pPr>
                        <w:pStyle w:val="Default"/>
                        <w:rPr>
                          <w:sz w:val="28"/>
                          <w:szCs w:val="28"/>
                        </w:rPr>
                      </w:pPr>
                      <w:r w:rsidRPr="005C5658">
                        <w:rPr>
                          <w:b/>
                          <w:bCs/>
                          <w:sz w:val="28"/>
                          <w:szCs w:val="28"/>
                        </w:rPr>
                        <w:t xml:space="preserve">5. AREA DE SERVICIOS </w:t>
                      </w:r>
                    </w:p>
                    <w:p w:rsidR="005C5658" w:rsidRDefault="005C5658" w:rsidP="005C5658">
                      <w:pPr>
                        <w:jc w:val="center"/>
                      </w:pPr>
                    </w:p>
                  </w:txbxContent>
                </v:textbox>
              </v:rect>
            </w:pict>
          </mc:Fallback>
        </mc:AlternateContent>
      </w:r>
    </w:p>
    <w:p w:rsidR="001A0ED6" w:rsidRDefault="001A0ED6" w:rsidP="00D5252D">
      <w:pPr>
        <w:pStyle w:val="Default"/>
        <w:jc w:val="center"/>
        <w:rPr>
          <w:sz w:val="28"/>
          <w:szCs w:val="28"/>
        </w:rPr>
      </w:pPr>
    </w:p>
    <w:tbl>
      <w:tblPr>
        <w:tblStyle w:val="Tablaconcuadrcula"/>
        <w:tblpPr w:leftFromText="141" w:rightFromText="141" w:vertAnchor="text" w:horzAnchor="margin" w:tblpX="-176" w:tblpY="180"/>
        <w:tblW w:w="9322" w:type="dxa"/>
        <w:tblLook w:val="04A0" w:firstRow="1" w:lastRow="0" w:firstColumn="1" w:lastColumn="0" w:noHBand="0" w:noVBand="1"/>
      </w:tblPr>
      <w:tblGrid>
        <w:gridCol w:w="2660"/>
        <w:gridCol w:w="6662"/>
      </w:tblGrid>
      <w:tr w:rsidR="005C5658" w:rsidTr="005C5658">
        <w:tc>
          <w:tcPr>
            <w:tcW w:w="2660" w:type="dxa"/>
          </w:tcPr>
          <w:p w:rsidR="005C5658" w:rsidRPr="005C5658" w:rsidRDefault="005C5658" w:rsidP="005C5658">
            <w:pPr>
              <w:pStyle w:val="Default"/>
              <w:rPr>
                <w:sz w:val="22"/>
                <w:szCs w:val="22"/>
              </w:rPr>
            </w:pPr>
            <w:r>
              <w:rPr>
                <w:b/>
                <w:bCs/>
                <w:sz w:val="22"/>
                <w:szCs w:val="22"/>
              </w:rPr>
              <w:t>5.1. Servicios</w:t>
            </w:r>
          </w:p>
        </w:tc>
        <w:tc>
          <w:tcPr>
            <w:tcW w:w="6662" w:type="dxa"/>
          </w:tcPr>
          <w:p w:rsidR="005C5658" w:rsidRDefault="005C5658" w:rsidP="005C5658">
            <w:pPr>
              <w:pStyle w:val="Default"/>
              <w:rPr>
                <w:bCs/>
                <w:sz w:val="22"/>
                <w:szCs w:val="22"/>
              </w:rPr>
            </w:pPr>
            <w:r w:rsidRPr="005C5658">
              <w:rPr>
                <w:bCs/>
                <w:sz w:val="22"/>
                <w:szCs w:val="22"/>
              </w:rPr>
              <w:t>El sistema de Archivo Institucional a través de la Oficina de Información y Respuesta ofrece los siguientes servicios:</w:t>
            </w:r>
          </w:p>
          <w:p w:rsidR="005C5658" w:rsidRDefault="005C5658" w:rsidP="005C5658">
            <w:pPr>
              <w:pStyle w:val="Default"/>
              <w:rPr>
                <w:bCs/>
                <w:sz w:val="22"/>
                <w:szCs w:val="22"/>
              </w:rPr>
            </w:pPr>
          </w:p>
          <w:p w:rsidR="005C5658" w:rsidRPr="00C955ED" w:rsidRDefault="005C5658" w:rsidP="005C5658">
            <w:pPr>
              <w:rPr>
                <w:rFonts w:ascii="Cambria" w:hAnsi="Cambria" w:cs="Calibri"/>
              </w:rPr>
            </w:pPr>
            <w:r w:rsidRPr="00C955ED">
              <w:rPr>
                <w:rFonts w:ascii="Cambria" w:hAnsi="Cambria" w:cs="Calibri"/>
              </w:rPr>
              <w:t>Oficina de consulta</w:t>
            </w:r>
          </w:p>
          <w:p w:rsidR="005C5658" w:rsidRDefault="005C5658" w:rsidP="005C5658">
            <w:pPr>
              <w:pStyle w:val="Default"/>
              <w:rPr>
                <w:sz w:val="28"/>
                <w:szCs w:val="28"/>
              </w:rPr>
            </w:pPr>
          </w:p>
          <w:p w:rsidR="005C5658" w:rsidRPr="005C5658" w:rsidRDefault="005C5658" w:rsidP="005C5658">
            <w:pPr>
              <w:pStyle w:val="Default"/>
              <w:rPr>
                <w:sz w:val="22"/>
                <w:szCs w:val="22"/>
              </w:rPr>
            </w:pPr>
            <w:r>
              <w:rPr>
                <w:sz w:val="22"/>
                <w:szCs w:val="22"/>
              </w:rPr>
              <w:t xml:space="preserve">Reproducción documental impresa y digital. </w:t>
            </w:r>
          </w:p>
        </w:tc>
      </w:tr>
      <w:tr w:rsidR="005C5658" w:rsidTr="005C5658">
        <w:tc>
          <w:tcPr>
            <w:tcW w:w="2660" w:type="dxa"/>
          </w:tcPr>
          <w:p w:rsidR="005C5658" w:rsidRPr="005C5658" w:rsidRDefault="005C5658" w:rsidP="005C5658">
            <w:pPr>
              <w:pStyle w:val="Default"/>
              <w:rPr>
                <w:sz w:val="22"/>
                <w:szCs w:val="22"/>
              </w:rPr>
            </w:pPr>
            <w:r>
              <w:rPr>
                <w:b/>
                <w:bCs/>
                <w:sz w:val="22"/>
                <w:szCs w:val="22"/>
              </w:rPr>
              <w:t xml:space="preserve">5.2. Servicios de reproducción </w:t>
            </w:r>
          </w:p>
        </w:tc>
        <w:tc>
          <w:tcPr>
            <w:tcW w:w="6662" w:type="dxa"/>
          </w:tcPr>
          <w:p w:rsidR="005C5658" w:rsidRDefault="005C5658" w:rsidP="005C5658">
            <w:pPr>
              <w:pStyle w:val="Default"/>
              <w:rPr>
                <w:sz w:val="28"/>
                <w:szCs w:val="28"/>
              </w:rPr>
            </w:pPr>
            <w:r>
              <w:rPr>
                <w:sz w:val="22"/>
                <w:szCs w:val="22"/>
              </w:rPr>
              <w:t>Los primeros 3 meses de funcionamiento de la Oficina de Información y Respuesta los servicios de reproducción serán gratuitos.</w:t>
            </w:r>
          </w:p>
        </w:tc>
      </w:tr>
      <w:tr w:rsidR="005C5658" w:rsidTr="005C5658">
        <w:tc>
          <w:tcPr>
            <w:tcW w:w="2660" w:type="dxa"/>
          </w:tcPr>
          <w:p w:rsidR="005C5658" w:rsidRDefault="005C5658" w:rsidP="005C5658">
            <w:pPr>
              <w:pStyle w:val="Default"/>
              <w:rPr>
                <w:sz w:val="22"/>
                <w:szCs w:val="22"/>
              </w:rPr>
            </w:pPr>
            <w:r>
              <w:rPr>
                <w:b/>
                <w:bCs/>
                <w:sz w:val="22"/>
                <w:szCs w:val="22"/>
              </w:rPr>
              <w:t xml:space="preserve">5.3. Espacios públicos </w:t>
            </w:r>
          </w:p>
          <w:p w:rsidR="005C5658" w:rsidRDefault="005C5658" w:rsidP="005C5658">
            <w:pPr>
              <w:pStyle w:val="Default"/>
              <w:jc w:val="center"/>
              <w:rPr>
                <w:sz w:val="28"/>
                <w:szCs w:val="28"/>
              </w:rPr>
            </w:pPr>
          </w:p>
        </w:tc>
        <w:tc>
          <w:tcPr>
            <w:tcW w:w="6662" w:type="dxa"/>
          </w:tcPr>
          <w:p w:rsidR="005C5658" w:rsidRDefault="005C5658" w:rsidP="005C5658">
            <w:pPr>
              <w:pStyle w:val="Default"/>
              <w:rPr>
                <w:sz w:val="22"/>
                <w:szCs w:val="22"/>
              </w:rPr>
            </w:pPr>
            <w:r>
              <w:rPr>
                <w:sz w:val="22"/>
                <w:szCs w:val="22"/>
              </w:rPr>
              <w:t xml:space="preserve">Dentro de las instalaciones de FONAVIPO  se cuenta con baños para ambos sexos que pueden ser utilizados por las personas que nos visitan y consultan. </w:t>
            </w:r>
          </w:p>
          <w:p w:rsidR="005C5658" w:rsidRDefault="005C5658" w:rsidP="005C5658">
            <w:pPr>
              <w:pStyle w:val="Default"/>
              <w:rPr>
                <w:sz w:val="22"/>
                <w:szCs w:val="22"/>
              </w:rPr>
            </w:pPr>
          </w:p>
          <w:p w:rsidR="005C5658" w:rsidRPr="005C5658" w:rsidRDefault="005C5658" w:rsidP="005C5658">
            <w:pPr>
              <w:pStyle w:val="Default"/>
              <w:rPr>
                <w:sz w:val="22"/>
                <w:szCs w:val="22"/>
              </w:rPr>
            </w:pPr>
            <w:r>
              <w:rPr>
                <w:sz w:val="22"/>
                <w:szCs w:val="22"/>
              </w:rPr>
              <w:t xml:space="preserve">Centro de Información y Asesoría al Usuario </w:t>
            </w:r>
          </w:p>
        </w:tc>
      </w:tr>
    </w:tbl>
    <w:p w:rsidR="001A0ED6" w:rsidRDefault="001A0ED6" w:rsidP="00D5252D">
      <w:pPr>
        <w:pStyle w:val="Default"/>
        <w:jc w:val="center"/>
        <w:rPr>
          <w:sz w:val="28"/>
          <w:szCs w:val="28"/>
        </w:rPr>
      </w:pPr>
    </w:p>
    <w:p w:rsidR="001A0ED6" w:rsidRDefault="00027302" w:rsidP="00D5252D">
      <w:pPr>
        <w:pStyle w:val="Default"/>
        <w:jc w:val="center"/>
        <w:rPr>
          <w:sz w:val="28"/>
          <w:szCs w:val="28"/>
        </w:rPr>
      </w:pPr>
      <w:r>
        <w:rPr>
          <w:noProof/>
          <w:sz w:val="28"/>
          <w:szCs w:val="28"/>
          <w:lang w:val="es-SV" w:eastAsia="es-SV"/>
        </w:rPr>
        <mc:AlternateContent>
          <mc:Choice Requires="wps">
            <w:drawing>
              <wp:anchor distT="0" distB="0" distL="114300" distR="114300" simplePos="0" relativeHeight="251666432" behindDoc="0" locked="0" layoutInCell="1" allowOverlap="1">
                <wp:simplePos x="0" y="0"/>
                <wp:positionH relativeFrom="column">
                  <wp:posOffset>-175260</wp:posOffset>
                </wp:positionH>
                <wp:positionV relativeFrom="paragraph">
                  <wp:posOffset>35560</wp:posOffset>
                </wp:positionV>
                <wp:extent cx="5915025" cy="371475"/>
                <wp:effectExtent l="0" t="0" r="28575" b="28575"/>
                <wp:wrapNone/>
                <wp:docPr id="11" name="1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5025" cy="37147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607254" w:rsidRPr="00607254" w:rsidRDefault="00607254" w:rsidP="00607254">
                            <w:pPr>
                              <w:pStyle w:val="Default"/>
                              <w:rPr>
                                <w:b/>
                                <w:bCs/>
                                <w:sz w:val="28"/>
                                <w:szCs w:val="28"/>
                              </w:rPr>
                            </w:pPr>
                            <w:r w:rsidRPr="00607254">
                              <w:rPr>
                                <w:b/>
                                <w:bCs/>
                                <w:sz w:val="28"/>
                                <w:szCs w:val="28"/>
                              </w:rPr>
                              <w:t xml:space="preserve">6. AREA DE CONTROL </w:t>
                            </w:r>
                          </w:p>
                          <w:p w:rsidR="00607254" w:rsidRDefault="00607254" w:rsidP="006072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11 Rectángulo" o:spid="_x0000_s1032" style="position:absolute;left:0;text-align:left;margin-left:-13.8pt;margin-top:2.8pt;width:465.75pt;height: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XMXiwIAAGgFAAAOAAAAZHJzL2Uyb0RvYy54bWysVN1O2zAUvp+0d7B8P5KUFkZEiioQ06QK&#10;EDBx7Tp2E83x8Wy3Sfc2e5a92I6dnzGGNmlaLqwcn//P3znnF12jyF5YV4MuaHaUUiI0h7LW24J+&#10;erx+954S55kumQItCnoQjl4s3745b00uZlCBKoUlGES7vDUFrbw3eZI4XomGuSMwQqNSgm2YR9Fu&#10;k9KyFqM3Kpml6UnSgi2NBS6cw9urXkmXMb6UgvtbKZ3wRBUUa/PxtPHchDNZnrN8a5mpaj6Uwf6h&#10;iobVGpNOoa6YZ2Rn699CNTW34ED6Iw5NAlLWXMQesJssfdHNQ8WMiL0gOM5MMLn/F5bf7O8sqUt8&#10;u4wSzRp8oywj9wjc9296u1MQIGqNy9HywdzZ0KQza+CfHSqSXzRBcINNJ20TbLFF0kW8DxPeovOE&#10;4+XiLFukswUlHHXHp9n8dBGyJSwfvY11/oOAhoSfglosK8LM9mvne9PRZCimzx8r8QclQglK3wuJ&#10;PWLGWfSO7BKXypI9Q14wzoX2x72qYqXorxcpfkM9k0esLgYMkWWt1BQ7+1PsvtbBPriKSM7JOf27&#10;8+QRM4P2k3NTa7CvBVA+GxqQvf0IUg9NQMl3my6+/8n40BsoD8gJC/2wOMOva0R/zZy/YxanA+cI&#10;J97f4iEVtAWF4Y+SCuzX1+6DPZIWtZS0OG0FdV92zApK1EeNdD7L5vMwnlGYL05nKNjnms1zjd41&#10;l4APh4zF6uJvsPdq/JUWmidcDKuQFVVMc8xdUO7tKFz6fgvgauFitYpmOJKG+bV+MDwEDzgHdj12&#10;T8yagYIeyXsD42Sy/AUTe9vgqWG18yDrSNOAdI/r8AI4zpFKw+oJ++K5HK1+LsjlDwAAAP//AwBQ&#10;SwMEFAAGAAgAAAAhACZpCY3cAAAACAEAAA8AAABkcnMvZG93bnJldi54bWxMj8FOwzAQRO9I/IO1&#10;SNxap4GGNmRToYoKcWzLBzjxEkfEdmS7afh7lhOcRqsZzbytdrMdxEQh9t4hrJYZCHKt173rED7O&#10;h8UGREzKaTV4RwjfFGFX395UqtT+6o40nVInuMTFUiGYlMZSytgasiou/UiOvU8frEp8hk7qoK5c&#10;bgeZZ1khreodLxg10t5Q+3W6WAQ1vfv169RtfN6Et8M+HftZG8T7u/nlGUSiOf2F4Ref0aFmpsZf&#10;nI5iQFjkTwVHEdYs7G+zhy2IBqF4XIGsK/n/gfoHAAD//wMAUEsBAi0AFAAGAAgAAAAhALaDOJL+&#10;AAAA4QEAABMAAAAAAAAAAAAAAAAAAAAAAFtDb250ZW50X1R5cGVzXS54bWxQSwECLQAUAAYACAAA&#10;ACEAOP0h/9YAAACUAQAACwAAAAAAAAAAAAAAAAAvAQAAX3JlbHMvLnJlbHNQSwECLQAUAAYACAAA&#10;ACEAOdlzF4sCAABoBQAADgAAAAAAAAAAAAAAAAAuAgAAZHJzL2Uyb0RvYy54bWxQSwECLQAUAAYA&#10;CAAAACEAJmkJjdwAAAAIAQAADwAAAAAAAAAAAAAAAADlBAAAZHJzL2Rvd25yZXYueG1sUEsFBgAA&#10;AAAEAAQA8wAAAO4FAAAAAA==&#10;" fillcolor="#9bbb59 [3206]" strokecolor="#4e6128 [1606]" strokeweight="2pt">
                <v:path arrowok="t"/>
                <v:textbox>
                  <w:txbxContent>
                    <w:p w:rsidR="00607254" w:rsidRPr="00607254" w:rsidRDefault="00607254" w:rsidP="00607254">
                      <w:pPr>
                        <w:pStyle w:val="Default"/>
                        <w:rPr>
                          <w:b/>
                          <w:bCs/>
                          <w:sz w:val="28"/>
                          <w:szCs w:val="28"/>
                        </w:rPr>
                      </w:pPr>
                      <w:r w:rsidRPr="00607254">
                        <w:rPr>
                          <w:b/>
                          <w:bCs/>
                          <w:sz w:val="28"/>
                          <w:szCs w:val="28"/>
                        </w:rPr>
                        <w:t xml:space="preserve">6. AREA DE CONTROL </w:t>
                      </w:r>
                    </w:p>
                    <w:p w:rsidR="00607254" w:rsidRDefault="00607254" w:rsidP="00607254">
                      <w:pPr>
                        <w:jc w:val="center"/>
                      </w:pPr>
                    </w:p>
                  </w:txbxContent>
                </v:textbox>
              </v:rect>
            </w:pict>
          </mc:Fallback>
        </mc:AlternateContent>
      </w:r>
    </w:p>
    <w:p w:rsidR="001A0ED6" w:rsidRDefault="001A0ED6" w:rsidP="00D5252D">
      <w:pPr>
        <w:pStyle w:val="Default"/>
        <w:jc w:val="center"/>
        <w:rPr>
          <w:sz w:val="28"/>
          <w:szCs w:val="28"/>
        </w:rPr>
      </w:pPr>
    </w:p>
    <w:tbl>
      <w:tblPr>
        <w:tblStyle w:val="Tablaconcuadrcula"/>
        <w:tblW w:w="9356" w:type="dxa"/>
        <w:tblInd w:w="-176" w:type="dxa"/>
        <w:tblLook w:val="04A0" w:firstRow="1" w:lastRow="0" w:firstColumn="1" w:lastColumn="0" w:noHBand="0" w:noVBand="1"/>
      </w:tblPr>
      <w:tblGrid>
        <w:gridCol w:w="2694"/>
        <w:gridCol w:w="6662"/>
      </w:tblGrid>
      <w:tr w:rsidR="00607254" w:rsidTr="00607254">
        <w:tc>
          <w:tcPr>
            <w:tcW w:w="2694" w:type="dxa"/>
          </w:tcPr>
          <w:p w:rsidR="00607254" w:rsidRPr="00607254" w:rsidRDefault="00607254" w:rsidP="00607254">
            <w:pPr>
              <w:pStyle w:val="Default"/>
              <w:rPr>
                <w:rFonts w:ascii="Times New Roman" w:hAnsi="Times New Roman" w:cs="Times New Roman"/>
              </w:rPr>
            </w:pPr>
            <w:r>
              <w:rPr>
                <w:b/>
                <w:bCs/>
                <w:sz w:val="22"/>
                <w:szCs w:val="22"/>
              </w:rPr>
              <w:t xml:space="preserve">6.1. Identificador de la </w:t>
            </w:r>
            <w:r w:rsidRPr="00607254">
              <w:rPr>
                <w:rFonts w:ascii="Times New Roman" w:hAnsi="Times New Roman" w:cs="Times New Roman"/>
                <w:b/>
              </w:rPr>
              <w:t>descripción</w:t>
            </w:r>
            <w:r w:rsidRPr="00DD2EB6">
              <w:rPr>
                <w:rFonts w:ascii="Times New Roman" w:hAnsi="Times New Roman" w:cs="Times New Roman"/>
              </w:rPr>
              <w:t xml:space="preserve"> </w:t>
            </w:r>
          </w:p>
        </w:tc>
        <w:tc>
          <w:tcPr>
            <w:tcW w:w="6662" w:type="dxa"/>
          </w:tcPr>
          <w:p w:rsidR="00607254" w:rsidRDefault="00607254" w:rsidP="00607254">
            <w:pPr>
              <w:pStyle w:val="Default"/>
              <w:rPr>
                <w:sz w:val="22"/>
                <w:szCs w:val="22"/>
              </w:rPr>
            </w:pPr>
            <w:r>
              <w:rPr>
                <w:b/>
                <w:bCs/>
                <w:sz w:val="22"/>
                <w:szCs w:val="22"/>
              </w:rPr>
              <w:t xml:space="preserve">SV- FONAVIPO </w:t>
            </w:r>
          </w:p>
          <w:p w:rsidR="00607254" w:rsidRPr="00607254" w:rsidRDefault="00607254" w:rsidP="00607254">
            <w:pPr>
              <w:pStyle w:val="Default"/>
              <w:rPr>
                <w:sz w:val="22"/>
                <w:szCs w:val="22"/>
              </w:rPr>
            </w:pPr>
            <w:r>
              <w:rPr>
                <w:sz w:val="22"/>
                <w:szCs w:val="22"/>
              </w:rPr>
              <w:t>El Salvador- Fondo Nacional de Vivienda Nacional</w:t>
            </w:r>
          </w:p>
        </w:tc>
      </w:tr>
      <w:tr w:rsidR="00607254" w:rsidTr="00607254">
        <w:tc>
          <w:tcPr>
            <w:tcW w:w="2694" w:type="dxa"/>
          </w:tcPr>
          <w:p w:rsidR="00607254" w:rsidRPr="00607254" w:rsidRDefault="00607254" w:rsidP="00607254">
            <w:pPr>
              <w:pStyle w:val="Default"/>
              <w:rPr>
                <w:b/>
                <w:bCs/>
                <w:sz w:val="22"/>
                <w:szCs w:val="22"/>
              </w:rPr>
            </w:pPr>
            <w:r>
              <w:rPr>
                <w:b/>
                <w:bCs/>
                <w:sz w:val="22"/>
                <w:szCs w:val="22"/>
              </w:rPr>
              <w:t>6.2. Identificador de la Institución</w:t>
            </w:r>
          </w:p>
        </w:tc>
        <w:tc>
          <w:tcPr>
            <w:tcW w:w="6662" w:type="dxa"/>
          </w:tcPr>
          <w:p w:rsidR="00607254" w:rsidRPr="00607254" w:rsidRDefault="00607254" w:rsidP="00607254">
            <w:pPr>
              <w:pStyle w:val="Default"/>
              <w:rPr>
                <w:b/>
                <w:bCs/>
                <w:sz w:val="22"/>
                <w:szCs w:val="22"/>
              </w:rPr>
            </w:pPr>
            <w:r>
              <w:rPr>
                <w:b/>
                <w:bCs/>
                <w:sz w:val="22"/>
                <w:szCs w:val="22"/>
              </w:rPr>
              <w:t>FONAVIPO</w:t>
            </w:r>
          </w:p>
        </w:tc>
      </w:tr>
      <w:tr w:rsidR="00607254" w:rsidTr="00607254">
        <w:tc>
          <w:tcPr>
            <w:tcW w:w="2694" w:type="dxa"/>
          </w:tcPr>
          <w:p w:rsidR="00607254" w:rsidRDefault="00607254" w:rsidP="00607254">
            <w:pPr>
              <w:pStyle w:val="Default"/>
              <w:rPr>
                <w:b/>
                <w:bCs/>
                <w:sz w:val="22"/>
                <w:szCs w:val="22"/>
              </w:rPr>
            </w:pPr>
            <w:r>
              <w:rPr>
                <w:b/>
                <w:bCs/>
                <w:sz w:val="22"/>
                <w:szCs w:val="22"/>
              </w:rPr>
              <w:t>6.3. Reglas y/o convenciones</w:t>
            </w:r>
          </w:p>
        </w:tc>
        <w:tc>
          <w:tcPr>
            <w:tcW w:w="6662" w:type="dxa"/>
          </w:tcPr>
          <w:p w:rsidR="00607254" w:rsidRDefault="00607254" w:rsidP="00607254">
            <w:pPr>
              <w:pStyle w:val="Default"/>
              <w:rPr>
                <w:sz w:val="22"/>
                <w:szCs w:val="22"/>
              </w:rPr>
            </w:pPr>
            <w:r>
              <w:rPr>
                <w:sz w:val="22"/>
                <w:szCs w:val="22"/>
              </w:rPr>
              <w:t>Reglamento interno de FONAVIPO</w:t>
            </w:r>
          </w:p>
          <w:p w:rsidR="00607254" w:rsidRDefault="00607254" w:rsidP="00607254">
            <w:pPr>
              <w:pStyle w:val="Default"/>
              <w:rPr>
                <w:b/>
                <w:bCs/>
                <w:sz w:val="22"/>
                <w:szCs w:val="22"/>
              </w:rPr>
            </w:pPr>
          </w:p>
        </w:tc>
      </w:tr>
    </w:tbl>
    <w:p w:rsidR="001A0ED6" w:rsidRDefault="001A0ED6" w:rsidP="00D5252D">
      <w:pPr>
        <w:pStyle w:val="Default"/>
        <w:jc w:val="center"/>
        <w:rPr>
          <w:sz w:val="28"/>
          <w:szCs w:val="28"/>
        </w:rPr>
      </w:pPr>
    </w:p>
    <w:p w:rsidR="00897E4F" w:rsidRDefault="00897E4F" w:rsidP="00D5252D">
      <w:pPr>
        <w:pStyle w:val="Default"/>
        <w:jc w:val="center"/>
        <w:rPr>
          <w:sz w:val="28"/>
          <w:szCs w:val="28"/>
        </w:rPr>
      </w:pPr>
    </w:p>
    <w:p w:rsidR="00897E4F" w:rsidRDefault="00897E4F" w:rsidP="00D5252D">
      <w:pPr>
        <w:pStyle w:val="Default"/>
        <w:jc w:val="center"/>
        <w:rPr>
          <w:sz w:val="28"/>
          <w:szCs w:val="28"/>
        </w:rPr>
      </w:pPr>
    </w:p>
    <w:p w:rsidR="00897E4F" w:rsidRDefault="00897E4F" w:rsidP="00D5252D">
      <w:pPr>
        <w:pStyle w:val="Default"/>
        <w:jc w:val="center"/>
        <w:rPr>
          <w:sz w:val="28"/>
          <w:szCs w:val="28"/>
        </w:rPr>
      </w:pPr>
    </w:p>
    <w:p w:rsidR="00897E4F" w:rsidRDefault="00897E4F" w:rsidP="00D5252D">
      <w:pPr>
        <w:pStyle w:val="Default"/>
        <w:jc w:val="center"/>
        <w:rPr>
          <w:sz w:val="28"/>
          <w:szCs w:val="28"/>
        </w:rPr>
      </w:pPr>
    </w:p>
    <w:p w:rsidR="00897E4F" w:rsidRDefault="00897E4F" w:rsidP="00D5252D">
      <w:pPr>
        <w:pStyle w:val="Default"/>
        <w:jc w:val="center"/>
        <w:rPr>
          <w:sz w:val="28"/>
          <w:szCs w:val="28"/>
        </w:rPr>
      </w:pPr>
    </w:p>
    <w:p w:rsidR="001A0ED6" w:rsidRDefault="001A0ED6" w:rsidP="00D22A52">
      <w:pPr>
        <w:pStyle w:val="Default"/>
        <w:rPr>
          <w:sz w:val="28"/>
          <w:szCs w:val="28"/>
        </w:rPr>
      </w:pPr>
    </w:p>
    <w:p w:rsidR="001A0ED6" w:rsidRDefault="001A0ED6" w:rsidP="00D5252D">
      <w:pPr>
        <w:pStyle w:val="Default"/>
        <w:jc w:val="center"/>
        <w:rPr>
          <w:sz w:val="28"/>
          <w:szCs w:val="28"/>
        </w:rPr>
      </w:pPr>
    </w:p>
    <w:sectPr w:rsidR="001A0ED6" w:rsidSect="001A0E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B6D"/>
    <w:rsid w:val="00027302"/>
    <w:rsid w:val="00075A5C"/>
    <w:rsid w:val="00094471"/>
    <w:rsid w:val="000D29F9"/>
    <w:rsid w:val="000D2BF6"/>
    <w:rsid w:val="001A0ED6"/>
    <w:rsid w:val="00213F82"/>
    <w:rsid w:val="002E2CBD"/>
    <w:rsid w:val="003500F7"/>
    <w:rsid w:val="003B3614"/>
    <w:rsid w:val="00404171"/>
    <w:rsid w:val="00465071"/>
    <w:rsid w:val="00485D4B"/>
    <w:rsid w:val="00533237"/>
    <w:rsid w:val="00590224"/>
    <w:rsid w:val="005C5658"/>
    <w:rsid w:val="005F1AF3"/>
    <w:rsid w:val="00607254"/>
    <w:rsid w:val="0065192B"/>
    <w:rsid w:val="00760502"/>
    <w:rsid w:val="00813AD7"/>
    <w:rsid w:val="00831F68"/>
    <w:rsid w:val="00897E4F"/>
    <w:rsid w:val="0090557F"/>
    <w:rsid w:val="00956ABA"/>
    <w:rsid w:val="00A12D41"/>
    <w:rsid w:val="00B247EE"/>
    <w:rsid w:val="00B91788"/>
    <w:rsid w:val="00B95650"/>
    <w:rsid w:val="00C955ED"/>
    <w:rsid w:val="00D22A52"/>
    <w:rsid w:val="00D5252D"/>
    <w:rsid w:val="00D56103"/>
    <w:rsid w:val="00D80784"/>
    <w:rsid w:val="00DC4B6D"/>
    <w:rsid w:val="00F65BE7"/>
    <w:rsid w:val="00F859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9e4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6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C4B6D"/>
    <w:pPr>
      <w:autoSpaceDE w:val="0"/>
      <w:autoSpaceDN w:val="0"/>
      <w:adjustRightInd w:val="0"/>
      <w:spacing w:after="0" w:line="240" w:lineRule="auto"/>
    </w:pPr>
    <w:rPr>
      <w:rFonts w:ascii="Cambria" w:hAnsi="Cambria" w:cs="Cambria"/>
      <w:color w:val="000000"/>
      <w:sz w:val="24"/>
      <w:szCs w:val="24"/>
    </w:rPr>
  </w:style>
  <w:style w:type="paragraph" w:styleId="Textodeglobo">
    <w:name w:val="Balloon Text"/>
    <w:basedOn w:val="Normal"/>
    <w:link w:val="TextodegloboCar"/>
    <w:uiPriority w:val="99"/>
    <w:semiHidden/>
    <w:unhideWhenUsed/>
    <w:rsid w:val="00DC4B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4B6D"/>
    <w:rPr>
      <w:rFonts w:ascii="Tahoma" w:hAnsi="Tahoma" w:cs="Tahoma"/>
      <w:sz w:val="16"/>
      <w:szCs w:val="16"/>
    </w:rPr>
  </w:style>
  <w:style w:type="table" w:styleId="Tablaconcuadrcula">
    <w:name w:val="Table Grid"/>
    <w:basedOn w:val="Tablanormal"/>
    <w:uiPriority w:val="59"/>
    <w:rsid w:val="00D525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6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C4B6D"/>
    <w:pPr>
      <w:autoSpaceDE w:val="0"/>
      <w:autoSpaceDN w:val="0"/>
      <w:adjustRightInd w:val="0"/>
      <w:spacing w:after="0" w:line="240" w:lineRule="auto"/>
    </w:pPr>
    <w:rPr>
      <w:rFonts w:ascii="Cambria" w:hAnsi="Cambria" w:cs="Cambria"/>
      <w:color w:val="000000"/>
      <w:sz w:val="24"/>
      <w:szCs w:val="24"/>
    </w:rPr>
  </w:style>
  <w:style w:type="paragraph" w:styleId="Textodeglobo">
    <w:name w:val="Balloon Text"/>
    <w:basedOn w:val="Normal"/>
    <w:link w:val="TextodegloboCar"/>
    <w:uiPriority w:val="99"/>
    <w:semiHidden/>
    <w:unhideWhenUsed/>
    <w:rsid w:val="00DC4B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4B6D"/>
    <w:rPr>
      <w:rFonts w:ascii="Tahoma" w:hAnsi="Tahoma" w:cs="Tahoma"/>
      <w:sz w:val="16"/>
      <w:szCs w:val="16"/>
    </w:rPr>
  </w:style>
  <w:style w:type="table" w:styleId="Tablaconcuadrcula">
    <w:name w:val="Table Grid"/>
    <w:basedOn w:val="Tablanormal"/>
    <w:uiPriority w:val="59"/>
    <w:rsid w:val="00D525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44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1252</Words>
  <Characters>6891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Mylene Beatriz Rosales García</dc:creator>
  <cp:lastModifiedBy>Rodolfo Ramos</cp:lastModifiedBy>
  <cp:revision>6</cp:revision>
  <cp:lastPrinted>2012-05-29T21:55:00Z</cp:lastPrinted>
  <dcterms:created xsi:type="dcterms:W3CDTF">2015-10-16T18:03:00Z</dcterms:created>
  <dcterms:modified xsi:type="dcterms:W3CDTF">2016-12-13T16:40:00Z</dcterms:modified>
</cp:coreProperties>
</file>