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A26FB8" w:rsidRDefault="008D26B6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 w:rsidRPr="00E76419">
              <w:rPr>
                <w:b/>
                <w:szCs w:val="20"/>
                <w:lang w:val="es-SV"/>
              </w:rPr>
              <w:t>EVALUACIÓN CIUDADANÍA DE LA RENDICIÓN DE CUENTAS</w:t>
            </w:r>
            <w:r w:rsidR="00914415">
              <w:rPr>
                <w:b/>
                <w:szCs w:val="20"/>
                <w:lang w:val="es-SV"/>
              </w:rPr>
              <w:t xml:space="preserve"> – DEPARTAMENTO DE </w:t>
            </w:r>
            <w:r w:rsidR="002806E7">
              <w:rPr>
                <w:b/>
                <w:szCs w:val="20"/>
                <w:lang w:val="es-SV"/>
              </w:rPr>
              <w:t>SONSONATE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DB3F70" w:rsidP="002806E7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LUGAR Y </w:t>
            </w:r>
            <w:r w:rsidR="00914415">
              <w:rPr>
                <w:b/>
                <w:szCs w:val="20"/>
                <w:lang w:val="es-SV"/>
              </w:rPr>
              <w:t xml:space="preserve">FECHA DE REALIZACIÓN: </w:t>
            </w:r>
            <w:r w:rsidR="002806E7">
              <w:rPr>
                <w:b/>
                <w:szCs w:val="20"/>
                <w:lang w:val="es-SV"/>
              </w:rPr>
              <w:t>NAHUIZALCO, 30 DE JUNIO</w:t>
            </w:r>
            <w:r w:rsidR="004A1512">
              <w:rPr>
                <w:b/>
                <w:szCs w:val="20"/>
                <w:lang w:val="es-SV"/>
              </w:rPr>
              <w:t xml:space="preserve"> </w:t>
            </w:r>
            <w:r w:rsidR="00914415">
              <w:rPr>
                <w:b/>
                <w:szCs w:val="20"/>
                <w:lang w:val="es-SV"/>
              </w:rPr>
              <w:t>DE 2015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4E48F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3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E14F2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3E6639">
              <w:rPr>
                <w:rFonts w:cs="Calibri"/>
                <w:b/>
                <w:bCs/>
                <w:szCs w:val="20"/>
                <w:lang w:val="es-SV" w:eastAsia="es-SV"/>
              </w:rPr>
              <w:t>10</w:t>
            </w:r>
          </w:p>
        </w:tc>
      </w:tr>
      <w:tr w:rsidR="00633D5E" w:rsidTr="00456447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4E48FB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15</w:t>
            </w:r>
          </w:p>
        </w:tc>
      </w:tr>
    </w:tbl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80D31" w:rsidRDefault="00080D31" w:rsidP="00DB3F70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DB3F70" w:rsidRDefault="004E48FB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Brindar transporte para las Comunidades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retiradas, dadas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que muchas no se hicieron presentes por lo económico como Acajutla.</w:t>
            </w:r>
          </w:p>
          <w:p w:rsidR="004E48FB" w:rsidRDefault="004E48FB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Gestión: Señora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Presidenta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del FISDL, Presente. Quiero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decirle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que tenemos un problema en la comunidades Metalillitos de Acajutla y Morro Grande Abajo y Morro Grande Arriba de Guaymango,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donde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el año pasado acordamos entre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Alcaldías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 Acajutla y Guaymango y Comunidades, realizaron un acuerdo para el proyecto del paso de la Quebradona, que nos afecta y que hoy en Acajutla que son nueva administración y no sentimos que nadie se hace cargo por estar en medio de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los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dos municipios, gracias. Comunicarse con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Amílcar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Guardado, presidente</w:t>
            </w:r>
            <w:r w:rsidR="00E02330">
              <w:rPr>
                <w:rFonts w:ascii="Tahoma" w:hAnsi="Tahoma" w:cs="Tahoma"/>
                <w:color w:val="0070C0"/>
                <w:sz w:val="20"/>
                <w:szCs w:val="20"/>
              </w:rPr>
              <w:t>, celular 7094-3993 ya que esta paso es importante para ambos municipios.</w:t>
            </w:r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Ver las necesidad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más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importantes, se necesita de mucha agua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potable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y energía eléctrica.</w:t>
            </w:r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José Ismael Bran, Presidente ADESCO de la Comunidad Santa Isabel 3 de mayo, cantón La Tauzcamango, Nahuizalco, solicitamos a la Institución la construcción de una nueva escuela en nuestra comunidad que a continuación se la describiré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más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personalmente, celular 7621-8678- José Israel Bran.</w:t>
            </w:r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El sonido fue a factor a mejorar. Como Ciudadano y miembro del Concejo Municipal de Cuisnahuat, solicito la información de todos los programas de beneficio social, infraestructura vial, productiva y todos los demás, mi correo es </w:t>
            </w:r>
            <w:hyperlink r:id="rId9" w:history="1">
              <w:r w:rsidRPr="00FD3799">
                <w:rPr>
                  <w:rStyle w:val="Hipervnculo"/>
                  <w:rFonts w:ascii="Tahoma" w:hAnsi="Tahoma" w:cs="Tahoma"/>
                  <w:sz w:val="20"/>
                  <w:szCs w:val="20"/>
                </w:rPr>
                <w:t>vhernandezmoises.1@gmail.com</w:t>
              </w:r>
            </w:hyperlink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El cantón Anal-Arriba deseamos ampliar nuestro idioma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Náhuatl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pero necesitamos apoyo del Alcalde de Nahuizalco, como local y sus mesas y sillas para la comunidad, la cual represento: Pio Quinto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Pérez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Joaras, gracias por ayudarme.</w:t>
            </w:r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Muy bueno – Muy bueno.</w:t>
            </w:r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Dar hojas volantes con información.</w:t>
            </w:r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Mayor énfasis en la participación de Alcaldes/Alcaldesas</w:t>
            </w:r>
            <w:r w:rsidR="00D51DF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Mayor convocatoria de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líderes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para que se conozca de primera mano la información</w:t>
            </w:r>
            <w:r w:rsidR="00D51DF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Presentación de testimonios en persona de los proyectos aunque se apoye de videos.</w:t>
            </w:r>
          </w:p>
          <w:p w:rsidR="00E02330" w:rsidRDefault="00E02330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Presencia de representantes del FISDL que están presentes en campo, en las Rendiciones de Cuentas.</w:t>
            </w:r>
          </w:p>
          <w:p w:rsidR="00D751EE" w:rsidRDefault="00D751EE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lastRenderedPageBreak/>
              <w:t>Ninguna observación</w:t>
            </w:r>
            <w:r w:rsidR="00D51DF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D751EE" w:rsidRDefault="00D751EE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No hay comentarios</w:t>
            </w:r>
            <w:r w:rsidR="00D51DF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D751EE" w:rsidRDefault="00D751EE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Mi recomendación es que en estas Rendiciones de Cuentas fuera bueno que nos dieran un folleto con todo detallado a cada uno de los participantes.</w:t>
            </w:r>
          </w:p>
          <w:p w:rsidR="00D751EE" w:rsidRDefault="00D751EE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No politizar demasiado el evento.</w:t>
            </w:r>
          </w:p>
          <w:p w:rsidR="00D751EE" w:rsidRDefault="00D751EE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Tengo entendido que el FISDL es una Organización No Gubernamental y comprendo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por qué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lo politizan tanto con el FMLN.</w:t>
            </w:r>
          </w:p>
          <w:p w:rsidR="00D751EE" w:rsidRDefault="00D751EE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Cuando hagan las carpetas, sean asesorados por las Comunidades y después del Concejo Municipal- Caluco Oscar Vhanso Leonor Suncin.</w:t>
            </w:r>
          </w:p>
          <w:p w:rsidR="00D751EE" w:rsidRDefault="00D751EE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Actualizar el mapa de pobreza a nivel nacional,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porque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del 2007 a la fecha se han generado muchos cambios importantes.</w:t>
            </w:r>
          </w:p>
          <w:p w:rsidR="002B4DD5" w:rsidRDefault="002B4DD5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Explicar y profundizar sobre los diferentes programas que como FISDL realizan,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así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como proveer los requisitos para formar parte de dichos proyectos. </w:t>
            </w:r>
          </w:p>
          <w:p w:rsidR="002B4DD5" w:rsidRDefault="002B4DD5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Actualizar el Mapa de Pobreza a nivel nacional</w:t>
            </w:r>
            <w:r w:rsidR="00D51DF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2B4DD5" w:rsidRDefault="002B4DD5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Instalar basureros en diferentes puntos.</w:t>
            </w:r>
          </w:p>
          <w:p w:rsidR="002B4DD5" w:rsidRDefault="002B4DD5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Ninguna del Movimiento Solidario de Mujeres (MSM)</w:t>
            </w:r>
            <w:r w:rsidR="00D51DF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2B4DD5" w:rsidRDefault="002B4DD5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Que inviten a los cantones y a los </w:t>
            </w:r>
            <w:r w:rsidR="005A6F8A">
              <w:rPr>
                <w:rFonts w:ascii="Tahoma" w:hAnsi="Tahoma" w:cs="Tahoma"/>
                <w:color w:val="0070C0"/>
                <w:sz w:val="20"/>
                <w:szCs w:val="20"/>
              </w:rPr>
              <w:t>Líderes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 los municipios para que expresen y agradezcan y también puedan pedirles para los proyectos que necesitan.</w:t>
            </w:r>
          </w:p>
          <w:p w:rsidR="002B4DD5" w:rsidRDefault="002B4DD5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Ponerle atención a los Asesores del programa PATI en el trato que brindan al personal, felicidades por el evento, bendiciones.</w:t>
            </w:r>
          </w:p>
          <w:p w:rsidR="002B4DD5" w:rsidRDefault="002B4DD5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muy bueno, gracias por su empeño</w:t>
            </w:r>
            <w:r w:rsidR="00D51DF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2B4DD5" w:rsidRDefault="002B4DD5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Visibilizar a la mujer en el discurso (lenguaje incluyente).</w:t>
            </w:r>
          </w:p>
          <w:p w:rsidR="00D751EE" w:rsidRDefault="002B4DD5" w:rsidP="00D51DF1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No es tanto una recomendación, sino felicitarlos por tan excelente evento, pues han logrado crear los espacios en los que la gente puede expresar sus necesidades y lo más importante es poder ser tomados en cuenta. </w:t>
            </w:r>
          </w:p>
          <w:p w:rsidR="00DB3F70" w:rsidRDefault="00DB3F70" w:rsidP="00DB3F70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bookmarkStart w:id="0" w:name="_GoBack"/>
            <w:bookmarkEnd w:id="0"/>
          </w:p>
          <w:p w:rsidR="00DB3F70" w:rsidRDefault="00DB3F70" w:rsidP="00DB3F70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DB3F70" w:rsidRPr="00E76419" w:rsidRDefault="00DB3F70" w:rsidP="00DB3F70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F90725" w:rsidRPr="0059499F" w:rsidRDefault="00A24FD1">
      <w:pPr>
        <w:rPr>
          <w:sz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6289675" cy="556895"/>
                <wp:effectExtent l="9525" t="10795" r="635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F90725" w:rsidRDefault="00F90725" w:rsidP="007C512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1.6pt;width:495.25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F90725" w:rsidRDefault="00F90725" w:rsidP="007C512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10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20" w:rsidRDefault="00D37A20" w:rsidP="00227757">
      <w:pPr>
        <w:spacing w:line="240" w:lineRule="auto"/>
      </w:pPr>
      <w:r>
        <w:separator/>
      </w:r>
    </w:p>
  </w:endnote>
  <w:endnote w:type="continuationSeparator" w:id="0">
    <w:p w:rsidR="00D37A20" w:rsidRDefault="00D37A20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20" w:rsidRDefault="00D37A20" w:rsidP="00227757">
      <w:pPr>
        <w:spacing w:line="240" w:lineRule="auto"/>
      </w:pPr>
      <w:r>
        <w:separator/>
      </w:r>
    </w:p>
  </w:footnote>
  <w:footnote w:type="continuationSeparator" w:id="0">
    <w:p w:rsidR="00D37A20" w:rsidRDefault="00D37A20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B1A"/>
    <w:multiLevelType w:val="hybridMultilevel"/>
    <w:tmpl w:val="EDB4C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618AB"/>
    <w:multiLevelType w:val="hybridMultilevel"/>
    <w:tmpl w:val="3D4CF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97FC4"/>
    <w:multiLevelType w:val="hybridMultilevel"/>
    <w:tmpl w:val="96942D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01967E7"/>
    <w:multiLevelType w:val="hybridMultilevel"/>
    <w:tmpl w:val="CCA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80D31"/>
    <w:rsid w:val="0008220E"/>
    <w:rsid w:val="00086C00"/>
    <w:rsid w:val="000C2EA1"/>
    <w:rsid w:val="000D45D6"/>
    <w:rsid w:val="000F0DD0"/>
    <w:rsid w:val="00114885"/>
    <w:rsid w:val="00122480"/>
    <w:rsid w:val="0015184E"/>
    <w:rsid w:val="00161702"/>
    <w:rsid w:val="00172EFC"/>
    <w:rsid w:val="001822D3"/>
    <w:rsid w:val="0018364C"/>
    <w:rsid w:val="001A6208"/>
    <w:rsid w:val="001C14C4"/>
    <w:rsid w:val="001D70B2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36284"/>
    <w:rsid w:val="0026114B"/>
    <w:rsid w:val="002806E7"/>
    <w:rsid w:val="00290A82"/>
    <w:rsid w:val="00296D15"/>
    <w:rsid w:val="002A3DE9"/>
    <w:rsid w:val="002B4DD5"/>
    <w:rsid w:val="002C71B5"/>
    <w:rsid w:val="002D48D2"/>
    <w:rsid w:val="002E431B"/>
    <w:rsid w:val="002E5673"/>
    <w:rsid w:val="002F06D9"/>
    <w:rsid w:val="0030316D"/>
    <w:rsid w:val="00320C26"/>
    <w:rsid w:val="00334CCC"/>
    <w:rsid w:val="00354386"/>
    <w:rsid w:val="00357BC0"/>
    <w:rsid w:val="003A31AE"/>
    <w:rsid w:val="003B37DA"/>
    <w:rsid w:val="003C586C"/>
    <w:rsid w:val="003E6639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2528"/>
    <w:rsid w:val="004746C0"/>
    <w:rsid w:val="00482CA4"/>
    <w:rsid w:val="00490C63"/>
    <w:rsid w:val="004A1512"/>
    <w:rsid w:val="004C59B4"/>
    <w:rsid w:val="004E2FEB"/>
    <w:rsid w:val="004E37BF"/>
    <w:rsid w:val="004E48FB"/>
    <w:rsid w:val="005847EA"/>
    <w:rsid w:val="0059499F"/>
    <w:rsid w:val="005A6F8A"/>
    <w:rsid w:val="005B3612"/>
    <w:rsid w:val="00633D5E"/>
    <w:rsid w:val="006405A3"/>
    <w:rsid w:val="00652FA0"/>
    <w:rsid w:val="006A6D9C"/>
    <w:rsid w:val="006D68D2"/>
    <w:rsid w:val="00700103"/>
    <w:rsid w:val="007017EE"/>
    <w:rsid w:val="00704F9A"/>
    <w:rsid w:val="00711A81"/>
    <w:rsid w:val="00736B19"/>
    <w:rsid w:val="00790D47"/>
    <w:rsid w:val="007A5CA8"/>
    <w:rsid w:val="007B1EAD"/>
    <w:rsid w:val="007C5124"/>
    <w:rsid w:val="007D3334"/>
    <w:rsid w:val="007E53A3"/>
    <w:rsid w:val="007E7D91"/>
    <w:rsid w:val="007F0ED0"/>
    <w:rsid w:val="007F4451"/>
    <w:rsid w:val="00801B03"/>
    <w:rsid w:val="00821C73"/>
    <w:rsid w:val="00835E09"/>
    <w:rsid w:val="00843244"/>
    <w:rsid w:val="00856E7F"/>
    <w:rsid w:val="008727F1"/>
    <w:rsid w:val="0088602E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57FB"/>
    <w:rsid w:val="00A06A9B"/>
    <w:rsid w:val="00A24FD1"/>
    <w:rsid w:val="00A260A9"/>
    <w:rsid w:val="00A26FB8"/>
    <w:rsid w:val="00A61CF4"/>
    <w:rsid w:val="00A747E5"/>
    <w:rsid w:val="00A85744"/>
    <w:rsid w:val="00A914D7"/>
    <w:rsid w:val="00A96F36"/>
    <w:rsid w:val="00AC12D0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312A8"/>
    <w:rsid w:val="00C56443"/>
    <w:rsid w:val="00C70DA1"/>
    <w:rsid w:val="00C92C16"/>
    <w:rsid w:val="00CB2F02"/>
    <w:rsid w:val="00CB4605"/>
    <w:rsid w:val="00CE458E"/>
    <w:rsid w:val="00CF7319"/>
    <w:rsid w:val="00CF7C44"/>
    <w:rsid w:val="00D030C7"/>
    <w:rsid w:val="00D37A20"/>
    <w:rsid w:val="00D51DF1"/>
    <w:rsid w:val="00D53073"/>
    <w:rsid w:val="00D6343C"/>
    <w:rsid w:val="00D751EE"/>
    <w:rsid w:val="00D91E75"/>
    <w:rsid w:val="00DB3F70"/>
    <w:rsid w:val="00DD24D1"/>
    <w:rsid w:val="00DE054D"/>
    <w:rsid w:val="00E02330"/>
    <w:rsid w:val="00E06183"/>
    <w:rsid w:val="00E36D23"/>
    <w:rsid w:val="00E76419"/>
    <w:rsid w:val="00EC1816"/>
    <w:rsid w:val="00EC3794"/>
    <w:rsid w:val="00F266AD"/>
    <w:rsid w:val="00F825A6"/>
    <w:rsid w:val="00F90725"/>
    <w:rsid w:val="00FA146E"/>
    <w:rsid w:val="00FA6194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hernandezmoises.1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F694-D5F8-47BC-A46A-33D1E685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7</cp:revision>
  <cp:lastPrinted>2013-10-29T23:05:00Z</cp:lastPrinted>
  <dcterms:created xsi:type="dcterms:W3CDTF">2015-07-12T16:37:00Z</dcterms:created>
  <dcterms:modified xsi:type="dcterms:W3CDTF">2015-07-12T17:19:00Z</dcterms:modified>
</cp:coreProperties>
</file>